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宋体" w:hAnsi="宋体" w:cs="华文中宋"/>
          <w:b/>
          <w:bCs/>
          <w:sz w:val="72"/>
          <w:szCs w:val="72"/>
          <w:lang w:eastAsia="zh-CN"/>
        </w:rPr>
      </w:pPr>
      <w:r>
        <w:rPr>
          <w:rFonts w:hint="eastAsia" w:ascii="黑体" w:hAnsi="黑体" w:eastAsia="黑体"/>
          <w:color w:val="000000"/>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-325120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a:stretch>
                      <a:fillRect/>
                    </a:stretch>
                  </pic:blipFill>
                  <pic:spPr>
                    <a:xfrm>
                      <a:off x="0" y="0"/>
                      <a:ext cx="563880" cy="563880"/>
                    </a:xfrm>
                    <a:prstGeom prst="rect">
                      <a:avLst/>
                    </a:prstGeom>
                    <a:noFill/>
                    <a:ln w="9525">
                      <a:noFill/>
                    </a:ln>
                  </pic:spPr>
                </pic:pic>
              </a:graphicData>
            </a:graphic>
          </wp:anchor>
        </w:drawing>
      </w: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ascii="宋体" w:hAnsi="宋体" w:cs="华文中宋"/>
          <w:b/>
          <w:bCs/>
          <w:sz w:val="72"/>
          <w:szCs w:val="72"/>
        </w:rPr>
      </w:pPr>
      <w:r>
        <w:rPr>
          <w:rFonts w:hint="eastAsia" w:ascii="宋体" w:hAnsi="宋体" w:cs="华文中宋"/>
          <w:b/>
          <w:bCs/>
          <w:sz w:val="72"/>
          <w:szCs w:val="72"/>
          <w:lang w:eastAsia="zh-CN"/>
        </w:rPr>
        <w:t>服务采购</w:t>
      </w:r>
    </w:p>
    <w:p>
      <w:pPr>
        <w:snapToGrid w:val="0"/>
        <w:jc w:val="center"/>
        <w:rPr>
          <w:rFonts w:ascii="宋体" w:hAns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4"/>
        <w:spacing w:line="360" w:lineRule="auto"/>
        <w:ind w:firstLine="745" w:firstLineChars="232"/>
        <w:jc w:val="left"/>
        <w:rPr>
          <w:rFonts w:hint="eastAsia" w:ascii="宋体" w:hAnsi="宋体"/>
          <w:b/>
          <w:sz w:val="32"/>
          <w:lang w:eastAsia="zh-CN"/>
        </w:rPr>
      </w:pPr>
      <w:r>
        <w:rPr>
          <w:rFonts w:hint="eastAsia" w:ascii="宋体" w:hAnsi="宋体"/>
          <w:b/>
          <w:sz w:val="32"/>
        </w:rPr>
        <w:t>项目编号：</w:t>
      </w:r>
      <w:r>
        <w:rPr>
          <w:rFonts w:hint="eastAsia" w:ascii="宋体" w:hAnsi="宋体"/>
          <w:b/>
          <w:sz w:val="32"/>
          <w:lang w:eastAsia="zh-CN"/>
        </w:rPr>
        <w:t>GZBC18FG05008</w:t>
      </w:r>
    </w:p>
    <w:p>
      <w:pPr>
        <w:pStyle w:val="4"/>
        <w:spacing w:line="360" w:lineRule="auto"/>
        <w:ind w:firstLine="745" w:firstLineChars="232"/>
        <w:jc w:val="left"/>
        <w:rPr>
          <w:rFonts w:ascii="宋体" w:hAnsi="宋体"/>
          <w:b/>
          <w:sz w:val="32"/>
        </w:rPr>
      </w:pPr>
      <w:r>
        <w:rPr>
          <w:rFonts w:hint="eastAsia" w:ascii="宋体" w:hAnsi="宋体"/>
          <w:b/>
          <w:sz w:val="32"/>
        </w:rPr>
        <w:t>项目名称：</w:t>
      </w:r>
      <w:r>
        <w:rPr>
          <w:rFonts w:hint="eastAsia" w:ascii="宋体" w:hAnsi="宋体"/>
          <w:b/>
          <w:sz w:val="32"/>
          <w:lang w:eastAsia="zh-CN"/>
        </w:rPr>
        <w:t>市桥街北片联合执法队购买安保服务采购项目</w:t>
      </w:r>
    </w:p>
    <w:p>
      <w:pPr>
        <w:pStyle w:val="4"/>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hint="eastAsia" w:ascii="宋体" w:hAnsi="宋体" w:eastAsia="宋体" w:cs="华文中宋"/>
          <w:sz w:val="30"/>
          <w:szCs w:val="30"/>
          <w:lang w:eastAsia="zh-CN"/>
        </w:rPr>
      </w:pPr>
      <w:r>
        <w:rPr>
          <w:rFonts w:hint="eastAsia" w:ascii="宋体" w:hAnsi="宋体" w:cs="华文中宋"/>
          <w:sz w:val="30"/>
          <w:szCs w:val="30"/>
          <w:lang w:eastAsia="zh-CN"/>
        </w:rPr>
        <w:t>广州宝诚招标代理咨询有限公司</w:t>
      </w:r>
    </w:p>
    <w:p>
      <w:pPr>
        <w:jc w:val="center"/>
        <w:rPr>
          <w:rFonts w:hint="eastAsia" w:ascii="宋体" w:hAnsi="宋体" w:cs="华文中宋"/>
          <w:color w:val="auto"/>
          <w:sz w:val="30"/>
          <w:szCs w:val="30"/>
          <w:highlight w:val="none"/>
        </w:rPr>
      </w:pPr>
      <w:r>
        <w:rPr>
          <w:rFonts w:hint="eastAsia" w:ascii="宋体" w:hAnsi="宋体" w:cs="华文中宋"/>
          <w:color w:val="auto"/>
          <w:sz w:val="30"/>
          <w:szCs w:val="30"/>
          <w:highlight w:val="none"/>
        </w:rPr>
        <w:t>发布日期：201</w:t>
      </w:r>
      <w:r>
        <w:rPr>
          <w:rFonts w:hint="eastAsia" w:ascii="宋体" w:hAnsi="宋体" w:cs="华文中宋"/>
          <w:color w:val="auto"/>
          <w:sz w:val="30"/>
          <w:szCs w:val="30"/>
          <w:highlight w:val="none"/>
          <w:lang w:val="en-US" w:eastAsia="zh-CN"/>
        </w:rPr>
        <w:t>8</w:t>
      </w:r>
      <w:r>
        <w:rPr>
          <w:rFonts w:ascii="宋体" w:hAnsi="宋体" w:cs="华文中宋"/>
          <w:color w:val="auto"/>
          <w:sz w:val="30"/>
          <w:szCs w:val="30"/>
          <w:highlight w:val="none"/>
        </w:rPr>
        <w:t>年</w:t>
      </w:r>
      <w:r>
        <w:rPr>
          <w:rFonts w:hint="eastAsia" w:ascii="宋体" w:hAnsi="宋体" w:cs="华文中宋"/>
          <w:color w:val="auto"/>
          <w:sz w:val="30"/>
          <w:szCs w:val="30"/>
          <w:highlight w:val="none"/>
          <w:lang w:val="en-US" w:eastAsia="zh-CN"/>
        </w:rPr>
        <w:t>5</w:t>
      </w:r>
      <w:r>
        <w:rPr>
          <w:rFonts w:ascii="宋体" w:hAnsi="宋体" w:cs="华文中宋"/>
          <w:color w:val="auto"/>
          <w:sz w:val="30"/>
          <w:szCs w:val="30"/>
          <w:highlight w:val="none"/>
        </w:rPr>
        <w:t>月</w:t>
      </w:r>
      <w:r>
        <w:rPr>
          <w:rFonts w:hint="eastAsia" w:ascii="宋体" w:hAnsi="宋体" w:cs="华文中宋"/>
          <w:color w:val="auto"/>
          <w:sz w:val="30"/>
          <w:szCs w:val="30"/>
          <w:highlight w:val="none"/>
          <w:lang w:val="en-US" w:eastAsia="zh-CN"/>
        </w:rPr>
        <w:t>16</w:t>
      </w:r>
      <w:r>
        <w:rPr>
          <w:rFonts w:hint="eastAsia" w:ascii="宋体" w:hAnsi="宋体" w:cs="华文中宋"/>
          <w:color w:val="auto"/>
          <w:sz w:val="30"/>
          <w:szCs w:val="30"/>
          <w:highlight w:val="none"/>
        </w:rPr>
        <w:t>日</w:t>
      </w:r>
    </w:p>
    <w:p>
      <w:pPr>
        <w:autoSpaceDE w:val="0"/>
        <w:autoSpaceDN w:val="0"/>
        <w:adjustRightInd w:val="0"/>
        <w:snapToGrid w:val="0"/>
        <w:spacing w:beforeLines="50" w:afterLines="50" w:line="360" w:lineRule="auto"/>
        <w:jc w:val="center"/>
        <w:rPr>
          <w:rFonts w:hint="eastAsia" w:ascii="宋体" w:hAnsi="宋体"/>
          <w:b/>
          <w:sz w:val="44"/>
          <w:szCs w:val="44"/>
        </w:rPr>
      </w:pPr>
      <w:r>
        <w:rPr>
          <w:rFonts w:hint="eastAsia" w:ascii="宋体" w:hAnsi="宋体"/>
          <w:b/>
          <w:sz w:val="44"/>
          <w:szCs w:val="44"/>
        </w:rPr>
        <w:br w:type="page"/>
      </w:r>
    </w:p>
    <w:p>
      <w:pPr>
        <w:autoSpaceDE w:val="0"/>
        <w:autoSpaceDN w:val="0"/>
        <w:adjustRightInd w:val="0"/>
        <w:snapToGrid w:val="0"/>
        <w:spacing w:beforeLines="50"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w:t>
      </w:r>
      <w:r>
        <w:rPr>
          <w:rFonts w:ascii="宋体" w:hAnsi="宋体"/>
          <w:szCs w:val="21"/>
        </w:rPr>
        <w:t>购买</w:t>
      </w:r>
      <w:r>
        <w:rPr>
          <w:rFonts w:hint="eastAsia" w:ascii="宋体" w:hAnsi="宋体"/>
          <w:szCs w:val="21"/>
        </w:rPr>
        <w:t>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至少提前2个工作日转账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b/>
          <w:szCs w:val="21"/>
        </w:rPr>
        <w:t>首次参与政府采购项目投标的供应商，应在报名成功后最迟必须于开标前一日登录广东省政府采购网进行注册，供应商注册注意事项如下：</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填写组织机构代码证号时，如机构代码证上带有“-”情况下请把“-”也填上，三证合一请看首页办事指南。（如发现机构代码跟上传的证件不一致时，一律退回）</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社保登记证，如该供应商没有社保登记证的情况下，请供应商到社保局将近三个月的缴费证明打印出来或者让社保局开一份参保证明上传到注册信息。（缴费证明和参保证明是要以公司名义开的一份证明，不是要个人的社保证明或者个人的社保证。个体户除外）社保号请咨询社保局。</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机构管理员是填写该机构负责管理该账号的工作人员，机构管理员身份证也是上传该工作人员的身份证。</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在填写国税、地税时，如果只有国税或地税的情况下，两个框中都填写同一编号和主管部门。（如：只有地税号的话，在填写国税号的那一栏中把地税号填上即可）三证合一请看办事指南。</w:t>
      </w:r>
    </w:p>
    <w:p>
      <w:pPr>
        <w:numPr>
          <w:ilvl w:val="0"/>
          <w:numId w:val="3"/>
        </w:numPr>
        <w:tabs>
          <w:tab w:val="left" w:pos="284"/>
        </w:tabs>
        <w:adjustRightInd w:val="0"/>
        <w:snapToGrid w:val="0"/>
        <w:spacing w:line="360" w:lineRule="auto"/>
        <w:rPr>
          <w:rFonts w:ascii="宋体" w:hAnsi="宋体"/>
          <w:b/>
          <w:szCs w:val="21"/>
        </w:rPr>
      </w:pPr>
      <w:r>
        <w:rPr>
          <w:rFonts w:hint="eastAsia" w:ascii="宋体" w:hAnsi="宋体"/>
          <w:b/>
          <w:szCs w:val="21"/>
        </w:rPr>
        <w:t xml:space="preserve">办事指南链接： </w:t>
      </w:r>
      <w:r>
        <w:fldChar w:fldCharType="begin"/>
      </w:r>
      <w:r>
        <w:instrText xml:space="preserve"> HYPERLINK "http://www.gdgpo.com/workEnchiridion.html" </w:instrText>
      </w:r>
      <w:r>
        <w:fldChar w:fldCharType="separate"/>
      </w:r>
      <w:r>
        <w:rPr>
          <w:rFonts w:hint="eastAsia" w:ascii="宋体" w:hAnsi="宋体"/>
          <w:b/>
          <w:szCs w:val="21"/>
        </w:rPr>
        <w:t>http://www.gdgpo.com/workEnchiridion.html</w:t>
      </w:r>
      <w:r>
        <w:rPr>
          <w:rFonts w:hint="eastAsia" w:ascii="宋体" w:hAnsi="宋体"/>
          <w:b/>
          <w:szCs w:val="21"/>
        </w:rPr>
        <w:fldChar w:fldCharType="end"/>
      </w:r>
      <w:r>
        <w:rPr>
          <w:rFonts w:hint="eastAsia" w:ascii="宋体" w:hAnsi="宋体"/>
          <w:b/>
          <w:szCs w:val="21"/>
        </w:rPr>
        <w:t xml:space="preserve"> </w:t>
      </w:r>
    </w:p>
    <w:p>
      <w:pPr>
        <w:numPr>
          <w:ilvl w:val="0"/>
          <w:numId w:val="2"/>
        </w:numPr>
        <w:tabs>
          <w:tab w:val="left" w:pos="709"/>
        </w:tabs>
        <w:adjustRightInd w:val="0"/>
        <w:snapToGrid w:val="0"/>
        <w:spacing w:line="360" w:lineRule="auto"/>
        <w:ind w:left="700" w:hanging="700"/>
        <w:rPr>
          <w:rFonts w:ascii="宋体" w:hAns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jc w:val="both"/>
        <w:rPr>
          <w:rFonts w:hint="eastAsia" w:ascii="宋体" w:hAnsi="宋体"/>
          <w:b/>
          <w:sz w:val="44"/>
          <w:szCs w:val="44"/>
        </w:rPr>
      </w:pP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8"/>
        <w:ind w:firstLine="2880" w:firstLineChars="900"/>
        <w:jc w:val="left"/>
        <w:rPr>
          <w:rFonts w:cstheme="minorBidi"/>
          <w:b w:val="0"/>
          <w:sz w:val="21"/>
          <w:szCs w:val="22"/>
        </w:rPr>
      </w:pPr>
      <w:r>
        <w:rPr>
          <w:b w:val="0"/>
          <w:sz w:val="32"/>
          <w:szCs w:val="32"/>
        </w:rPr>
        <w:fldChar w:fldCharType="begin"/>
      </w:r>
      <w:r>
        <w:rPr>
          <w:rStyle w:val="13"/>
          <w:b w:val="0"/>
          <w:color w:val="auto"/>
          <w:sz w:val="32"/>
          <w:szCs w:val="32"/>
        </w:rPr>
        <w:instrText xml:space="preserve"> TOC \o "1-1" \h \z \u </w:instrText>
      </w:r>
      <w:r>
        <w:rPr>
          <w:b w:val="0"/>
          <w:sz w:val="32"/>
          <w:szCs w:val="32"/>
        </w:rPr>
        <w:fldChar w:fldCharType="separate"/>
      </w:r>
      <w:r>
        <w:fldChar w:fldCharType="begin"/>
      </w:r>
      <w:r>
        <w:instrText xml:space="preserve"> HYPERLINK \l "_Toc492302245" </w:instrText>
      </w:r>
      <w:r>
        <w:fldChar w:fldCharType="separate"/>
      </w:r>
      <w:r>
        <w:rPr>
          <w:rStyle w:val="13"/>
          <w:rFonts w:hint="eastAsia"/>
          <w:bCs/>
          <w:color w:val="auto"/>
        </w:rPr>
        <w:t>第一章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投标邀请函</w:t>
      </w:r>
      <w:r>
        <w:fldChar w:fldCharType="end"/>
      </w:r>
    </w:p>
    <w:p>
      <w:pPr>
        <w:pStyle w:val="8"/>
        <w:ind w:firstLine="2811" w:firstLineChars="1000"/>
        <w:jc w:val="left"/>
        <w:rPr>
          <w:rFonts w:cstheme="minorBidi"/>
          <w:b w:val="0"/>
          <w:sz w:val="21"/>
          <w:szCs w:val="22"/>
        </w:rPr>
      </w:pPr>
      <w:r>
        <w:fldChar w:fldCharType="begin"/>
      </w:r>
      <w:r>
        <w:instrText xml:space="preserve"> HYPERLINK \l "_Toc492302246" </w:instrText>
      </w:r>
      <w:r>
        <w:fldChar w:fldCharType="separate"/>
      </w:r>
      <w:r>
        <w:rPr>
          <w:rStyle w:val="13"/>
          <w:rFonts w:hint="eastAsia"/>
          <w:bCs/>
          <w:color w:val="auto"/>
        </w:rPr>
        <w:t>第二章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投标资料表</w:t>
      </w:r>
      <w:r>
        <w:fldChar w:fldCharType="end"/>
      </w:r>
    </w:p>
    <w:p>
      <w:pPr>
        <w:pStyle w:val="8"/>
        <w:ind w:firstLine="2811" w:firstLineChars="1000"/>
        <w:jc w:val="left"/>
        <w:rPr>
          <w:rFonts w:cstheme="minorBidi"/>
          <w:b w:val="0"/>
          <w:sz w:val="21"/>
          <w:szCs w:val="22"/>
        </w:rPr>
      </w:pPr>
      <w:r>
        <w:fldChar w:fldCharType="begin"/>
      </w:r>
      <w:r>
        <w:instrText xml:space="preserve"> HYPERLINK \l "_Toc492302247" </w:instrText>
      </w:r>
      <w:r>
        <w:fldChar w:fldCharType="separate"/>
      </w:r>
      <w:r>
        <w:rPr>
          <w:rStyle w:val="13"/>
          <w:rFonts w:hint="eastAsia"/>
          <w:bCs/>
          <w:color w:val="auto"/>
        </w:rPr>
        <w:t>第三章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评分体系与标准</w:t>
      </w:r>
      <w:r>
        <w:fldChar w:fldCharType="end"/>
      </w:r>
    </w:p>
    <w:p>
      <w:pPr>
        <w:pStyle w:val="8"/>
        <w:ind w:firstLine="2811" w:firstLineChars="1000"/>
        <w:jc w:val="left"/>
        <w:rPr>
          <w:rFonts w:cstheme="minorBidi"/>
          <w:b w:val="0"/>
          <w:sz w:val="21"/>
          <w:szCs w:val="22"/>
        </w:rPr>
      </w:pPr>
      <w:r>
        <w:fldChar w:fldCharType="begin"/>
      </w:r>
      <w:r>
        <w:instrText xml:space="preserve"> HYPERLINK \l "_Toc492302252" </w:instrText>
      </w:r>
      <w:r>
        <w:fldChar w:fldCharType="separate"/>
      </w:r>
      <w:r>
        <w:rPr>
          <w:rStyle w:val="13"/>
          <w:rFonts w:hint="eastAsia"/>
          <w:bCs/>
          <w:color w:val="auto"/>
        </w:rPr>
        <w:t>第四章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用户需求书</w:t>
      </w:r>
      <w:r>
        <w:fldChar w:fldCharType="end"/>
      </w:r>
    </w:p>
    <w:p>
      <w:pPr>
        <w:pStyle w:val="8"/>
        <w:ind w:firstLine="2811" w:firstLineChars="1000"/>
        <w:jc w:val="left"/>
        <w:rPr>
          <w:rFonts w:cstheme="minorBidi"/>
          <w:b w:val="0"/>
          <w:sz w:val="21"/>
          <w:szCs w:val="22"/>
        </w:rPr>
      </w:pPr>
      <w:r>
        <w:fldChar w:fldCharType="begin"/>
      </w:r>
      <w:r>
        <w:instrText xml:space="preserve"> HYPERLINK \l "_Toc492302253" </w:instrText>
      </w:r>
      <w:r>
        <w:fldChar w:fldCharType="separate"/>
      </w:r>
      <w:r>
        <w:rPr>
          <w:rStyle w:val="13"/>
          <w:rFonts w:hint="eastAsia"/>
          <w:bCs/>
          <w:color w:val="auto"/>
        </w:rPr>
        <w:t>第五章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合同通用条款</w:t>
      </w:r>
      <w:r>
        <w:fldChar w:fldCharType="end"/>
      </w:r>
    </w:p>
    <w:p>
      <w:pPr>
        <w:pStyle w:val="8"/>
        <w:ind w:firstLine="2811" w:firstLineChars="1000"/>
        <w:jc w:val="left"/>
        <w:rPr>
          <w:rFonts w:cstheme="minorBidi"/>
          <w:b w:val="0"/>
          <w:sz w:val="21"/>
          <w:szCs w:val="22"/>
        </w:rPr>
      </w:pPr>
      <w:r>
        <w:fldChar w:fldCharType="begin"/>
      </w:r>
      <w:r>
        <w:instrText xml:space="preserve"> HYPERLINK \l "_Toc492302254" </w:instrText>
      </w:r>
      <w:r>
        <w:fldChar w:fldCharType="separate"/>
      </w:r>
      <w:r>
        <w:rPr>
          <w:rStyle w:val="13"/>
          <w:rFonts w:hint="eastAsia"/>
          <w:bCs/>
          <w:color w:val="auto"/>
        </w:rPr>
        <w:t>第六章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投标文件格式</w:t>
      </w:r>
      <w:r>
        <w:fldChar w:fldCharType="end"/>
      </w:r>
    </w:p>
    <w:p>
      <w:pPr>
        <w:pStyle w:val="8"/>
        <w:ind w:firstLine="2811" w:firstLineChars="1000"/>
        <w:jc w:val="left"/>
        <w:rPr>
          <w:rFonts w:cstheme="minorBidi"/>
          <w:b w:val="0"/>
          <w:sz w:val="21"/>
          <w:szCs w:val="22"/>
        </w:rPr>
      </w:pPr>
      <w:r>
        <w:fldChar w:fldCharType="begin"/>
      </w:r>
      <w:r>
        <w:instrText xml:space="preserve"> HYPERLINK \l "_Toc492302255" </w:instrText>
      </w:r>
      <w:r>
        <w:fldChar w:fldCharType="separate"/>
      </w:r>
      <w:r>
        <w:rPr>
          <w:rStyle w:val="13"/>
          <w:rFonts w:hint="eastAsia"/>
          <w:bCs/>
          <w:color w:val="auto"/>
        </w:rPr>
        <w:t>第七章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投标人须知</w:t>
      </w:r>
      <w:r>
        <w:fldChar w:fldCharType="end"/>
      </w:r>
    </w:p>
    <w:p>
      <w:pPr>
        <w:rPr>
          <w:rFonts w:cs="Calibri"/>
          <w:b w:val="0"/>
          <w:sz w:val="32"/>
          <w:szCs w:val="32"/>
        </w:rPr>
      </w:pPr>
      <w:r>
        <w:rPr>
          <w:rFonts w:cs="Calibri"/>
          <w:b w:val="0"/>
          <w:sz w:val="32"/>
          <w:szCs w:val="32"/>
        </w:rPr>
        <w:fldChar w:fldCharType="end"/>
      </w:r>
    </w:p>
    <w:p>
      <w:pPr>
        <w:rPr>
          <w:rFonts w:cs="Calibri"/>
          <w:b w:val="0"/>
          <w:sz w:val="32"/>
          <w:szCs w:val="32"/>
        </w:rPr>
      </w:pPr>
      <w:r>
        <w:rPr>
          <w:rFonts w:cs="Calibri"/>
          <w:b w:val="0"/>
          <w:sz w:val="32"/>
          <w:szCs w:val="32"/>
        </w:rPr>
        <w:br w:type="page"/>
      </w:r>
    </w:p>
    <w:p>
      <w:pPr>
        <w:pStyle w:val="8"/>
        <w:rPr>
          <w:sz w:val="24"/>
        </w:rPr>
      </w:pPr>
      <w:bookmarkStart w:id="0" w:name="_Toc480529433"/>
      <w:bookmarkStart w:id="1" w:name="_Toc463018928"/>
      <w:r>
        <w:rPr>
          <w:rFonts w:hint="eastAsia"/>
        </w:rPr>
        <w:t>（专用条款）</w:t>
      </w:r>
      <w:bookmarkEnd w:id="0"/>
      <w:bookmarkEnd w:id="1"/>
    </w:p>
    <w:p>
      <w:pPr>
        <w:adjustRightInd w:val="0"/>
        <w:snapToGrid w:val="0"/>
        <w:spacing w:beforeLines="50" w:afterLines="50"/>
        <w:jc w:val="center"/>
        <w:outlineLvl w:val="0"/>
        <w:rPr>
          <w:rFonts w:ascii="宋体" w:hAnsi="宋体"/>
          <w:b/>
          <w:bCs/>
          <w:sz w:val="30"/>
          <w:szCs w:val="30"/>
        </w:rPr>
      </w:pPr>
      <w:bookmarkStart w:id="2" w:name="_Toc480529434"/>
      <w:bookmarkStart w:id="3" w:name="_Toc463018929"/>
      <w:bookmarkStart w:id="4" w:name="_Toc492302245"/>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lang w:eastAsia="zh-CN"/>
        </w:rPr>
        <w:t>广州宝诚招标代理咨询有限公司</w:t>
      </w:r>
      <w:r>
        <w:rPr>
          <w:rFonts w:hint="eastAsia" w:ascii="宋体" w:hAnsi="宋体"/>
          <w:bCs/>
          <w:szCs w:val="20"/>
        </w:rPr>
        <w:t>（</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color w:val="FF0000"/>
          <w:szCs w:val="21"/>
          <w:lang w:eastAsia="zh-CN"/>
        </w:rPr>
        <w:t>广州市番禺区市桥建设开发公司</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市桥街北片联合执法队购买安保服务采购项目</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4"/>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lang w:eastAsia="zh-CN"/>
        </w:rPr>
        <w:t>GZBC18FG05008</w:t>
      </w:r>
    </w:p>
    <w:p>
      <w:pPr>
        <w:numPr>
          <w:ilvl w:val="0"/>
          <w:numId w:val="4"/>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lang w:eastAsia="zh-CN"/>
        </w:rPr>
        <w:t>市桥街北片联合执法队购买安保服务采购项目</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采购项目预算金额（元）：</w:t>
      </w:r>
      <w:r>
        <w:rPr>
          <w:rFonts w:hint="eastAsia" w:ascii="宋体" w:hAnsi="宋体"/>
          <w:bCs/>
          <w:szCs w:val="20"/>
          <w:lang w:val="en-US" w:eastAsia="zh-CN"/>
        </w:rPr>
        <w:t>1684800元</w:t>
      </w:r>
      <w:r>
        <w:rPr>
          <w:rFonts w:hint="eastAsia" w:ascii="宋体" w:hAnsi="宋体"/>
          <w:bCs/>
          <w:szCs w:val="21"/>
        </w:rPr>
        <w:t>；</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采购数量：</w:t>
      </w:r>
      <w:r>
        <w:rPr>
          <w:rFonts w:hint="eastAsia" w:ascii="宋体" w:hAnsi="宋体"/>
          <w:bCs/>
          <w:szCs w:val="20"/>
          <w:lang w:val="en-US" w:eastAsia="zh-CN"/>
        </w:rPr>
        <w:t>1</w:t>
      </w:r>
      <w:r>
        <w:rPr>
          <w:rFonts w:hint="eastAsia" w:ascii="宋体" w:hAnsi="宋体"/>
          <w:bCs/>
          <w:szCs w:val="20"/>
        </w:rPr>
        <w:t>项</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5"/>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服务期限</w:t>
            </w:r>
          </w:p>
        </w:tc>
        <w:tc>
          <w:tcPr>
            <w:tcW w:w="3216" w:type="dxa"/>
            <w:vAlign w:val="center"/>
          </w:tcPr>
          <w:p>
            <w:pPr>
              <w:snapToGrid w:val="0"/>
              <w:spacing w:line="276" w:lineRule="auto"/>
              <w:jc w:val="center"/>
              <w:rPr>
                <w:rFonts w:hint="eastAsia" w:ascii="宋体" w:hAnsi="宋体"/>
                <w:b/>
                <w:bCs/>
                <w:szCs w:val="21"/>
              </w:rPr>
            </w:pPr>
            <w:r>
              <w:rPr>
                <w:rFonts w:hint="eastAsia" w:ascii="宋体" w:hAnsi="宋体"/>
                <w:b/>
                <w:bCs w:val="0"/>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color w:val="000000"/>
                <w:szCs w:val="21"/>
                <w:lang w:eastAsia="zh-CN"/>
              </w:rPr>
              <w:t>协助配合巡查、防火、防盗、安全隐患消除、乱摆乱卖等违规行为处理，安全保卫和公共秩序管理、应急事件现场处置以及交办工作等</w:t>
            </w:r>
          </w:p>
        </w:tc>
        <w:tc>
          <w:tcPr>
            <w:tcW w:w="3126" w:type="dxa"/>
            <w:vAlign w:val="center"/>
          </w:tcPr>
          <w:p>
            <w:pPr>
              <w:numPr>
                <w:ilvl w:val="0"/>
                <w:numId w:val="0"/>
              </w:numPr>
              <w:adjustRightInd w:val="0"/>
              <w:snapToGrid w:val="0"/>
              <w:spacing w:line="240" w:lineRule="auto"/>
              <w:ind w:firstLine="210" w:firstLineChars="100"/>
              <w:jc w:val="left"/>
              <w:rPr>
                <w:rFonts w:hint="eastAsia" w:ascii="宋体" w:hAnsi="宋体" w:eastAsia="宋体"/>
                <w:bCs/>
                <w:szCs w:val="21"/>
                <w:lang w:eastAsia="zh-CN"/>
              </w:rPr>
            </w:pPr>
            <w:r>
              <w:rPr>
                <w:rFonts w:hint="eastAsia" w:ascii="宋体" w:hAnsi="宋体"/>
                <w:color w:val="000000"/>
                <w:szCs w:val="21"/>
                <w:lang w:eastAsia="zh-CN"/>
              </w:rPr>
              <w:t>自合同签订之日起为期一年</w:t>
            </w:r>
          </w:p>
        </w:tc>
        <w:tc>
          <w:tcPr>
            <w:tcW w:w="3216" w:type="dxa"/>
            <w:vAlign w:val="center"/>
          </w:tcPr>
          <w:p>
            <w:pPr>
              <w:numPr>
                <w:ilvl w:val="0"/>
                <w:numId w:val="0"/>
              </w:numPr>
              <w:adjustRightInd w:val="0"/>
              <w:snapToGrid w:val="0"/>
              <w:spacing w:line="240" w:lineRule="auto"/>
              <w:ind w:leftChars="0"/>
              <w:jc w:val="center"/>
              <w:rPr>
                <w:rFonts w:hint="eastAsia" w:ascii="宋体" w:hAnsi="宋体"/>
                <w:bCs/>
                <w:szCs w:val="20"/>
                <w:lang w:val="en-US" w:eastAsia="zh-CN"/>
              </w:rPr>
            </w:pPr>
            <w:r>
              <w:rPr>
                <w:rFonts w:hint="eastAsia" w:ascii="宋体" w:hAnsi="宋体"/>
                <w:bCs/>
                <w:szCs w:val="20"/>
                <w:lang w:val="en-US" w:eastAsia="zh-CN"/>
              </w:rPr>
              <w:t>1684800元</w:t>
            </w:r>
          </w:p>
        </w:tc>
      </w:tr>
    </w:tbl>
    <w:p>
      <w:pPr>
        <w:numPr>
          <w:ilvl w:val="0"/>
          <w:numId w:val="5"/>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w:t>
      </w:r>
    </w:p>
    <w:p>
      <w:pPr>
        <w:numPr>
          <w:ilvl w:val="0"/>
          <w:numId w:val="5"/>
        </w:numPr>
        <w:adjustRightInd w:val="0"/>
        <w:snapToGrid w:val="0"/>
        <w:spacing w:line="360" w:lineRule="auto"/>
        <w:rPr>
          <w:rFonts w:ascii="宋体" w:hAnsi="宋体"/>
          <w:bCs/>
          <w:szCs w:val="20"/>
        </w:rPr>
      </w:pPr>
      <w:r>
        <w:rPr>
          <w:rFonts w:hint="eastAsia" w:ascii="宋体" w:hAnsi="宋体"/>
          <w:bCs/>
          <w:szCs w:val="20"/>
        </w:rPr>
        <w:t>本项目属于</w:t>
      </w:r>
      <w:r>
        <w:rPr>
          <w:rFonts w:hint="eastAsia" w:ascii="宋体" w:hAnsi="宋体"/>
          <w:b w:val="0"/>
          <w:bCs/>
          <w:color w:val="FF0000"/>
          <w:szCs w:val="20"/>
          <w:lang w:eastAsia="zh-CN"/>
        </w:rPr>
        <w:t>非</w:t>
      </w:r>
      <w:r>
        <w:rPr>
          <w:rFonts w:hint="eastAsia" w:ascii="宋体" w:hAnsi="宋体"/>
          <w:b w:val="0"/>
          <w:bCs/>
          <w:color w:val="FF0000"/>
          <w:szCs w:val="20"/>
        </w:rPr>
        <w:t>政府采购项目</w:t>
      </w:r>
      <w:r>
        <w:rPr>
          <w:rFonts w:hint="eastAsia" w:ascii="宋体" w:hAnsi="宋体"/>
          <w:bCs/>
          <w:szCs w:val="20"/>
        </w:rPr>
        <w:t xml:space="preserve">。 </w:t>
      </w:r>
    </w:p>
    <w:p>
      <w:pPr>
        <w:numPr>
          <w:ilvl w:val="0"/>
          <w:numId w:val="4"/>
        </w:numPr>
        <w:tabs>
          <w:tab w:val="center" w:pos="4156"/>
        </w:tabs>
        <w:adjustRightInd w:val="0"/>
        <w:snapToGrid w:val="0"/>
        <w:spacing w:line="360" w:lineRule="auto"/>
        <w:rPr>
          <w:rFonts w:ascii="宋体" w:hAnsi="宋体"/>
          <w:bCs/>
          <w:szCs w:val="20"/>
        </w:rPr>
      </w:pPr>
      <w:r>
        <w:rPr>
          <w:rFonts w:hint="eastAsia" w:ascii="宋体" w:hAnsi="宋体"/>
          <w:bCs/>
          <w:szCs w:val="20"/>
        </w:rPr>
        <w:t>供应商资格：</w:t>
      </w:r>
      <w:r>
        <w:rPr>
          <w:rFonts w:hint="eastAsia" w:ascii="宋体" w:hAnsi="宋体"/>
          <w:bCs/>
          <w:szCs w:val="20"/>
          <w:lang w:eastAsia="zh-CN"/>
        </w:rPr>
        <w:tab/>
      </w:r>
    </w:p>
    <w:p>
      <w:pPr>
        <w:numPr>
          <w:ilvl w:val="0"/>
          <w:numId w:val="6"/>
        </w:numPr>
        <w:adjustRightInd w:val="0"/>
        <w:snapToGrid w:val="0"/>
        <w:spacing w:line="360" w:lineRule="auto"/>
        <w:rPr>
          <w:rFonts w:ascii="宋体" w:hAnsi="宋体"/>
          <w:bCs/>
          <w:szCs w:val="20"/>
        </w:rPr>
      </w:pPr>
      <w:r>
        <w:rPr>
          <w:rFonts w:hint="eastAsia" w:ascii="宋体" w:hAnsi="宋体"/>
          <w:bCs/>
          <w:szCs w:val="20"/>
        </w:rPr>
        <w:t>供应商应具备《中华人民共和国政府采购法》第二十二条规定的条件：</w:t>
      </w:r>
    </w:p>
    <w:p>
      <w:pPr>
        <w:numPr>
          <w:ilvl w:val="0"/>
          <w:numId w:val="7"/>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1"/>
        </w:rPr>
        <w:t>有效的企业法人营业执照（或事业法人登记证）、其他组织的营业执照或者民办非企业单位登记证书复印件；</w:t>
      </w:r>
    </w:p>
    <w:p>
      <w:pPr>
        <w:numPr>
          <w:ilvl w:val="0"/>
          <w:numId w:val="7"/>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p>
    <w:p>
      <w:pPr>
        <w:numPr>
          <w:ilvl w:val="0"/>
          <w:numId w:val="7"/>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p>
    <w:p>
      <w:pPr>
        <w:numPr>
          <w:ilvl w:val="0"/>
          <w:numId w:val="7"/>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p>
    <w:p>
      <w:pPr>
        <w:spacing w:line="360" w:lineRule="auto"/>
        <w:rPr>
          <w:rFonts w:hint="eastAsia" w:ascii="宋体" w:hAnsi="宋体" w:cs="宋体"/>
          <w:bCs/>
          <w:color w:val="auto"/>
          <w:kern w:val="0"/>
          <w:szCs w:val="21"/>
        </w:rPr>
      </w:pPr>
      <w:r>
        <w:rPr>
          <w:rFonts w:hint="eastAsia" w:ascii="宋体" w:hAnsi="宋体" w:cs="新宋体"/>
          <w:color w:val="auto"/>
          <w:lang w:val="en-US" w:eastAsia="zh-CN"/>
        </w:rPr>
        <w:t xml:space="preserve">2.   </w:t>
      </w:r>
      <w:r>
        <w:rPr>
          <w:rFonts w:hint="eastAsia" w:ascii="宋体" w:hAnsi="宋体" w:cs="新宋体"/>
          <w:color w:val="auto"/>
        </w:rPr>
        <w:t>提供</w:t>
      </w:r>
      <w:r>
        <w:rPr>
          <w:rFonts w:hint="eastAsia" w:ascii="宋体" w:hAnsi="宋体" w:cs="宋体"/>
          <w:bCs/>
          <w:color w:val="auto"/>
          <w:kern w:val="0"/>
          <w:szCs w:val="21"/>
        </w:rPr>
        <w:t>《公平竞争承诺书》原件和</w:t>
      </w:r>
      <w:r>
        <w:rPr>
          <w:rFonts w:hint="eastAsia" w:ascii="宋体" w:hAnsi="宋体" w:cs="新宋体"/>
          <w:color w:val="auto"/>
        </w:rPr>
        <w:t>提供人民检察院出具的《无行贿犯罪档案记录证明》复印件</w:t>
      </w:r>
      <w:r>
        <w:rPr>
          <w:rFonts w:hint="eastAsia" w:ascii="宋体" w:hAnsi="宋体" w:cs="宋体"/>
          <w:bCs/>
          <w:color w:val="auto"/>
          <w:kern w:val="0"/>
          <w:szCs w:val="21"/>
        </w:rPr>
        <w:t>。</w:t>
      </w:r>
    </w:p>
    <w:p>
      <w:pPr>
        <w:numPr>
          <w:ilvl w:val="0"/>
          <w:numId w:val="0"/>
        </w:numPr>
        <w:adjustRightInd w:val="0"/>
        <w:snapToGrid w:val="0"/>
        <w:spacing w:line="360" w:lineRule="auto"/>
        <w:ind w:leftChars="0"/>
        <w:rPr>
          <w:rFonts w:ascii="宋体" w:hAnsi="宋体" w:cs="宋体"/>
          <w:bCs/>
          <w:kern w:val="0"/>
          <w:szCs w:val="21"/>
        </w:rPr>
      </w:pPr>
      <w:r>
        <w:rPr>
          <w:rFonts w:hint="eastAsia" w:ascii="宋体" w:hAnsi="宋体" w:cs="宋体"/>
          <w:bCs/>
          <w:kern w:val="0"/>
          <w:szCs w:val="21"/>
          <w:lang w:val="en-US" w:eastAsia="zh-CN"/>
        </w:rPr>
        <w:t xml:space="preserve">3.   </w:t>
      </w:r>
      <w:r>
        <w:rPr>
          <w:rFonts w:hint="eastAsia" w:ascii="宋体" w:hAnsi="宋体" w:cs="宋体"/>
          <w:bCs/>
          <w:kern w:val="0"/>
          <w:szCs w:val="21"/>
        </w:rPr>
        <w:t>本项目不接受联合体投标。</w:t>
      </w:r>
    </w:p>
    <w:p>
      <w:pPr>
        <w:numPr>
          <w:ilvl w:val="0"/>
          <w:numId w:val="0"/>
        </w:numPr>
        <w:adjustRightInd w:val="0"/>
        <w:snapToGrid w:val="0"/>
        <w:spacing w:line="360" w:lineRule="auto"/>
        <w:ind w:leftChars="0"/>
        <w:rPr>
          <w:rFonts w:hint="eastAsia" w:ascii="宋体" w:hAnsi="宋体" w:cs="宋体"/>
          <w:bCs/>
          <w:kern w:val="0"/>
          <w:szCs w:val="21"/>
        </w:rPr>
      </w:pPr>
      <w:r>
        <w:rPr>
          <w:rFonts w:hint="eastAsia" w:ascii="宋体" w:hAnsi="宋体" w:cs="宋体"/>
          <w:bCs/>
          <w:kern w:val="0"/>
          <w:szCs w:val="21"/>
          <w:lang w:val="en-US" w:eastAsia="zh-CN"/>
        </w:rPr>
        <w:t xml:space="preserve">4.   </w:t>
      </w:r>
      <w:r>
        <w:rPr>
          <w:rFonts w:hint="eastAsia" w:ascii="宋体" w:hAnsi="宋体" w:cs="宋体"/>
          <w:bCs/>
          <w:kern w:val="0"/>
          <w:szCs w:val="21"/>
        </w:rPr>
        <w:t>已办理报名及登记手续购买本招标文件的供应商。</w:t>
      </w:r>
    </w:p>
    <w:p>
      <w:pPr>
        <w:adjustRightInd w:val="0"/>
        <w:snapToGrid w:val="0"/>
        <w:spacing w:line="360" w:lineRule="auto"/>
        <w:ind w:left="409" w:leftChars="195"/>
        <w:rPr>
          <w:rFonts w:ascii="宋体" w:hAnsi="宋体"/>
          <w:b/>
          <w:bCs w:val="0"/>
          <w:color w:val="auto"/>
          <w:szCs w:val="21"/>
        </w:rPr>
      </w:pPr>
      <w:r>
        <w:rPr>
          <w:rFonts w:hint="eastAsia" w:ascii="宋体" w:hAnsi="宋体"/>
          <w:b/>
          <w:bCs w:val="0"/>
          <w:szCs w:val="21"/>
        </w:rPr>
        <w:t>获取招标文件方式：供应商应登入采购代理机构网站（</w:t>
      </w:r>
      <w:r>
        <w:rPr>
          <w:rFonts w:hint="eastAsia" w:ascii="宋体" w:hAnsi="宋体"/>
          <w:b/>
          <w:bCs w:val="0"/>
          <w:szCs w:val="21"/>
          <w:lang w:eastAsia="zh-CN"/>
        </w:rPr>
        <w:t xml:space="preserve"> http://www.baochengdaili.com/</w:t>
      </w:r>
      <w:r>
        <w:rPr>
          <w:rFonts w:hint="eastAsia" w:ascii="宋体" w:hAnsi="宋体"/>
          <w:b/>
          <w:bCs w:val="0"/>
          <w:szCs w:val="21"/>
        </w:rPr>
        <w:t>），点击网站</w:t>
      </w:r>
      <w:r>
        <w:rPr>
          <w:rFonts w:hint="eastAsia" w:ascii="宋体" w:hAnsi="宋体"/>
          <w:b/>
          <w:bCs w:val="0"/>
          <w:szCs w:val="21"/>
          <w:lang w:eastAsia="zh-CN"/>
        </w:rPr>
        <w:t>左下</w:t>
      </w:r>
      <w:r>
        <w:rPr>
          <w:rFonts w:hint="eastAsia" w:ascii="宋体" w:hAnsi="宋体"/>
          <w:b/>
          <w:bCs w:val="0"/>
          <w:szCs w:val="21"/>
        </w:rPr>
        <w:t>方“</w:t>
      </w:r>
      <w:r>
        <w:rPr>
          <w:rFonts w:hint="eastAsia" w:ascii="宋体" w:hAnsi="宋体"/>
          <w:b/>
          <w:bCs w:val="0"/>
          <w:szCs w:val="21"/>
          <w:lang w:eastAsia="zh-CN"/>
        </w:rPr>
        <w:t>文件下载</w:t>
      </w:r>
      <w:r>
        <w:rPr>
          <w:rFonts w:hint="eastAsia" w:ascii="宋体" w:hAnsi="宋体"/>
          <w:b/>
          <w:bCs w:val="0"/>
          <w:szCs w:val="21"/>
        </w:rPr>
        <w:t>”</w:t>
      </w:r>
      <w:r>
        <w:rPr>
          <w:rFonts w:hint="eastAsia" w:ascii="宋体" w:hAnsi="宋体"/>
          <w:b/>
          <w:bCs w:val="0"/>
          <w:szCs w:val="21"/>
          <w:lang w:eastAsia="zh-CN"/>
        </w:rPr>
        <w:t>的更多</w:t>
      </w:r>
      <w:r>
        <w:rPr>
          <w:rFonts w:hint="eastAsia" w:ascii="宋体" w:hAnsi="宋体"/>
          <w:b/>
          <w:bCs w:val="0"/>
          <w:szCs w:val="21"/>
        </w:rPr>
        <w:t>，</w:t>
      </w:r>
      <w:r>
        <w:rPr>
          <w:rFonts w:hint="eastAsia" w:ascii="宋体" w:hAnsi="宋体"/>
          <w:b/>
          <w:bCs w:val="0"/>
          <w:szCs w:val="21"/>
          <w:lang w:eastAsia="zh-CN"/>
        </w:rPr>
        <w:t>选择最后一页中的</w:t>
      </w:r>
      <w:r>
        <w:rPr>
          <w:rFonts w:hint="eastAsia" w:ascii="宋体" w:hAnsi="宋体"/>
          <w:b/>
          <w:bCs w:val="0"/>
          <w:szCs w:val="21"/>
        </w:rPr>
        <w:t>“《</w:t>
      </w:r>
      <w:r>
        <w:rPr>
          <w:rFonts w:hint="eastAsia" w:ascii="宋体" w:hAnsi="宋体"/>
          <w:b/>
          <w:bCs w:val="0"/>
          <w:szCs w:val="21"/>
          <w:lang w:eastAsia="zh-CN"/>
        </w:rPr>
        <w:t>购买文件登记表</w:t>
      </w:r>
      <w:r>
        <w:rPr>
          <w:rFonts w:hint="eastAsia" w:ascii="宋体" w:hAnsi="宋体"/>
          <w:b/>
          <w:bCs w:val="0"/>
          <w:szCs w:val="21"/>
        </w:rPr>
        <w:t>》”</w:t>
      </w:r>
      <w:r>
        <w:rPr>
          <w:rFonts w:hint="eastAsia" w:ascii="宋体" w:hAnsi="宋体"/>
          <w:b/>
          <w:bCs w:val="0"/>
          <w:szCs w:val="21"/>
          <w:lang w:eastAsia="zh-CN"/>
        </w:rPr>
        <w:t>下载，填写好后与下列文件加盖公章后一并提交。</w:t>
      </w:r>
    </w:p>
    <w:p>
      <w:pPr>
        <w:numPr>
          <w:ilvl w:val="0"/>
          <w:numId w:val="8"/>
        </w:numPr>
        <w:adjustRightInd w:val="0"/>
        <w:snapToGrid w:val="0"/>
        <w:spacing w:line="360" w:lineRule="auto"/>
        <w:rPr>
          <w:rFonts w:ascii="宋体" w:hAnsi="宋体" w:cs="宋体"/>
          <w:bCs/>
          <w:color w:val="auto"/>
          <w:kern w:val="0"/>
          <w:szCs w:val="21"/>
        </w:rPr>
      </w:pPr>
      <w:r>
        <w:rPr>
          <w:rFonts w:hint="eastAsia" w:ascii="宋体" w:hAnsi="宋体" w:cs="宋体"/>
          <w:bCs/>
          <w:color w:val="auto"/>
          <w:kern w:val="0"/>
          <w:szCs w:val="21"/>
        </w:rPr>
        <w:t>有效的企业法人营业执照（或事业法人登记证）、其他组织的营业执照或者民办非企业单位登记证书复印件；（若分公司投标：供应商为非独立法人(即由合法法人依法建立的分公司），须同时</w:t>
      </w:r>
      <w:r>
        <w:rPr>
          <w:rFonts w:ascii="宋体" w:hAnsi="宋体" w:cs="宋体"/>
          <w:bCs/>
          <w:color w:val="auto"/>
          <w:kern w:val="0"/>
          <w:szCs w:val="21"/>
        </w:rPr>
        <w:t>提供总公司的营业执照副本复印件及总公司</w:t>
      </w:r>
      <w:r>
        <w:rPr>
          <w:rFonts w:hint="eastAsia" w:ascii="宋体" w:hAnsi="宋体" w:cs="宋体"/>
          <w:bCs/>
          <w:color w:val="auto"/>
          <w:kern w:val="0"/>
          <w:szCs w:val="21"/>
        </w:rPr>
        <w:t>对分公司出具的有效</w:t>
      </w:r>
      <w:r>
        <w:rPr>
          <w:rFonts w:ascii="宋体" w:hAnsi="宋体" w:cs="宋体"/>
          <w:bCs/>
          <w:color w:val="auto"/>
          <w:kern w:val="0"/>
          <w:szCs w:val="21"/>
        </w:rPr>
        <w:t>授权书原件。</w:t>
      </w:r>
      <w:r>
        <w:rPr>
          <w:rFonts w:hint="eastAsia" w:ascii="宋体" w:hAnsi="宋体" w:cs="宋体"/>
          <w:bCs/>
          <w:color w:val="auto"/>
          <w:kern w:val="0"/>
          <w:szCs w:val="21"/>
        </w:rPr>
        <w:t>分公司已获得总公司有效授权的，总公司取得的相关资质证书对分公司有效。若法律法规或招标文件另有规定的从其规定）</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r>
        <w:rPr>
          <w:rFonts w:hint="eastAsia" w:ascii="宋体" w:hAnsi="宋体"/>
          <w:bCs/>
          <w:color w:val="auto"/>
          <w:szCs w:val="21"/>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《公平竞争承诺书》复印件；人民检察院出具的《无行贿犯罪档案记录证明》复印件（原件备查）；</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购买招标文件经办人，需提供：</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经办人如是法定代表人，需提供法定代表人证明书及法定代表人身份证复印件</w:t>
      </w:r>
      <w:r>
        <w:rPr>
          <w:rFonts w:hint="eastAsia"/>
          <w:color w:val="auto"/>
          <w:sz w:val="21"/>
          <w:szCs w:val="21"/>
        </w:rPr>
        <w:t>；</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w:t>
      </w:r>
      <w:r>
        <w:rPr>
          <w:rFonts w:hint="eastAsia"/>
          <w:color w:val="auto"/>
          <w:sz w:val="21"/>
          <w:szCs w:val="21"/>
        </w:rPr>
        <w:t>如是投标人授权代表</w:t>
      </w:r>
      <w:r>
        <w:rPr>
          <w:rFonts w:hint="eastAsia"/>
          <w:bCs/>
          <w:color w:val="auto"/>
          <w:sz w:val="21"/>
          <w:szCs w:val="21"/>
        </w:rPr>
        <w:t>，需提供法定代表人授权委托书及</w:t>
      </w:r>
      <w:r>
        <w:rPr>
          <w:rFonts w:hint="eastAsia"/>
          <w:color w:val="auto"/>
          <w:sz w:val="21"/>
          <w:szCs w:val="21"/>
        </w:rPr>
        <w:t>授权代表</w:t>
      </w:r>
      <w:r>
        <w:rPr>
          <w:rFonts w:hint="eastAsia"/>
          <w:bCs/>
          <w:color w:val="auto"/>
          <w:sz w:val="21"/>
          <w:szCs w:val="21"/>
        </w:rPr>
        <w:t>身份证复印件</w:t>
      </w:r>
      <w:r>
        <w:rPr>
          <w:rFonts w:hint="eastAsia"/>
          <w:color w:val="auto"/>
          <w:sz w:val="21"/>
          <w:szCs w:val="21"/>
        </w:rPr>
        <w:t>；</w:t>
      </w:r>
    </w:p>
    <w:p>
      <w:pPr>
        <w:numPr>
          <w:ilvl w:val="0"/>
          <w:numId w:val="8"/>
        </w:numPr>
        <w:tabs>
          <w:tab w:val="left" w:pos="426"/>
        </w:tabs>
        <w:adjustRightInd w:val="0"/>
        <w:snapToGrid w:val="0"/>
        <w:spacing w:line="360" w:lineRule="auto"/>
        <w:rPr>
          <w:rFonts w:ascii="宋体" w:hAnsi="宋体"/>
          <w:b/>
          <w:color w:val="auto"/>
          <w:szCs w:val="21"/>
        </w:rPr>
      </w:pPr>
      <w:r>
        <w:rPr>
          <w:rFonts w:hint="eastAsia" w:ascii="宋体" w:hAnsi="宋体"/>
          <w:bCs/>
          <w:color w:val="auto"/>
          <w:szCs w:val="21"/>
        </w:rPr>
        <w:t>采购代理机构在招标文件发售期间</w:t>
      </w:r>
      <w:r>
        <w:rPr>
          <w:rFonts w:ascii="宋体" w:hAnsi="宋体"/>
          <w:bCs/>
          <w:color w:val="auto"/>
          <w:szCs w:val="21"/>
        </w:rPr>
        <w:t>通过“</w:t>
      </w:r>
      <w:r>
        <w:rPr>
          <w:rFonts w:ascii="宋体" w:hAnsi="宋体"/>
          <w:b/>
          <w:bCs w:val="0"/>
          <w:color w:val="FF0000"/>
          <w:szCs w:val="21"/>
          <w:u w:val="single"/>
        </w:rPr>
        <w:t>信用中国</w:t>
      </w:r>
      <w:r>
        <w:rPr>
          <w:rFonts w:ascii="宋体" w:hAnsi="宋体"/>
          <w:bCs/>
          <w:color w:val="auto"/>
          <w:szCs w:val="21"/>
        </w:rPr>
        <w:t>”（www.creditchina.gov.cn）</w:t>
      </w:r>
      <w:r>
        <w:rPr>
          <w:rFonts w:hint="eastAsia" w:ascii="宋体" w:hAnsi="宋体"/>
          <w:b/>
          <w:bCs w:val="0"/>
          <w:color w:val="auto"/>
          <w:sz w:val="32"/>
          <w:szCs w:val="32"/>
          <w:lang w:eastAsia="zh-CN"/>
        </w:rPr>
        <w:t>和</w:t>
      </w:r>
      <w:r>
        <w:rPr>
          <w:rFonts w:hint="eastAsia" w:ascii="宋体" w:hAnsi="宋体"/>
          <w:b/>
          <w:bCs w:val="0"/>
          <w:color w:val="FF0000"/>
          <w:szCs w:val="21"/>
          <w:u w:val="single"/>
          <w:lang w:eastAsia="zh-CN"/>
        </w:rPr>
        <w:t>“</w:t>
      </w:r>
      <w:r>
        <w:rPr>
          <w:rFonts w:ascii="宋体" w:hAnsi="宋体"/>
          <w:b/>
          <w:bCs w:val="0"/>
          <w:color w:val="FF0000"/>
          <w:szCs w:val="21"/>
          <w:u w:val="single"/>
        </w:rPr>
        <w:t>中国政府采购网</w:t>
      </w:r>
      <w:r>
        <w:rPr>
          <w:rFonts w:hint="eastAsia" w:ascii="宋体" w:hAnsi="宋体"/>
          <w:b/>
          <w:bCs w:val="0"/>
          <w:color w:val="FF0000"/>
          <w:szCs w:val="21"/>
          <w:u w:val="single"/>
          <w:lang w:eastAsia="zh-CN"/>
        </w:rPr>
        <w:t>”</w:t>
      </w:r>
      <w:r>
        <w:rPr>
          <w:rFonts w:ascii="宋体" w:hAnsi="宋体"/>
          <w:bCs/>
          <w:color w:val="auto"/>
          <w:szCs w:val="21"/>
        </w:rPr>
        <w:t>（www.ccgp.gov.cn）查询</w:t>
      </w:r>
      <w:r>
        <w:rPr>
          <w:rFonts w:hint="eastAsia" w:ascii="宋体" w:hAnsi="宋体"/>
          <w:bCs/>
          <w:color w:val="auto"/>
          <w:szCs w:val="21"/>
        </w:rPr>
        <w:t>供应商信用记录。采购代理机构</w:t>
      </w:r>
      <w:r>
        <w:rPr>
          <w:rFonts w:ascii="宋体" w:hAnsi="宋体"/>
          <w:bCs/>
          <w:color w:val="auto"/>
          <w:szCs w:val="21"/>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color w:val="auto"/>
          <w:szCs w:val="21"/>
        </w:rPr>
        <w:t>（处罚期限届满的除外）</w:t>
      </w:r>
      <w:r>
        <w:rPr>
          <w:rFonts w:ascii="宋体" w:hAnsi="宋体"/>
          <w:bCs/>
          <w:color w:val="auto"/>
          <w:szCs w:val="21"/>
        </w:rPr>
        <w:t>。</w:t>
      </w:r>
      <w:r>
        <w:rPr>
          <w:rFonts w:hint="eastAsia" w:ascii="宋体" w:hAnsi="宋体"/>
          <w:b/>
          <w:bCs w:val="0"/>
          <w:color w:val="auto"/>
          <w:szCs w:val="21"/>
          <w:lang w:eastAsia="zh-CN"/>
        </w:rPr>
        <w:t>供应商须提供页面截图。</w:t>
      </w:r>
    </w:p>
    <w:p>
      <w:pPr>
        <w:pStyle w:val="1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备注：《</w:t>
      </w:r>
      <w:r>
        <w:rPr>
          <w:rFonts w:ascii="宋体" w:hAnsi="宋体"/>
          <w:b/>
          <w:szCs w:val="21"/>
        </w:rPr>
        <w:t>行贿犯罪档案查询申请书</w:t>
      </w:r>
      <w:r>
        <w:rPr>
          <w:rFonts w:hint="eastAsia" w:ascii="宋体" w:hAnsi="宋体"/>
          <w:b/>
          <w:szCs w:val="21"/>
        </w:rPr>
        <w:t>》及《公平竞争承诺书》详见采购代理机构网站（</w:t>
      </w:r>
      <w:r>
        <w:fldChar w:fldCharType="begin"/>
      </w:r>
      <w:r>
        <w:instrText xml:space="preserve"> HYPERLINK "http://www.chinapsp.cn" </w:instrText>
      </w:r>
      <w:r>
        <w:fldChar w:fldCharType="separate"/>
      </w:r>
      <w:r>
        <w:rPr>
          <w:rFonts w:hint="eastAsia" w:ascii="宋体" w:hAnsi="宋体"/>
          <w:b/>
          <w:szCs w:val="21"/>
          <w:lang w:eastAsia="zh-CN"/>
        </w:rPr>
        <w:t xml:space="preserve"> http://www.baochengdaili.com/</w:t>
      </w:r>
      <w:r>
        <w:rPr>
          <w:rFonts w:hint="eastAsia" w:ascii="宋体" w:hAnsi="宋体"/>
          <w:b/>
          <w:szCs w:val="21"/>
        </w:rPr>
        <w:fldChar w:fldCharType="end"/>
      </w:r>
      <w:r>
        <w:rPr>
          <w:rFonts w:hint="eastAsia" w:ascii="宋体" w:hAnsi="宋体"/>
          <w:b/>
          <w:szCs w:val="21"/>
        </w:rPr>
        <w:t>）“</w:t>
      </w:r>
      <w:r>
        <w:rPr>
          <w:rFonts w:hint="eastAsia" w:ascii="宋体" w:hAnsi="宋体"/>
          <w:b/>
          <w:szCs w:val="21"/>
          <w:lang w:eastAsia="zh-CN"/>
        </w:rPr>
        <w:t>文件下载</w:t>
      </w:r>
      <w:r>
        <w:rPr>
          <w:rFonts w:hint="eastAsia" w:ascii="宋体" w:hAnsi="宋体"/>
          <w:b/>
          <w:szCs w:val="21"/>
        </w:rPr>
        <w:t>”。</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szCs w:val="21"/>
          <w:highlight w:val="none"/>
        </w:rPr>
        <w:t>符合资格的供应商应当在</w:t>
      </w:r>
      <w:r>
        <w:rPr>
          <w:rFonts w:hint="eastAsia" w:ascii="宋体" w:hAnsi="宋体"/>
          <w:color w:val="FF0000"/>
          <w:szCs w:val="21"/>
          <w:highlight w:val="none"/>
        </w:rPr>
        <w:t>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5</w:t>
      </w:r>
      <w:r>
        <w:rPr>
          <w:rFonts w:hint="eastAsia" w:ascii="宋体" w:hAnsi="宋体"/>
          <w:bCs/>
          <w:color w:val="FF0000"/>
          <w:szCs w:val="21"/>
          <w:highlight w:val="none"/>
        </w:rPr>
        <w:t>月</w:t>
      </w:r>
      <w:r>
        <w:rPr>
          <w:rFonts w:hint="eastAsia" w:ascii="宋体" w:hAnsi="宋体"/>
          <w:bCs/>
          <w:color w:val="FF0000"/>
          <w:szCs w:val="21"/>
          <w:highlight w:val="none"/>
          <w:lang w:val="en-US" w:eastAsia="zh-CN"/>
        </w:rPr>
        <w:t>17</w:t>
      </w:r>
      <w:r>
        <w:rPr>
          <w:rFonts w:hint="eastAsia" w:ascii="宋体" w:hAnsi="宋体"/>
          <w:bCs/>
          <w:color w:val="FF0000"/>
          <w:szCs w:val="21"/>
          <w:highlight w:val="none"/>
        </w:rPr>
        <w:t>日</w:t>
      </w:r>
      <w:r>
        <w:rPr>
          <w:rFonts w:hint="eastAsia" w:ascii="宋体" w:hAnsi="宋体"/>
          <w:color w:val="FF0000"/>
          <w:szCs w:val="21"/>
          <w:highlight w:val="none"/>
        </w:rPr>
        <w:t>至201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6</w:t>
      </w:r>
      <w:r>
        <w:rPr>
          <w:rFonts w:hint="eastAsia" w:ascii="宋体" w:hAnsi="宋体"/>
          <w:bCs/>
          <w:color w:val="FF0000"/>
          <w:szCs w:val="21"/>
          <w:highlight w:val="none"/>
        </w:rPr>
        <w:t>月</w:t>
      </w:r>
      <w:r>
        <w:rPr>
          <w:rFonts w:hint="eastAsia" w:ascii="宋体" w:hAnsi="宋体"/>
          <w:color w:val="FF0000"/>
          <w:szCs w:val="21"/>
          <w:highlight w:val="none"/>
          <w:lang w:val="en-US" w:eastAsia="zh-CN"/>
        </w:rPr>
        <w:t>5</w:t>
      </w:r>
      <w:r>
        <w:rPr>
          <w:rFonts w:hint="eastAsia" w:ascii="宋体" w:hAnsi="宋体"/>
          <w:bCs/>
          <w:color w:val="FF0000"/>
          <w:szCs w:val="21"/>
          <w:highlight w:val="none"/>
        </w:rPr>
        <w:t>日</w:t>
      </w:r>
      <w:r>
        <w:rPr>
          <w:rFonts w:hint="eastAsia" w:ascii="宋体" w:hAnsi="宋体"/>
          <w:szCs w:val="21"/>
          <w:highlight w:val="none"/>
        </w:rPr>
        <w:t>期间（办公时间内：工作日9：00-12：00，</w:t>
      </w:r>
      <w:r>
        <w:rPr>
          <w:rFonts w:ascii="宋体" w:hAnsi="宋体"/>
          <w:szCs w:val="21"/>
          <w:highlight w:val="none"/>
        </w:rPr>
        <w:t>14</w:t>
      </w:r>
      <w:r>
        <w:rPr>
          <w:rFonts w:hint="eastAsia" w:ascii="宋体" w:hAnsi="宋体"/>
          <w:szCs w:val="21"/>
          <w:highlight w:val="none"/>
        </w:rPr>
        <w:t>：00-</w:t>
      </w:r>
      <w:r>
        <w:rPr>
          <w:rFonts w:hint="eastAsia" w:ascii="宋体" w:hAnsi="宋体"/>
          <w:szCs w:val="21"/>
          <w:highlight w:val="none"/>
          <w:lang w:val="en-US" w:eastAsia="zh-CN"/>
        </w:rPr>
        <w:t>16</w:t>
      </w:r>
      <w:r>
        <w:rPr>
          <w:rFonts w:hint="eastAsia" w:ascii="宋体" w:hAnsi="宋体"/>
          <w:szCs w:val="21"/>
          <w:highlight w:val="none"/>
        </w:rPr>
        <w:t>：00，法定节假日除外，不少于5个工作日）到</w:t>
      </w:r>
      <w:r>
        <w:rPr>
          <w:rFonts w:hint="eastAsia" w:ascii="宋体" w:hAnsi="宋体"/>
          <w:szCs w:val="21"/>
          <w:highlight w:val="none"/>
          <w:lang w:eastAsia="zh-CN"/>
        </w:rPr>
        <w:t>广州宝诚招标代理咨询有限公司</w:t>
      </w:r>
      <w:r>
        <w:rPr>
          <w:rFonts w:hint="eastAsia" w:ascii="宋体" w:hAnsi="宋体"/>
          <w:szCs w:val="21"/>
          <w:highlight w:val="none"/>
        </w:rPr>
        <w:t>（详细地址：</w:t>
      </w:r>
      <w:r>
        <w:rPr>
          <w:rFonts w:hint="eastAsia" w:ascii="宋体" w:hAnsi="宋体"/>
          <w:szCs w:val="21"/>
          <w:highlight w:val="none"/>
          <w:lang w:eastAsia="zh-CN"/>
        </w:rPr>
        <w:t>广州市天河区天源路700号卓粤大厦6层内(长湴地铁站A出口顺车流方向400米左右，加油站旁警备区大院内，进门往右走。)</w:t>
      </w:r>
      <w:r>
        <w:rPr>
          <w:rFonts w:hint="eastAsia" w:ascii="宋体" w:hAnsi="宋体"/>
          <w:szCs w:val="21"/>
          <w:highlight w:val="none"/>
        </w:rPr>
        <w:t>）购买招标文件，招标文件每套售价人民币300.00元，售后不退。</w:t>
      </w:r>
    </w:p>
    <w:p>
      <w:pPr>
        <w:numPr>
          <w:ilvl w:val="0"/>
          <w:numId w:val="4"/>
        </w:numPr>
        <w:adjustRightInd w:val="0"/>
        <w:snapToGrid w:val="0"/>
        <w:spacing w:line="360" w:lineRule="auto"/>
        <w:rPr>
          <w:rFonts w:ascii="宋体" w:hAnsi="宋体" w:cs="宋体"/>
          <w:bCs/>
          <w:color w:val="FF0000"/>
          <w:kern w:val="0"/>
          <w:szCs w:val="21"/>
          <w:highlight w:val="none"/>
        </w:rPr>
      </w:pPr>
      <w:r>
        <w:rPr>
          <w:rFonts w:hint="eastAsia" w:ascii="宋体" w:hAnsi="宋体"/>
          <w:bCs/>
          <w:color w:val="FF0000"/>
          <w:szCs w:val="20"/>
          <w:highlight w:val="none"/>
        </w:rPr>
        <w:t>投标截止时间：201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6</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6</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bCs/>
          <w:szCs w:val="20"/>
          <w:highlight w:val="none"/>
        </w:rPr>
        <w:t>提交投标文件地点：</w:t>
      </w:r>
      <w:r>
        <w:rPr>
          <w:rFonts w:hint="eastAsia" w:ascii="宋体" w:hAnsi="宋体" w:cs="宋体"/>
          <w:bCs/>
          <w:kern w:val="0"/>
          <w:szCs w:val="21"/>
          <w:highlight w:val="none"/>
          <w:lang w:eastAsia="zh-CN"/>
        </w:rPr>
        <w:t>广州市天河区天源路700号卓粤大厦6层内(长湴地铁站A出口顺车流方向400米左右，加油站旁警备区大院内，进门往右走。)广州宝诚招标代理咨询有限公司</w:t>
      </w:r>
      <w:r>
        <w:rPr>
          <w:rFonts w:hint="eastAsia" w:ascii="宋体" w:hAnsi="宋体" w:cs="宋体"/>
          <w:bCs/>
          <w:kern w:val="0"/>
          <w:szCs w:val="21"/>
          <w:highlight w:val="none"/>
        </w:rPr>
        <w:t>会议室。</w:t>
      </w:r>
    </w:p>
    <w:p>
      <w:pPr>
        <w:numPr>
          <w:ilvl w:val="0"/>
          <w:numId w:val="4"/>
        </w:numPr>
        <w:tabs>
          <w:tab w:val="left" w:pos="567"/>
          <w:tab w:val="clear" w:pos="425"/>
        </w:tabs>
        <w:adjustRightInd w:val="0"/>
        <w:snapToGrid w:val="0"/>
        <w:spacing w:line="360" w:lineRule="auto"/>
        <w:ind w:left="728" w:hanging="728"/>
        <w:rPr>
          <w:rFonts w:ascii="宋体" w:hAnsi="宋体"/>
          <w:bCs/>
          <w:color w:val="FF0000"/>
          <w:szCs w:val="20"/>
          <w:highlight w:val="none"/>
        </w:rPr>
      </w:pPr>
      <w:r>
        <w:rPr>
          <w:rFonts w:hint="eastAsia" w:ascii="宋体" w:hAnsi="宋体"/>
          <w:bCs/>
          <w:color w:val="FF0000"/>
          <w:szCs w:val="20"/>
          <w:highlight w:val="none"/>
        </w:rPr>
        <w:t>开标时间：201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6</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6</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tabs>
          <w:tab w:val="left" w:pos="567"/>
          <w:tab w:val="clear" w:pos="425"/>
        </w:tabs>
        <w:adjustRightInd w:val="0"/>
        <w:snapToGrid w:val="0"/>
        <w:spacing w:line="360" w:lineRule="auto"/>
        <w:ind w:left="728" w:hanging="728"/>
        <w:rPr>
          <w:rFonts w:ascii="宋体" w:hAnsi="宋体"/>
          <w:bCs/>
          <w:szCs w:val="20"/>
          <w:highlight w:val="none"/>
        </w:rPr>
      </w:pPr>
      <w:r>
        <w:rPr>
          <w:rFonts w:hint="eastAsia" w:ascii="宋体" w:hAnsi="宋体"/>
          <w:bCs/>
          <w:szCs w:val="20"/>
          <w:highlight w:val="none"/>
        </w:rPr>
        <w:t>开标地点：</w:t>
      </w:r>
      <w:r>
        <w:rPr>
          <w:rFonts w:hint="eastAsia" w:ascii="宋体" w:hAnsi="宋体"/>
          <w:szCs w:val="21"/>
          <w:highlight w:val="none"/>
          <w:lang w:eastAsia="zh-CN"/>
        </w:rPr>
        <w:t>广州市天河区天源路700号卓粤大厦6层内(长湴地铁站A出口顺车流方向400米左右，加油站旁警备区大院内，进门往右走。)</w:t>
      </w:r>
      <w:r>
        <w:rPr>
          <w:rFonts w:hint="eastAsia" w:ascii="宋体" w:hAnsi="宋体" w:cs="宋体"/>
          <w:bCs/>
          <w:kern w:val="0"/>
          <w:szCs w:val="21"/>
          <w:highlight w:val="none"/>
          <w:lang w:eastAsia="zh-CN"/>
        </w:rPr>
        <w:t>广州宝诚招标代理咨询有限公司</w:t>
      </w:r>
      <w:r>
        <w:rPr>
          <w:rFonts w:hint="eastAsia" w:ascii="宋体" w:hAnsi="宋体" w:cs="宋体"/>
          <w:bCs/>
          <w:kern w:val="0"/>
          <w:szCs w:val="21"/>
          <w:highlight w:val="none"/>
        </w:rPr>
        <w:t>会议室。</w:t>
      </w:r>
      <w:r>
        <w:rPr>
          <w:rFonts w:hint="eastAsia" w:ascii="宋体" w:hAnsi="宋体"/>
          <w:bCs/>
          <w:szCs w:val="20"/>
          <w:highlight w:val="none"/>
        </w:rPr>
        <w:t xml:space="preserve"> </w:t>
      </w:r>
    </w:p>
    <w:p>
      <w:pPr>
        <w:numPr>
          <w:ilvl w:val="0"/>
          <w:numId w:val="4"/>
        </w:numPr>
        <w:tabs>
          <w:tab w:val="left" w:pos="567"/>
          <w:tab w:val="clear" w:pos="425"/>
        </w:tabs>
        <w:adjustRightInd w:val="0"/>
        <w:snapToGrid w:val="0"/>
        <w:spacing w:line="360" w:lineRule="auto"/>
        <w:ind w:left="728" w:hanging="728"/>
        <w:rPr>
          <w:rFonts w:ascii="宋体" w:hAnsi="宋体"/>
          <w:b/>
          <w:bCs/>
          <w:szCs w:val="20"/>
          <w:highlight w:val="none"/>
        </w:rPr>
      </w:pPr>
      <w:r>
        <w:rPr>
          <w:rFonts w:hint="eastAsia" w:ascii="宋体" w:hAnsi="宋体"/>
          <w:bCs/>
          <w:szCs w:val="20"/>
          <w:highlight w:val="none"/>
        </w:rPr>
        <w:t>本公告期限（5个工作日）自</w:t>
      </w:r>
      <w:r>
        <w:rPr>
          <w:rFonts w:hint="eastAsia" w:ascii="宋体" w:hAnsi="宋体"/>
          <w:bCs/>
          <w:color w:val="FF0000"/>
          <w:szCs w:val="20"/>
          <w:highlight w:val="none"/>
        </w:rPr>
        <w:t>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5月17</w:t>
      </w:r>
      <w:r>
        <w:rPr>
          <w:rFonts w:hint="eastAsia" w:ascii="宋体" w:hAnsi="宋体"/>
          <w:bCs/>
          <w:color w:val="FF0000"/>
          <w:szCs w:val="20"/>
          <w:highlight w:val="none"/>
        </w:rPr>
        <w:t>日至201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5</w:t>
      </w:r>
      <w:r>
        <w:rPr>
          <w:rFonts w:hint="eastAsia" w:ascii="宋体" w:hAnsi="宋体"/>
          <w:bCs/>
          <w:color w:val="FF0000"/>
          <w:szCs w:val="20"/>
          <w:highlight w:val="none"/>
        </w:rPr>
        <w:t>月</w:t>
      </w:r>
      <w:r>
        <w:rPr>
          <w:rFonts w:hint="eastAsia" w:ascii="宋体" w:hAnsi="宋体"/>
          <w:color w:val="FF0000"/>
          <w:szCs w:val="21"/>
          <w:highlight w:val="none"/>
          <w:lang w:val="en-US" w:eastAsia="zh-CN"/>
        </w:rPr>
        <w:t>23</w:t>
      </w:r>
      <w:r>
        <w:rPr>
          <w:rFonts w:hint="eastAsia" w:ascii="宋体" w:hAnsi="宋体"/>
          <w:bCs/>
          <w:color w:val="FF0000"/>
          <w:szCs w:val="20"/>
          <w:highlight w:val="none"/>
        </w:rPr>
        <w:t>日</w:t>
      </w:r>
      <w:r>
        <w:rPr>
          <w:rFonts w:hint="eastAsia" w:ascii="宋体" w:hAnsi="宋体"/>
          <w:bCs/>
          <w:szCs w:val="20"/>
          <w:highlight w:val="none"/>
        </w:rPr>
        <w:t>止。</w:t>
      </w:r>
    </w:p>
    <w:p>
      <w:pPr>
        <w:numPr>
          <w:ilvl w:val="0"/>
          <w:numId w:val="4"/>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bookmarkStart w:id="139" w:name="_GoBack"/>
      <w:bookmarkEnd w:id="139"/>
    </w:p>
    <w:p>
      <w:pPr>
        <w:numPr>
          <w:ilvl w:val="0"/>
          <w:numId w:val="10"/>
        </w:numPr>
        <w:adjustRightInd w:val="0"/>
        <w:snapToGrid w:val="0"/>
        <w:spacing w:line="360" w:lineRule="auto"/>
        <w:rPr>
          <w:rFonts w:ascii="宋体" w:hAnsi="宋体"/>
          <w:bCs/>
          <w:szCs w:val="21"/>
        </w:rPr>
      </w:pPr>
      <w:r>
        <w:rPr>
          <w:rFonts w:hint="eastAsia" w:ascii="宋体" w:hAnsi="宋体"/>
          <w:szCs w:val="21"/>
        </w:rPr>
        <w:t>采购代理机构网站（</w:t>
      </w:r>
      <w:r>
        <w:rPr>
          <w:rFonts w:hint="eastAsia" w:ascii="宋体" w:hAnsi="宋体"/>
          <w:bCs/>
          <w:szCs w:val="21"/>
          <w:lang w:eastAsia="zh-CN"/>
        </w:rPr>
        <w:t xml:space="preserve"> http://www.baochengdaili.com/</w:t>
      </w:r>
      <w:r>
        <w:rPr>
          <w:rFonts w:hint="eastAsia" w:ascii="宋体" w:hAnsi="宋体"/>
          <w:bCs/>
          <w:szCs w:val="21"/>
        </w:rPr>
        <w:t>）。</w:t>
      </w:r>
    </w:p>
    <w:p>
      <w:pPr>
        <w:numPr>
          <w:ilvl w:val="0"/>
          <w:numId w:val="10"/>
        </w:numPr>
        <w:adjustRightInd w:val="0"/>
        <w:snapToGrid w:val="0"/>
        <w:spacing w:line="360" w:lineRule="auto"/>
        <w:rPr>
          <w:rFonts w:ascii="宋体" w:hAnsi="宋体"/>
          <w:bCs/>
          <w:szCs w:val="20"/>
        </w:rPr>
      </w:pPr>
      <w:r>
        <w:rPr>
          <w:rFonts w:hint="eastAsia" w:ascii="宋体" w:hAnsi="宋体"/>
          <w:bCs/>
          <w:szCs w:val="20"/>
        </w:rPr>
        <w:t>法定媒体：广州市政府采购网（</w:t>
      </w:r>
      <w:r>
        <w:rPr>
          <w:rFonts w:hint="eastAsia"/>
        </w:rPr>
        <w:t>http://gzg2b.gzfinance.gov.cn/</w:t>
      </w:r>
      <w:r>
        <w:rPr>
          <w:rFonts w:hint="eastAsia" w:ascii="宋体" w:hAnsi="宋体"/>
          <w:bCs/>
          <w:szCs w:val="20"/>
        </w:rPr>
        <w:t>）。相关公告在法定媒体上公布之日即视为有效送达，不再另行通知。</w:t>
      </w:r>
    </w:p>
    <w:p>
      <w:pPr>
        <w:numPr>
          <w:ilvl w:val="0"/>
          <w:numId w:val="4"/>
        </w:numPr>
        <w:tabs>
          <w:tab w:val="left" w:pos="728"/>
        </w:tabs>
        <w:adjustRightInd w:val="0"/>
        <w:snapToGrid w:val="0"/>
        <w:spacing w:line="360" w:lineRule="auto"/>
        <w:rPr>
          <w:rFonts w:ascii="宋体" w:hAnsi="宋体" w:cs="宋体"/>
          <w:b/>
          <w:bCs/>
          <w:szCs w:val="21"/>
        </w:rPr>
      </w:pPr>
      <w:r>
        <w:rPr>
          <w:rFonts w:ascii="宋体" w:hAnsi="宋体"/>
          <w:b/>
          <w:szCs w:val="21"/>
        </w:rPr>
        <w:br w:type="page"/>
      </w:r>
    </w:p>
    <w:p>
      <w:pPr>
        <w:numPr>
          <w:ilvl w:val="0"/>
          <w:numId w:val="4"/>
        </w:numPr>
        <w:tabs>
          <w:tab w:val="left" w:pos="728"/>
        </w:tabs>
        <w:adjustRightInd w:val="0"/>
        <w:snapToGrid w:val="0"/>
        <w:spacing w:line="360" w:lineRule="auto"/>
        <w:rPr>
          <w:rFonts w:ascii="宋体" w:hAnsi="宋体" w:cs="宋体"/>
          <w:b/>
          <w:bCs/>
          <w:szCs w:val="21"/>
        </w:rPr>
      </w:pPr>
      <w:r>
        <w:rPr>
          <w:rFonts w:ascii="宋体" w:hAnsi="宋体"/>
          <w:b/>
          <w:szCs w:val="21"/>
        </w:rPr>
        <w:t>联系</w:t>
      </w:r>
      <w:r>
        <w:rPr>
          <w:rFonts w:hint="eastAsia" w:ascii="宋体" w:hAnsi="宋体"/>
          <w:b/>
          <w:szCs w:val="21"/>
        </w:rPr>
        <w:t>事项：</w:t>
      </w: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hint="eastAsia" w:ascii="宋体" w:hAnsi="宋体" w:eastAsia="宋体"/>
                <w:szCs w:val="21"/>
                <w:lang w:eastAsia="zh-CN"/>
              </w:rPr>
            </w:pPr>
            <w:r>
              <w:rPr>
                <w:rFonts w:hint="eastAsia" w:ascii="宋体" w:hAnsi="宋体"/>
                <w:szCs w:val="21"/>
              </w:rPr>
              <w:t>(一)采购项目联系人（采购代理机构）：</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val="en-US" w:eastAsia="zh-CN"/>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hint="eastAsia" w:ascii="宋体" w:hAnsi="宋体" w:eastAsia="宋体"/>
                <w:color w:val="FF0000"/>
                <w:szCs w:val="21"/>
                <w:lang w:val="en-US" w:eastAsia="zh-CN"/>
              </w:rPr>
            </w:pPr>
            <w:r>
              <w:rPr>
                <w:rFonts w:hint="eastAsia" w:ascii="宋体" w:hAnsi="宋体"/>
                <w:color w:val="FF0000"/>
                <w:szCs w:val="21"/>
              </w:rPr>
              <w:t>采购项目联系人（采购人）：</w:t>
            </w:r>
            <w:r>
              <w:rPr>
                <w:rFonts w:hint="eastAsia" w:ascii="宋体" w:hAnsi="宋体"/>
                <w:color w:val="FF0000"/>
                <w:szCs w:val="21"/>
                <w:lang w:val="en-US" w:eastAsia="zh-CN"/>
              </w:rPr>
              <w:t xml:space="preserve"> 黄工</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FF0000"/>
                <w:szCs w:val="21"/>
                <w:lang w:val="en-US"/>
              </w:rPr>
            </w:pPr>
            <w:r>
              <w:rPr>
                <w:rFonts w:hint="eastAsia" w:ascii="宋体" w:hAnsi="宋体"/>
                <w:color w:val="FF0000"/>
                <w:szCs w:val="21"/>
              </w:rPr>
              <w:t>联系电话：</w:t>
            </w:r>
            <w:r>
              <w:rPr>
                <w:rFonts w:hint="eastAsia" w:ascii="宋体" w:hAnsi="宋体"/>
                <w:color w:val="FF0000"/>
                <w:szCs w:val="21"/>
                <w:lang w:val="en-US" w:eastAsia="zh-CN"/>
              </w:rPr>
              <w:t xml:space="preserve">020-34807207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(二)采购代理机构：</w:t>
            </w:r>
            <w:r>
              <w:rPr>
                <w:rFonts w:hint="eastAsia" w:ascii="宋体" w:hAnsi="宋体"/>
                <w:szCs w:val="21"/>
                <w:lang w:eastAsia="zh-CN"/>
              </w:rPr>
              <w:t>广州宝诚招标代理咨询有限公司</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w:t>
            </w:r>
            <w:r>
              <w:rPr>
                <w:rFonts w:hint="eastAsia" w:ascii="宋体" w:hAnsi="宋体"/>
                <w:szCs w:val="21"/>
                <w:lang w:eastAsia="zh-CN"/>
              </w:rPr>
              <w:t>广州市天河区天源路700号卓粤大厦6层内</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w:t>
            </w:r>
            <w:r>
              <w:rPr>
                <w:rFonts w:hint="eastAsia" w:ascii="宋体" w:hAnsi="宋体"/>
                <w:szCs w:val="21"/>
                <w:lang w:val="en-US" w:eastAsia="zh-CN"/>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w:t>
            </w:r>
            <w:r>
              <w:rPr>
                <w:rFonts w:hint="eastAsia" w:ascii="宋体" w:hAnsi="宋体"/>
                <w:szCs w:val="21"/>
                <w:lang w:val="en-US" w:eastAsia="zh-CN"/>
              </w:rPr>
              <w:t>020-37887429</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w:t>
            </w:r>
            <w:r>
              <w:rPr>
                <w:rFonts w:hint="eastAsia" w:ascii="宋体" w:hAnsi="宋体"/>
                <w:szCs w:val="21"/>
                <w:lang w:val="en-US" w:eastAsia="zh-CN"/>
              </w:rPr>
              <w:t>510650</w:t>
            </w:r>
          </w:p>
        </w:tc>
      </w:tr>
    </w:tbl>
    <w:p>
      <w:pPr>
        <w:rPr>
          <w:rFonts w:hint="eastAsia" w:ascii="宋体" w:hAnsi="宋体" w:cs="宋体"/>
          <w:bCs/>
          <w:kern w:val="0"/>
          <w:szCs w:val="21"/>
        </w:rPr>
      </w:pP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FF0000"/>
                <w:szCs w:val="21"/>
              </w:rPr>
            </w:pPr>
            <w:r>
              <w:rPr>
                <w:rFonts w:hint="eastAsia" w:ascii="宋体" w:hAnsi="宋体"/>
                <w:color w:val="FF0000"/>
                <w:szCs w:val="21"/>
              </w:rPr>
              <w:t>(三)采购人：</w:t>
            </w:r>
            <w:r>
              <w:rPr>
                <w:rFonts w:hint="eastAsia" w:ascii="宋体" w:hAnsi="宋体"/>
                <w:color w:val="FF0000"/>
                <w:szCs w:val="21"/>
                <w:lang w:val="en-US" w:eastAsia="zh-CN"/>
              </w:rPr>
              <w:t xml:space="preserve"> </w:t>
            </w:r>
            <w:r>
              <w:rPr>
                <w:rFonts w:hint="eastAsia" w:ascii="宋体" w:hAnsi="宋体"/>
                <w:color w:val="FF0000"/>
                <w:szCs w:val="21"/>
                <w:lang w:eastAsia="zh-CN"/>
              </w:rPr>
              <w:t>广州市番禺区市桥建设开发公司</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FF0000"/>
                <w:szCs w:val="21"/>
              </w:rPr>
            </w:pPr>
            <w:r>
              <w:rPr>
                <w:rFonts w:hint="eastAsia" w:ascii="宋体" w:hAnsi="宋体"/>
                <w:color w:val="FF0000"/>
                <w:szCs w:val="21"/>
              </w:rPr>
              <w:t>地址：</w:t>
            </w:r>
            <w:r>
              <w:rPr>
                <w:rFonts w:hint="eastAsia" w:ascii="宋体" w:hAnsi="宋体"/>
                <w:color w:val="FF0000"/>
                <w:szCs w:val="21"/>
                <w:lang w:val="en-US" w:eastAsia="zh-CN"/>
              </w:rPr>
              <w:t xml:space="preserve"> 广州市番禺区永恒大街29号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FF0000"/>
                <w:szCs w:val="21"/>
              </w:rPr>
            </w:pPr>
            <w:r>
              <w:rPr>
                <w:rFonts w:hint="eastAsia" w:ascii="宋体" w:hAnsi="宋体"/>
                <w:color w:val="FF0000"/>
                <w:szCs w:val="21"/>
              </w:rPr>
              <w:t>联系人：</w:t>
            </w:r>
            <w:r>
              <w:rPr>
                <w:rFonts w:hint="eastAsia" w:ascii="宋体" w:hAnsi="宋体"/>
                <w:color w:val="FF0000"/>
                <w:szCs w:val="21"/>
                <w:lang w:val="en-US" w:eastAsia="zh-CN"/>
              </w:rPr>
              <w:t xml:space="preserve"> 陈江政</w:t>
            </w:r>
          </w:p>
        </w:tc>
        <w:tc>
          <w:tcPr>
            <w:tcW w:w="4650" w:type="dxa"/>
            <w:shd w:val="clear" w:color="auto" w:fill="F8FCFF"/>
            <w:vAlign w:val="center"/>
          </w:tcPr>
          <w:p>
            <w:pPr>
              <w:keepNext w:val="0"/>
              <w:keepLines w:val="0"/>
              <w:widowControl/>
              <w:suppressLineNumbers w:val="0"/>
              <w:jc w:val="left"/>
              <w:rPr>
                <w:rFonts w:ascii="宋体" w:hAnsi="宋体"/>
                <w:color w:val="FF0000"/>
                <w:szCs w:val="21"/>
              </w:rPr>
            </w:pPr>
            <w:r>
              <w:rPr>
                <w:rFonts w:hint="eastAsia" w:ascii="宋体" w:hAnsi="宋体"/>
                <w:color w:val="FF0000"/>
                <w:szCs w:val="21"/>
              </w:rPr>
              <w:t>联系电话：</w:t>
            </w:r>
            <w:r>
              <w:rPr>
                <w:rFonts w:hint="eastAsia" w:ascii="宋体" w:hAnsi="宋体"/>
                <w:color w:val="FF0000"/>
                <w:szCs w:val="21"/>
                <w:lang w:val="en-US" w:eastAsia="zh-CN"/>
              </w:rPr>
              <w:t xml:space="preserve"> 15602205202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FF0000"/>
                <w:szCs w:val="21"/>
              </w:rPr>
            </w:pPr>
            <w:r>
              <w:rPr>
                <w:rFonts w:hint="eastAsia" w:ascii="宋体" w:hAnsi="宋体"/>
                <w:color w:val="FF0000"/>
                <w:szCs w:val="21"/>
              </w:rPr>
              <w:t>传真：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FF0000"/>
                <w:szCs w:val="21"/>
              </w:rPr>
            </w:pPr>
            <w:r>
              <w:rPr>
                <w:rFonts w:hint="eastAsia" w:ascii="宋体" w:hAnsi="宋体"/>
                <w:color w:val="FF0000"/>
                <w:szCs w:val="21"/>
              </w:rPr>
              <w:t>邮编：</w:t>
            </w:r>
            <w:r>
              <w:rPr>
                <w:rFonts w:hint="eastAsia" w:ascii="宋体" w:hAnsi="宋体"/>
                <w:color w:val="FF0000"/>
                <w:szCs w:val="21"/>
                <w:lang w:val="en-US" w:eastAsia="zh-CN"/>
              </w:rPr>
              <w:t xml:space="preserve"> </w:t>
            </w:r>
          </w:p>
        </w:tc>
      </w:tr>
    </w:tbl>
    <w:p>
      <w:pPr>
        <w:tabs>
          <w:tab w:val="right" w:pos="9180"/>
        </w:tabs>
        <w:adjustRightInd w:val="0"/>
        <w:snapToGrid w:val="0"/>
        <w:spacing w:line="360" w:lineRule="auto"/>
        <w:ind w:firstLine="435"/>
        <w:jc w:val="right"/>
        <w:rPr>
          <w:rFonts w:ascii="宋体" w:hAnsi="宋体"/>
          <w:b/>
        </w:rPr>
      </w:pPr>
      <w:r>
        <w:rPr>
          <w:rFonts w:hint="eastAsia" w:ascii="宋体" w:hAnsi="宋体"/>
          <w:b/>
        </w:rPr>
        <w:t>发布人：</w:t>
      </w:r>
      <w:r>
        <w:rPr>
          <w:rFonts w:hint="eastAsia" w:ascii="宋体" w:hAnsi="宋体"/>
          <w:b/>
          <w:lang w:eastAsia="zh-CN"/>
        </w:rPr>
        <w:t>广州宝诚招标代理咨询有限公司</w:t>
      </w:r>
    </w:p>
    <w:p>
      <w:pPr>
        <w:wordWrap w:val="0"/>
        <w:adjustRightInd w:val="0"/>
        <w:snapToGrid w:val="0"/>
        <w:spacing w:line="360" w:lineRule="auto"/>
        <w:ind w:firstLine="435"/>
        <w:jc w:val="right"/>
        <w:rPr>
          <w:rFonts w:ascii="宋体" w:hAnsi="宋体"/>
          <w:b/>
          <w:color w:val="FF0000"/>
          <w:highlight w:val="none"/>
        </w:rPr>
      </w:pPr>
      <w:r>
        <w:rPr>
          <w:rFonts w:hint="eastAsia" w:ascii="宋体" w:hAnsi="宋体"/>
          <w:b/>
          <w:color w:val="FF0000"/>
          <w:highlight w:val="none"/>
        </w:rPr>
        <w:t>发布日期：201</w:t>
      </w:r>
      <w:r>
        <w:rPr>
          <w:rFonts w:hint="eastAsia" w:ascii="宋体" w:hAnsi="宋体"/>
          <w:b/>
          <w:color w:val="FF0000"/>
          <w:highlight w:val="none"/>
          <w:lang w:val="en-US" w:eastAsia="zh-CN"/>
        </w:rPr>
        <w:t>8</w:t>
      </w:r>
      <w:r>
        <w:rPr>
          <w:rFonts w:hint="eastAsia" w:ascii="宋体" w:hAnsi="宋体"/>
          <w:b/>
          <w:color w:val="FF0000"/>
          <w:highlight w:val="none"/>
        </w:rPr>
        <w:t>年</w:t>
      </w:r>
      <w:r>
        <w:rPr>
          <w:rFonts w:hint="eastAsia" w:ascii="宋体" w:hAnsi="宋体"/>
          <w:b/>
          <w:color w:val="FF0000"/>
          <w:highlight w:val="none"/>
          <w:lang w:val="en-US" w:eastAsia="zh-CN"/>
        </w:rPr>
        <w:t xml:space="preserve">  </w:t>
      </w:r>
      <w:r>
        <w:rPr>
          <w:rFonts w:hint="eastAsia" w:ascii="宋体" w:hAnsi="宋体"/>
          <w:b/>
          <w:color w:val="FF0000"/>
          <w:highlight w:val="none"/>
        </w:rPr>
        <w:t>月</w:t>
      </w:r>
      <w:r>
        <w:rPr>
          <w:rFonts w:hint="eastAsia" w:ascii="宋体" w:hAnsi="宋体"/>
          <w:b/>
          <w:color w:val="FF0000"/>
          <w:highlight w:val="none"/>
          <w:lang w:val="en-US" w:eastAsia="zh-CN"/>
        </w:rPr>
        <w:t xml:space="preserve">  </w:t>
      </w:r>
      <w:r>
        <w:rPr>
          <w:rFonts w:hint="eastAsia" w:ascii="宋体" w:hAnsi="宋体"/>
          <w:b/>
          <w:color w:val="FF0000"/>
          <w:highlight w:val="none"/>
        </w:rPr>
        <w:t>日</w:t>
      </w:r>
    </w:p>
    <w:p>
      <w:pPr>
        <w:rPr>
          <w:rFonts w:ascii="宋体" w:hAnsi="宋体"/>
          <w:highlight w:val="none"/>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hAnsi="宋体"/>
          <w:b/>
          <w:bCs/>
          <w:sz w:val="28"/>
          <w:szCs w:val="28"/>
        </w:rPr>
      </w:pPr>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p>
    <w:p>
      <w:pPr>
        <w:spacing w:line="360" w:lineRule="auto"/>
        <w:ind w:right="-174" w:rightChars="-83"/>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hint="eastAsia" w:ascii="宋体" w:hAnsi="宋体" w:eastAsia="宋体" w:cs="宋体"/>
                <w:szCs w:val="21"/>
                <w:lang w:eastAsia="zh-CN"/>
              </w:rPr>
            </w:pPr>
            <w:r>
              <w:rPr>
                <w:rFonts w:hint="eastAsia" w:ascii="宋体" w:hAnsi="宋体"/>
                <w:szCs w:val="21"/>
                <w:lang w:eastAsia="zh-CN"/>
              </w:rPr>
              <w:t>广州市番禺区市桥建设开发公司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w:t>
            </w:r>
            <w:r>
              <w:rPr>
                <w:rFonts w:hint="eastAsia" w:ascii="宋体" w:hAnsi="宋体"/>
                <w:szCs w:val="21"/>
                <w:lang w:eastAsia="zh-CN"/>
              </w:rPr>
              <w:t>广州宝诚招标代理咨询有限公司</w:t>
            </w:r>
          </w:p>
          <w:p>
            <w:pPr>
              <w:adjustRightInd w:val="0"/>
              <w:snapToGrid w:val="0"/>
              <w:spacing w:line="320" w:lineRule="exact"/>
              <w:rPr>
                <w:rFonts w:ascii="宋体" w:hAnsi="宋体"/>
                <w:szCs w:val="21"/>
              </w:rPr>
            </w:pPr>
            <w:r>
              <w:rPr>
                <w:rFonts w:ascii="宋体" w:hAnsi="宋体"/>
                <w:szCs w:val="21"/>
              </w:rPr>
              <w:t>地址：</w:t>
            </w:r>
            <w:r>
              <w:rPr>
                <w:rFonts w:hint="eastAsia" w:ascii="宋体" w:hAnsi="宋体"/>
                <w:szCs w:val="21"/>
                <w:lang w:eastAsia="zh-CN"/>
              </w:rPr>
              <w:t>广州市天河区天源路700号卓粤大厦6层内</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lang w:val="en-US" w:eastAsia="zh-CN"/>
              </w:rPr>
              <w:t>020-37887429</w:t>
            </w:r>
            <w:r>
              <w:rPr>
                <w:rFonts w:ascii="宋体" w:hAnsi="宋体"/>
                <w:szCs w:val="21"/>
              </w:rPr>
              <w:t>；</w:t>
            </w:r>
            <w:r>
              <w:rPr>
                <w:rFonts w:hint="eastAsia" w:ascii="宋体" w:hAnsi="宋体"/>
                <w:szCs w:val="21"/>
              </w:rPr>
              <w:t xml:space="preserve">      </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lang w:val="en-US" w:eastAsia="zh-CN"/>
              </w:rPr>
              <w:t>020-37887429</w:t>
            </w:r>
            <w:r>
              <w:rPr>
                <w:rFonts w:hint="eastAsia" w:ascii="宋体" w:hAnsi="宋体"/>
                <w:szCs w:val="21"/>
              </w:rPr>
              <w:t>；</w:t>
            </w:r>
          </w:p>
          <w:p>
            <w:pPr>
              <w:adjustRightInd w:val="0"/>
              <w:snapToGrid w:val="0"/>
              <w:spacing w:line="320" w:lineRule="exact"/>
              <w:rPr>
                <w:rFonts w:ascii="宋体" w:hAnsi="宋体"/>
                <w:szCs w:val="21"/>
              </w:rPr>
            </w:pPr>
            <w:r>
              <w:rPr>
                <w:rFonts w:hint="eastAsia" w:ascii="宋体" w:hAnsi="宋体"/>
                <w:szCs w:val="21"/>
              </w:rPr>
              <w:t>电子邮箱：</w:t>
            </w:r>
            <w:r>
              <w:rPr>
                <w:rFonts w:hint="eastAsia" w:ascii="宋体" w:hAnsi="宋体"/>
                <w:szCs w:val="21"/>
                <w:lang w:val="en-US" w:eastAsia="zh-CN"/>
              </w:rPr>
              <w:t>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color w:val="FF0000"/>
                <w:szCs w:val="21"/>
              </w:rPr>
            </w:pPr>
            <w:r>
              <w:rPr>
                <w:rFonts w:hint="eastAsia" w:ascii="宋体" w:hAnsi="宋体"/>
                <w:color w:val="FF0000"/>
                <w:szCs w:val="21"/>
              </w:rPr>
              <w:t>1.3</w:t>
            </w:r>
          </w:p>
        </w:tc>
        <w:tc>
          <w:tcPr>
            <w:tcW w:w="2016" w:type="dxa"/>
            <w:vAlign w:val="center"/>
          </w:tcPr>
          <w:p>
            <w:pPr>
              <w:adjustRightInd w:val="0"/>
              <w:snapToGrid w:val="0"/>
              <w:spacing w:line="320" w:lineRule="exact"/>
              <w:jc w:val="center"/>
              <w:rPr>
                <w:rFonts w:ascii="宋体" w:hAnsi="宋体"/>
                <w:color w:val="FF0000"/>
                <w:szCs w:val="21"/>
              </w:rPr>
            </w:pPr>
            <w:r>
              <w:rPr>
                <w:rFonts w:hint="eastAsia" w:ascii="宋体" w:hAnsi="宋体"/>
                <w:color w:val="FF0000"/>
                <w:szCs w:val="21"/>
              </w:rPr>
              <w:t>资金性质</w:t>
            </w:r>
          </w:p>
        </w:tc>
        <w:tc>
          <w:tcPr>
            <w:tcW w:w="6592" w:type="dxa"/>
            <w:vAlign w:val="center"/>
          </w:tcPr>
          <w:p>
            <w:pPr>
              <w:adjustRightInd w:val="0"/>
              <w:snapToGrid w:val="0"/>
              <w:spacing w:line="320" w:lineRule="exact"/>
              <w:rPr>
                <w:rFonts w:ascii="宋体" w:hAnsi="宋体"/>
                <w:color w:val="FF0000"/>
                <w:szCs w:val="21"/>
              </w:rPr>
            </w:pPr>
            <w:r>
              <w:rPr>
                <w:rFonts w:hint="eastAsia" w:ascii="宋体" w:hAnsi="宋体" w:cs="宋体"/>
                <w:color w:val="FF0000"/>
                <w:szCs w:val="21"/>
                <w:lang w:eastAsia="zh-CN"/>
              </w:rPr>
              <w:t>自筹</w:t>
            </w:r>
            <w:r>
              <w:rPr>
                <w:rFonts w:hint="eastAsia" w:ascii="宋体" w:hAnsi="宋体" w:cs="宋体"/>
                <w:color w:val="FF0000"/>
                <w:szCs w:val="21"/>
              </w:rPr>
              <w:t>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15"/>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010-88822892/</w:t>
                  </w:r>
                </w:p>
                <w:p>
                  <w:pPr>
                    <w:pStyle w:val="19"/>
                    <w:jc w:val="center"/>
                    <w:rPr>
                      <w:rFonts w:hAnsi="宋体"/>
                      <w:color w:val="auto"/>
                      <w:sz w:val="21"/>
                      <w:szCs w:val="21"/>
                    </w:rPr>
                  </w:pPr>
                  <w:r>
                    <w:rPr>
                      <w:rFonts w:hint="eastAsia" w:hAnsi="宋体"/>
                      <w:color w:val="auto"/>
                      <w:sz w:val="21"/>
                      <w:szCs w:val="21"/>
                    </w:rPr>
                    <w:t>15011155178 010-88822659/</w:t>
                  </w:r>
                </w:p>
                <w:p>
                  <w:pPr>
                    <w:pStyle w:val="19"/>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安国山</w:t>
                  </w:r>
                </w:p>
                <w:p>
                  <w:pPr>
                    <w:pStyle w:val="19"/>
                    <w:jc w:val="center"/>
                    <w:rPr>
                      <w:rFonts w:hAnsi="宋体"/>
                      <w:color w:val="auto"/>
                      <w:sz w:val="21"/>
                      <w:szCs w:val="21"/>
                    </w:rPr>
                  </w:pPr>
                  <w:r>
                    <w:rPr>
                      <w:rFonts w:hint="eastAsia" w:hAnsi="宋体"/>
                      <w:color w:val="auto"/>
                      <w:sz w:val="21"/>
                      <w:szCs w:val="21"/>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020-83063201</w:t>
                  </w:r>
                </w:p>
                <w:p>
                  <w:pPr>
                    <w:pStyle w:val="19"/>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13729920608</w:t>
                  </w:r>
                </w:p>
                <w:p>
                  <w:pPr>
                    <w:pStyle w:val="19"/>
                    <w:jc w:val="center"/>
                    <w:rPr>
                      <w:rFonts w:hAnsi="宋体"/>
                      <w:color w:val="auto"/>
                      <w:sz w:val="21"/>
                      <w:szCs w:val="21"/>
                    </w:rPr>
                  </w:pPr>
                  <w:r>
                    <w:rPr>
                      <w:rFonts w:hint="eastAsia" w:hAnsi="宋体"/>
                      <w:color w:val="auto"/>
                      <w:sz w:val="21"/>
                      <w:szCs w:val="21"/>
                    </w:rPr>
                    <w:t>13712393608</w:t>
                  </w:r>
                </w:p>
                <w:p>
                  <w:pPr>
                    <w:pStyle w:val="19"/>
                    <w:jc w:val="center"/>
                    <w:rPr>
                      <w:rFonts w:hAnsi="宋体"/>
                      <w:color w:val="auto"/>
                      <w:sz w:val="21"/>
                      <w:szCs w:val="21"/>
                    </w:rPr>
                  </w:pPr>
                  <w:r>
                    <w:rPr>
                      <w:rFonts w:hint="eastAsia" w:hAnsi="宋体"/>
                      <w:color w:val="auto"/>
                      <w:sz w:val="21"/>
                      <w:szCs w:val="21"/>
                    </w:rPr>
                    <w:t>0769-2332688-8013</w:t>
                  </w:r>
                </w:p>
                <w:p>
                  <w:pPr>
                    <w:pStyle w:val="19"/>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谭彪</w:t>
                  </w:r>
                </w:p>
                <w:p>
                  <w:pPr>
                    <w:pStyle w:val="1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2.1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11"/>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3.5</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投标保证金</w:t>
            </w:r>
          </w:p>
        </w:tc>
        <w:tc>
          <w:tcPr>
            <w:tcW w:w="6592" w:type="dxa"/>
            <w:vAlign w:val="center"/>
          </w:tcPr>
          <w:p>
            <w:pPr>
              <w:numPr>
                <w:ilvl w:val="0"/>
                <w:numId w:val="12"/>
              </w:numPr>
              <w:adjustRightInd w:val="0"/>
              <w:snapToGrid w:val="0"/>
              <w:spacing w:line="320" w:lineRule="exact"/>
              <w:rPr>
                <w:rFonts w:ascii="宋体" w:hAnsi="宋体"/>
                <w:b/>
                <w:bCs/>
                <w:szCs w:val="20"/>
                <w:highlight w:val="none"/>
              </w:rPr>
            </w:pPr>
            <w:r>
              <w:rPr>
                <w:rFonts w:ascii="宋体" w:hAnsi="宋体"/>
                <w:b/>
                <w:bCs/>
                <w:szCs w:val="21"/>
                <w:highlight w:val="none"/>
              </w:rPr>
              <w:t>投标保证金金额：</w:t>
            </w:r>
            <w:r>
              <w:rPr>
                <w:rFonts w:hint="eastAsia" w:ascii="宋体" w:hAnsi="宋体"/>
                <w:b/>
                <w:bCs/>
                <w:highlight w:val="none"/>
              </w:rPr>
              <w:t>RMB</w:t>
            </w:r>
            <w:r>
              <w:rPr>
                <w:rFonts w:hint="eastAsia" w:ascii="宋体" w:hAnsi="宋体"/>
                <w:b/>
                <w:bCs/>
                <w:highlight w:val="none"/>
                <w:lang w:val="en-US" w:eastAsia="zh-CN"/>
              </w:rPr>
              <w:t>10000</w:t>
            </w:r>
            <w:r>
              <w:rPr>
                <w:rFonts w:hint="eastAsia" w:ascii="宋体" w:hAnsi="宋体"/>
                <w:b/>
                <w:bCs/>
                <w:highlight w:val="none"/>
              </w:rPr>
              <w:t>.00元（人民币</w:t>
            </w:r>
            <w:r>
              <w:rPr>
                <w:rFonts w:hint="eastAsia" w:ascii="宋体" w:hAnsi="宋体"/>
                <w:b/>
                <w:bCs/>
                <w:highlight w:val="none"/>
                <w:lang w:eastAsia="zh-CN"/>
              </w:rPr>
              <w:t>壹万元整</w:t>
            </w:r>
            <w:r>
              <w:rPr>
                <w:rFonts w:hint="eastAsia" w:ascii="宋体" w:hAnsi="宋体"/>
                <w:b/>
                <w:bCs/>
                <w:highlight w:val="none"/>
              </w:rPr>
              <w:t>）。</w:t>
            </w:r>
          </w:p>
          <w:p>
            <w:pPr>
              <w:numPr>
                <w:ilvl w:val="0"/>
                <w:numId w:val="12"/>
              </w:numPr>
              <w:adjustRightInd w:val="0"/>
              <w:snapToGrid w:val="0"/>
              <w:spacing w:line="320" w:lineRule="exact"/>
              <w:rPr>
                <w:rFonts w:ascii="宋体" w:hAnsi="宋体"/>
                <w:bCs/>
              </w:rPr>
            </w:pPr>
            <w:r>
              <w:rPr>
                <w:rFonts w:hint="eastAsia" w:ascii="宋体" w:hAnsi="宋体"/>
                <w:bCs/>
              </w:rPr>
              <w:t>缴纳形式：非现金形式（如电汇、转账或者金融机构、担保机构出具的保函）。</w:t>
            </w:r>
          </w:p>
          <w:p>
            <w:pPr>
              <w:numPr>
                <w:ilvl w:val="0"/>
                <w:numId w:val="12"/>
              </w:numPr>
              <w:adjustRightInd w:val="0"/>
              <w:snapToGrid w:val="0"/>
              <w:spacing w:line="320" w:lineRule="exact"/>
              <w:rPr>
                <w:rFonts w:ascii="宋体" w:hAnsi="宋体"/>
                <w:szCs w:val="21"/>
              </w:rPr>
            </w:pPr>
            <w:r>
              <w:rPr>
                <w:rFonts w:hint="eastAsia" w:ascii="宋体" w:hAnsi="宋体"/>
                <w:szCs w:val="21"/>
              </w:rPr>
              <w:t>投标保证金在投标截止时间的前一日到达以下指定账号：</w:t>
            </w:r>
          </w:p>
          <w:p>
            <w:pPr>
              <w:adjustRightInd w:val="0"/>
              <w:snapToGrid w:val="0"/>
              <w:spacing w:line="320" w:lineRule="exact"/>
              <w:ind w:left="433" w:leftChars="206"/>
              <w:rPr>
                <w:rFonts w:ascii="宋体" w:hAnsi="宋体"/>
                <w:szCs w:val="21"/>
              </w:rPr>
            </w:pPr>
            <w:r>
              <w:rPr>
                <w:rFonts w:hint="eastAsia" w:ascii="宋体" w:hAnsi="宋体"/>
                <w:szCs w:val="21"/>
              </w:rPr>
              <w:t>收款单位名称：</w:t>
            </w:r>
            <w:r>
              <w:rPr>
                <w:rFonts w:hint="eastAsia" w:ascii="宋体" w:hAnsi="宋体"/>
                <w:szCs w:val="21"/>
                <w:lang w:eastAsia="zh-CN"/>
              </w:rPr>
              <w:t>广州宝诚招标代理咨询有限公司</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开户银行：广发银行广州龙洞支行</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投标保证金账号：9550 8802 0090 0000 188</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传真号码：020-3788742</w:t>
            </w:r>
            <w:r>
              <w:rPr>
                <w:rFonts w:hint="eastAsia" w:ascii="宋体" w:hAnsi="宋体"/>
                <w:color w:val="000000"/>
                <w:sz w:val="21"/>
                <w:szCs w:val="21"/>
                <w:lang w:val="en-US" w:eastAsia="zh-CN"/>
              </w:rPr>
              <w:t>9</w:t>
            </w:r>
          </w:p>
          <w:p>
            <w:pPr>
              <w:adjustRightInd w:val="0"/>
              <w:snapToGrid w:val="0"/>
              <w:spacing w:line="320" w:lineRule="exact"/>
              <w:rPr>
                <w:rFonts w:ascii="宋体" w:hAns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hint="eastAsia" w:ascii="宋体" w:hAnsi="宋体"/>
                <w:lang w:eastAsia="zh-CN"/>
              </w:rPr>
              <w:t>GZBC18FG05008</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ascii="宋体" w:hAnsi="宋体"/>
                <w:szCs w:val="21"/>
              </w:rPr>
            </w:pPr>
            <w:r>
              <w:rPr>
                <w:rFonts w:hint="eastAsia" w:ascii="宋体" w:hAnsi="宋体" w:cs="宋体"/>
                <w:szCs w:val="21"/>
              </w:rPr>
              <w:t>投标人以投标担保函形式缴纳投标保证金的，请于</w:t>
            </w:r>
            <w:r>
              <w:rPr>
                <w:rFonts w:hint="eastAsia" w:ascii="宋体" w:hAnsi="宋体"/>
                <w:szCs w:val="21"/>
              </w:rPr>
              <w:t>投标截止时间的前一日将《政府采购投标担保函》Email（</w:t>
            </w:r>
            <w:r>
              <w:rPr>
                <w:rFonts w:hint="eastAsia" w:ascii="宋体" w:hAnsi="宋体"/>
                <w:szCs w:val="21"/>
                <w:lang w:val="en-US" w:eastAsia="zh-CN"/>
              </w:rPr>
              <w:t>GZBCZB</w:t>
            </w:r>
            <w:r>
              <w:rPr>
                <w:rFonts w:ascii="宋体" w:hAnsi="宋体"/>
                <w:szCs w:val="21"/>
              </w:rPr>
              <w:t>@163.com</w:t>
            </w:r>
            <w:r>
              <w:rPr>
                <w:rFonts w:hint="eastAsia" w:ascii="宋体" w:hAnsi="宋体"/>
                <w:szCs w:val="21"/>
              </w:rPr>
              <w:t>）到达我司。</w:t>
            </w:r>
          </w:p>
          <w:p>
            <w:pPr>
              <w:numPr>
                <w:ilvl w:val="0"/>
                <w:numId w:val="12"/>
              </w:numPr>
              <w:adjustRightInd w:val="0"/>
              <w:snapToGrid w:val="0"/>
              <w:spacing w:line="320" w:lineRule="exact"/>
              <w:rPr>
                <w:rFonts w:ascii="宋体" w:hAnsi="宋体"/>
                <w:szCs w:val="21"/>
              </w:rPr>
            </w:pPr>
            <w:r>
              <w:rPr>
                <w:rFonts w:hint="eastAsia" w:ascii="宋体" w:hAnsi="宋体"/>
                <w:szCs w:val="21"/>
              </w:rPr>
              <w:t>有效期：</w:t>
            </w:r>
            <w:r>
              <w:rPr>
                <w:rFonts w:hint="eastAsia" w:ascii="宋体" w:hAnsi="宋体" w:cs="宋体"/>
                <w:szCs w:val="21"/>
              </w:rPr>
              <w:t>投标保证金应在投标有效期内有效。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3.6</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3.7</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rPr>
                <w:rFonts w:ascii="宋体" w:hAnsi="宋体"/>
                <w:szCs w:val="21"/>
              </w:rPr>
            </w:pPr>
            <w:r>
              <w:rPr>
                <w:rFonts w:ascii="宋体" w:hAnsi="宋体"/>
                <w:szCs w:val="21"/>
              </w:rPr>
              <w:t>正本一份，副本</w:t>
            </w:r>
            <w:r>
              <w:rPr>
                <w:rFonts w:hint="eastAsia" w:ascii="宋体" w:hAnsi="宋体"/>
                <w:szCs w:val="21"/>
                <w:lang w:eastAsia="zh-CN"/>
              </w:rPr>
              <w:t>四</w:t>
            </w:r>
            <w:r>
              <w:rPr>
                <w:rFonts w:ascii="宋体" w:hAnsi="宋体"/>
                <w:szCs w:val="21"/>
              </w:rPr>
              <w:t>份，电子文件</w:t>
            </w:r>
            <w:r>
              <w:rPr>
                <w:rFonts w:hint="eastAsia" w:ascii="宋体" w:hAnsi="宋体"/>
                <w:szCs w:val="21"/>
              </w:rPr>
              <w:t>一</w:t>
            </w:r>
            <w:r>
              <w:rPr>
                <w:rFonts w:ascii="宋体" w:hAnsi="宋体"/>
                <w:szCs w:val="21"/>
              </w:rPr>
              <w:t>份</w:t>
            </w:r>
            <w:r>
              <w:rPr>
                <w:rFonts w:hint="eastAsia" w:ascii="宋体" w:hAnsi="宋体"/>
                <w:szCs w:val="21"/>
              </w:rPr>
              <w:t>（</w:t>
            </w:r>
            <w:r>
              <w:rPr>
                <w:rFonts w:hint="eastAsia" w:ascii="宋体" w:hAnsi="宋体"/>
              </w:rPr>
              <w:t>不可加密）</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hAnsi="宋体" w:cs="宋体"/>
                <w:kern w:val="0"/>
                <w:szCs w:val="21"/>
                <w:lang w:val="zh-CN"/>
              </w:rPr>
            </w:pPr>
            <w:r>
              <w:rPr>
                <w:rFonts w:hint="eastAsia" w:ascii="宋体" w:hAnsi="宋体" w:cs="宋体"/>
                <w:kern w:val="0"/>
                <w:szCs w:val="21"/>
                <w:lang w:val="zh-CN"/>
              </w:rPr>
              <w:t>评标委员会由5名单数组成，由采购人的代表</w:t>
            </w:r>
            <w:r>
              <w:rPr>
                <w:rFonts w:hint="eastAsia" w:ascii="宋体" w:hAnsi="宋体" w:cs="宋体"/>
                <w:color w:val="FF0000"/>
                <w:kern w:val="0"/>
                <w:szCs w:val="21"/>
                <w:lang w:val="zh-CN"/>
              </w:rPr>
              <w:t>1名</w:t>
            </w:r>
            <w:r>
              <w:rPr>
                <w:rFonts w:hint="eastAsia" w:ascii="宋体" w:hAnsi="宋体" w:cs="宋体"/>
                <w:kern w:val="0"/>
                <w:szCs w:val="21"/>
                <w:lang w:val="zh-CN"/>
              </w:rPr>
              <w:t>和从专家库随机抽取的专家组成。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hint="eastAsia" w:ascii="宋体" w:hAnsi="宋体" w:eastAsia="宋体"/>
                <w:szCs w:val="21"/>
                <w:lang w:eastAsia="zh-CN"/>
              </w:rPr>
            </w:pPr>
            <w:r>
              <w:rPr>
                <w:rFonts w:hint="eastAsia" w:ascii="宋体" w:hAnsi="宋体"/>
                <w:szCs w:val="21"/>
                <w:lang w:eastAsia="zh-CN"/>
              </w:rPr>
              <w:t>详见用户需求书、合同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2"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6.3</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招标代理服务费</w:t>
            </w:r>
          </w:p>
        </w:tc>
        <w:tc>
          <w:tcPr>
            <w:tcW w:w="6592" w:type="dxa"/>
          </w:tcPr>
          <w:p>
            <w:pPr>
              <w:numPr>
                <w:ilvl w:val="0"/>
                <w:numId w:val="13"/>
              </w:numPr>
              <w:adjustRightInd w:val="0"/>
              <w:snapToGrid w:val="0"/>
              <w:spacing w:line="320" w:lineRule="exact"/>
              <w:rPr>
                <w:rFonts w:ascii="宋体" w:hAnsi="宋体"/>
                <w:szCs w:val="21"/>
              </w:rPr>
            </w:pPr>
            <w:r>
              <w:rPr>
                <w:rFonts w:ascii="宋体" w:hAnsi="宋体"/>
                <w:szCs w:val="21"/>
              </w:rPr>
              <w:t>中标人须向采购代理机构按如下标准和规定缴纳招标代理服务费：</w:t>
            </w:r>
          </w:p>
          <w:p>
            <w:pPr>
              <w:adjustRightInd w:val="0"/>
              <w:snapToGrid w:val="0"/>
              <w:spacing w:line="320" w:lineRule="exact"/>
              <w:rPr>
                <w:rFonts w:ascii="宋体" w:hAnsi="宋体"/>
                <w:szCs w:val="21"/>
              </w:rPr>
            </w:pPr>
            <w:r>
              <w:rPr>
                <w:rFonts w:ascii="宋体" w:hAnsi="宋体"/>
                <w:szCs w:val="21"/>
              </w:rPr>
              <w:t>（1）以</w:t>
            </w:r>
            <w:r>
              <w:rPr>
                <w:rFonts w:hint="eastAsia" w:ascii="宋体" w:hAnsi="宋体"/>
                <w:szCs w:val="21"/>
              </w:rPr>
              <w:t>采购预算金额作为招标代理服务费的计算基数。</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sz w:val="21"/>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adjustRightInd w:val="0"/>
              <w:snapToGrid w:val="0"/>
              <w:spacing w:line="320" w:lineRule="exact"/>
              <w:rPr>
                <w:rFonts w:ascii="宋体" w:hAnsi="宋体"/>
                <w:szCs w:val="21"/>
              </w:rPr>
            </w:pPr>
            <w:r>
              <w:rPr>
                <w:rFonts w:ascii="宋体" w:hAnsi="宋体"/>
                <w:szCs w:val="21"/>
              </w:rPr>
              <w:t>（</w:t>
            </w:r>
            <w:r>
              <w:rPr>
                <w:rFonts w:hint="eastAsia" w:ascii="宋体" w:hAnsi="宋体"/>
                <w:szCs w:val="21"/>
              </w:rPr>
              <w:t>2</w:t>
            </w:r>
            <w:r>
              <w:rPr>
                <w:rFonts w:ascii="宋体" w:hAnsi="宋体"/>
                <w:szCs w:val="21"/>
              </w:rPr>
              <w:t>）招标代理服务费的缴纳形式：</w:t>
            </w:r>
          </w:p>
          <w:p>
            <w:pPr>
              <w:adjustRightInd w:val="0"/>
              <w:snapToGrid w:val="0"/>
              <w:spacing w:line="320" w:lineRule="exact"/>
              <w:ind w:left="315" w:hanging="315" w:hangingChars="150"/>
              <w:rPr>
                <w:rFonts w:ascii="宋体" w:hAnsi="宋体"/>
                <w:szCs w:val="21"/>
              </w:rPr>
            </w:pPr>
            <w:r>
              <w:rPr>
                <w:rFonts w:ascii="宋体" w:hAnsi="宋体"/>
                <w:szCs w:val="21"/>
              </w:rPr>
              <w:t>a.</w:t>
            </w:r>
            <w:r>
              <w:rPr>
                <w:rFonts w:hint="eastAsia" w:ascii="宋体" w:hAnsi="宋体"/>
                <w:szCs w:val="21"/>
              </w:rPr>
              <w:t xml:space="preserve"> </w:t>
            </w:r>
            <w:r>
              <w:rPr>
                <w:rFonts w:ascii="宋体" w:hAnsi="宋体"/>
                <w:szCs w:val="21"/>
              </w:rPr>
              <w:t xml:space="preserve">向采购代理机构直接缴纳招标代理服务费。可用支票、汇票、电汇等付款方式； </w:t>
            </w:r>
          </w:p>
          <w:p>
            <w:pPr>
              <w:adjustRightInd w:val="0"/>
              <w:snapToGrid w:val="0"/>
              <w:spacing w:line="320" w:lineRule="exact"/>
              <w:rPr>
                <w:rFonts w:ascii="宋体" w:hAnsi="宋体"/>
                <w:szCs w:val="21"/>
              </w:rPr>
            </w:pPr>
            <w:r>
              <w:rPr>
                <w:rFonts w:ascii="宋体" w:hAnsi="宋体"/>
                <w:szCs w:val="21"/>
              </w:rPr>
              <w:t>b. 招标代理服务费</w:t>
            </w:r>
            <w:r>
              <w:rPr>
                <w:rFonts w:hint="eastAsia" w:ascii="宋体" w:hAnsi="宋体"/>
                <w:szCs w:val="21"/>
              </w:rPr>
              <w:t>的缴费账号：详见投标文件格式《</w:t>
            </w:r>
            <w:r>
              <w:rPr>
                <w:rFonts w:ascii="宋体" w:hAnsi="宋体"/>
                <w:szCs w:val="21"/>
              </w:rPr>
              <w:t>招标代理服务费承诺书</w:t>
            </w:r>
            <w:r>
              <w:rPr>
                <w:rFonts w:hint="eastAsia" w:ascii="宋体" w:hAnsi="宋体"/>
                <w:szCs w:val="21"/>
              </w:rPr>
              <w:t>》。</w:t>
            </w:r>
          </w:p>
          <w:p>
            <w:pPr>
              <w:numPr>
                <w:ilvl w:val="0"/>
                <w:numId w:val="13"/>
              </w:numPr>
              <w:adjustRightInd w:val="0"/>
              <w:snapToGrid w:val="0"/>
              <w:spacing w:line="320" w:lineRule="exact"/>
              <w:rPr>
                <w:rFonts w:ascii="宋体" w:hAnsi="宋体"/>
                <w:szCs w:val="21"/>
              </w:rPr>
            </w:pPr>
            <w:r>
              <w:rPr>
                <w:rFonts w:ascii="宋体" w:hAnsi="宋体"/>
                <w:szCs w:val="21"/>
              </w:rPr>
              <w:t>投标人应签署</w:t>
            </w:r>
            <w:r>
              <w:rPr>
                <w:rFonts w:hint="eastAsia" w:ascii="宋体" w:hAnsi="宋体"/>
                <w:szCs w:val="21"/>
              </w:rPr>
              <w:t>投标文件格式《</w:t>
            </w:r>
            <w:r>
              <w:rPr>
                <w:rFonts w:ascii="宋体" w:hAnsi="宋体"/>
                <w:szCs w:val="21"/>
              </w:rPr>
              <w:t>招标代理服务费承诺书</w:t>
            </w:r>
            <w:r>
              <w:rPr>
                <w:rFonts w:hint="eastAsia" w:ascii="宋体" w:hAnsi="宋体"/>
                <w:szCs w:val="21"/>
              </w:rPr>
              <w:t>》</w:t>
            </w:r>
            <w:r>
              <w:rPr>
                <w:rFonts w:ascii="宋体" w:hAnsi="宋体"/>
                <w:szCs w:val="21"/>
              </w:rPr>
              <w:t>，作为投标文件的一部分。</w:t>
            </w:r>
          </w:p>
          <w:p>
            <w:pPr>
              <w:numPr>
                <w:ilvl w:val="0"/>
                <w:numId w:val="13"/>
              </w:numPr>
              <w:adjustRightInd w:val="0"/>
              <w:snapToGrid w:val="0"/>
              <w:spacing w:line="320" w:lineRule="exact"/>
              <w:rPr>
                <w:rFonts w:ascii="宋体" w:hAnsi="宋体"/>
                <w:szCs w:val="21"/>
              </w:rPr>
            </w:pPr>
            <w:r>
              <w:rPr>
                <w:rFonts w:hint="eastAsia" w:ascii="宋体" w:hAnsi="宋体" w:cs="宋体"/>
                <w:szCs w:val="21"/>
              </w:rPr>
              <w:t>中标人须向采购代理机构缴纳招标代理服务费后，凭领取人身份证复印件并加盖公章领取《中标通知书》。如采用电汇或银行转账，须同时递交招标代理服务费缴费凭证复印件并加盖公章。</w:t>
            </w:r>
          </w:p>
        </w:tc>
      </w:tr>
    </w:tbl>
    <w:p>
      <w:pPr>
        <w:rPr>
          <w:rFonts w:hint="eastAsia"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5" w:name="_Toc492302247"/>
      <w:bookmarkStart w:id="6" w:name="_Toc433648010"/>
      <w:bookmarkStart w:id="7" w:name="_Toc480529436"/>
      <w:r>
        <w:rPr>
          <w:rFonts w:hint="eastAsia" w:ascii="宋体" w:hAnsi="宋体"/>
          <w:b/>
          <w:bCs/>
          <w:sz w:val="28"/>
          <w:szCs w:val="28"/>
        </w:rPr>
        <w:t>第三章  评分体系与标准</w:t>
      </w:r>
      <w:bookmarkEnd w:id="5"/>
      <w:bookmarkEnd w:id="6"/>
      <w:bookmarkEnd w:id="7"/>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w:t>
      </w:r>
      <w:r>
        <w:rPr>
          <w:rFonts w:hint="eastAsia" w:ascii="宋体" w:hAnsi="宋体" w:cs="宋体"/>
          <w:szCs w:val="21"/>
          <w:lang w:eastAsia="zh-CN"/>
        </w:rPr>
        <w:t>代理机构对投标文件进行资格性审查，</w:t>
      </w:r>
      <w:r>
        <w:rPr>
          <w:rFonts w:hint="eastAsia" w:ascii="宋体" w:hAnsi="宋体" w:cs="宋体"/>
          <w:szCs w:val="21"/>
        </w:rPr>
        <w:t>评标委员会</w:t>
      </w:r>
      <w:r>
        <w:rPr>
          <w:rFonts w:hint="eastAsia" w:ascii="宋体" w:hAnsi="宋体" w:cs="宋体"/>
          <w:szCs w:val="21"/>
          <w:lang w:eastAsia="zh-CN"/>
        </w:rPr>
        <w:t>对</w:t>
      </w:r>
      <w:r>
        <w:rPr>
          <w:rFonts w:hint="eastAsia" w:ascii="宋体" w:hAnsi="宋体" w:cs="宋体"/>
          <w:szCs w:val="21"/>
        </w:rPr>
        <w:t>投标文件符合性审查，对通过初审的投标文件进行技术、商务及价格的详细评审，最后评标委员会出具评标报告。</w:t>
      </w:r>
      <w:r>
        <w:rPr>
          <w:rFonts w:hint="eastAsia" w:ascii="宋体" w:hAnsi="宋体" w:cs="宋体"/>
          <w:szCs w:val="21"/>
          <w:lang w:eastAsia="zh-CN"/>
        </w:rPr>
        <w:t>（初审分资格审核和符合性审查）</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4"/>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color w:val="FF0000"/>
              </w:rPr>
            </w:pPr>
            <w:r>
              <w:rPr>
                <w:rFonts w:hint="eastAsia" w:ascii="宋体" w:hAnsi="宋体"/>
                <w:b/>
                <w:bCs/>
                <w:color w:val="FF0000"/>
                <w:lang w:val="en-US" w:eastAsia="zh-CN"/>
              </w:rPr>
              <w:t>40</w:t>
            </w:r>
            <w:r>
              <w:rPr>
                <w:rFonts w:hint="eastAsia" w:ascii="宋体" w:hAnsi="宋体"/>
                <w:b/>
                <w:bCs/>
                <w:color w:val="FF0000"/>
              </w:rPr>
              <w:t>%</w:t>
            </w:r>
          </w:p>
        </w:tc>
        <w:tc>
          <w:tcPr>
            <w:tcW w:w="3312" w:type="dxa"/>
            <w:vAlign w:val="center"/>
          </w:tcPr>
          <w:p>
            <w:pPr>
              <w:snapToGrid w:val="0"/>
              <w:jc w:val="center"/>
              <w:rPr>
                <w:rFonts w:ascii="宋体" w:hAnsi="宋体"/>
                <w:b/>
                <w:bCs/>
                <w:color w:val="FF0000"/>
              </w:rPr>
            </w:pPr>
            <w:r>
              <w:rPr>
                <w:rFonts w:hint="eastAsia" w:ascii="宋体" w:hAnsi="宋体"/>
                <w:b/>
                <w:bCs/>
                <w:color w:val="FF0000"/>
                <w:lang w:val="en-US" w:eastAsia="zh-CN"/>
              </w:rPr>
              <w:t>30</w:t>
            </w:r>
            <w:r>
              <w:rPr>
                <w:rFonts w:hint="eastAsia" w:ascii="宋体" w:hAnsi="宋体"/>
                <w:b/>
                <w:bCs/>
                <w:color w:val="FF0000"/>
              </w:rPr>
              <w:t>%</w:t>
            </w:r>
          </w:p>
        </w:tc>
        <w:tc>
          <w:tcPr>
            <w:tcW w:w="3412" w:type="dxa"/>
            <w:vAlign w:val="center"/>
          </w:tcPr>
          <w:p>
            <w:pPr>
              <w:snapToGrid w:val="0"/>
              <w:jc w:val="center"/>
              <w:rPr>
                <w:rFonts w:ascii="宋体" w:hAnsi="宋体"/>
                <w:b/>
                <w:bCs/>
                <w:color w:val="FF0000"/>
              </w:rPr>
            </w:pPr>
            <w:r>
              <w:rPr>
                <w:rFonts w:hint="eastAsia" w:ascii="宋体" w:hAnsi="宋体"/>
                <w:b/>
                <w:bCs/>
                <w:color w:val="FF0000"/>
                <w:lang w:val="en-US" w:eastAsia="zh-CN"/>
              </w:rPr>
              <w:t>30</w:t>
            </w:r>
            <w:r>
              <w:rPr>
                <w:rFonts w:hint="eastAsia" w:ascii="宋体" w:hAnsi="宋体"/>
                <w:b/>
                <w:bCs/>
                <w:color w:val="FF0000"/>
              </w:rPr>
              <w:t>%</w:t>
            </w:r>
          </w:p>
        </w:tc>
      </w:tr>
    </w:tbl>
    <w:p>
      <w:pPr>
        <w:numPr>
          <w:ilvl w:val="0"/>
          <w:numId w:val="14"/>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4"/>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001" w:type="dxa"/>
            <w:tcBorders>
              <w:tl2br w:val="nil"/>
              <w:tr2bl w:val="nil"/>
            </w:tcBorders>
            <w:vAlign w:val="center"/>
          </w:tcPr>
          <w:p>
            <w:pPr>
              <w:spacing w:line="360" w:lineRule="auto"/>
              <w:jc w:val="center"/>
              <w:rPr>
                <w:rFonts w:ascii="宋体" w:hAnsi="宋体"/>
                <w:b/>
                <w:sz w:val="21"/>
                <w:szCs w:val="21"/>
              </w:rPr>
            </w:pPr>
            <w:r>
              <w:rPr>
                <w:rFonts w:hint="eastAsia" w:ascii="宋体" w:hAnsi="宋体"/>
                <w:b/>
                <w:sz w:val="21"/>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1</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2</w:t>
            </w:r>
          </w:p>
        </w:tc>
        <w:tc>
          <w:tcPr>
            <w:tcW w:w="9001" w:type="dxa"/>
            <w:tcBorders>
              <w:tl2br w:val="nil"/>
              <w:tr2bl w:val="nil"/>
            </w:tcBorders>
            <w:vAlign w:val="center"/>
          </w:tcPr>
          <w:p>
            <w:pPr>
              <w:numPr>
                <w:ilvl w:val="0"/>
                <w:numId w:val="0"/>
              </w:numPr>
              <w:spacing w:line="360" w:lineRule="auto"/>
              <w:rPr>
                <w:rFonts w:ascii="宋体" w:hAnsi="宋体"/>
                <w:bCs/>
                <w:sz w:val="21"/>
                <w:szCs w:val="21"/>
              </w:rPr>
            </w:pPr>
            <w:r>
              <w:rPr>
                <w:rFonts w:hint="eastAsia" w:ascii="宋体" w:hAnsi="宋体" w:cs="宋体"/>
                <w:szCs w:val="21"/>
              </w:rPr>
              <w:t>投标函</w:t>
            </w:r>
            <w:r>
              <w:rPr>
                <w:rFonts w:hint="eastAsia" w:ascii="宋体" w:hAnsi="宋体" w:cs="宋体"/>
                <w:szCs w:val="21"/>
                <w:lang w:eastAsia="zh-CN"/>
              </w:rPr>
              <w:t>、</w:t>
            </w:r>
            <w:r>
              <w:rPr>
                <w:rFonts w:hint="eastAsia" w:ascii="宋体" w:hAnsi="宋体"/>
                <w:sz w:val="21"/>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170" w:type="dxa"/>
            <w:tcBorders>
              <w:top w:val="single" w:color="auto" w:sz="12" w:space="0"/>
            </w:tcBorders>
            <w:vAlign w:val="center"/>
          </w:tcPr>
          <w:p>
            <w:pPr>
              <w:spacing w:line="360" w:lineRule="auto"/>
              <w:jc w:val="center"/>
              <w:rPr>
                <w:rFonts w:ascii="宋体" w:hAnsi="宋体"/>
                <w:b/>
                <w:sz w:val="21"/>
                <w:szCs w:val="21"/>
              </w:rPr>
            </w:pPr>
            <w:r>
              <w:rPr>
                <w:rFonts w:hint="eastAsia" w:ascii="宋体" w:hAnsi="宋体"/>
                <w:b/>
                <w:sz w:val="21"/>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1</w:t>
            </w:r>
          </w:p>
        </w:tc>
        <w:tc>
          <w:tcPr>
            <w:tcW w:w="9170" w:type="dxa"/>
            <w:vAlign w:val="center"/>
          </w:tcPr>
          <w:p>
            <w:pPr>
              <w:spacing w:line="360" w:lineRule="auto"/>
              <w:rPr>
                <w:rFonts w:ascii="宋体" w:hAnsi="宋体"/>
                <w:sz w:val="21"/>
                <w:szCs w:val="21"/>
              </w:rPr>
            </w:pPr>
            <w:r>
              <w:rPr>
                <w:rFonts w:hint="eastAsia" w:ascii="宋体" w:hAnsi="宋体"/>
                <w:sz w:val="21"/>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2</w:t>
            </w:r>
          </w:p>
        </w:tc>
        <w:tc>
          <w:tcPr>
            <w:tcW w:w="9170" w:type="dxa"/>
            <w:vAlign w:val="center"/>
          </w:tcPr>
          <w:p>
            <w:pPr>
              <w:spacing w:line="360" w:lineRule="auto"/>
              <w:rPr>
                <w:rFonts w:ascii="宋体" w:hAnsi="宋体"/>
                <w:color w:val="FF0000"/>
                <w:sz w:val="21"/>
                <w:szCs w:val="21"/>
              </w:rPr>
            </w:pPr>
            <w:r>
              <w:rPr>
                <w:rFonts w:hint="eastAsia" w:ascii="宋体" w:hAnsi="宋体"/>
                <w:color w:val="FF0000"/>
                <w:sz w:val="21"/>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170" w:type="dxa"/>
            <w:vAlign w:val="center"/>
          </w:tcPr>
          <w:p>
            <w:pPr>
              <w:spacing w:line="360" w:lineRule="auto"/>
              <w:rPr>
                <w:rFonts w:ascii="宋体" w:hAnsi="宋体" w:cs="宋体"/>
                <w:sz w:val="21"/>
                <w:szCs w:val="21"/>
              </w:rPr>
            </w:pPr>
            <w:r>
              <w:rPr>
                <w:rFonts w:hint="eastAsia" w:ascii="宋体" w:hAnsi="宋体"/>
                <w:sz w:val="21"/>
                <w:szCs w:val="21"/>
              </w:rPr>
              <w:t>能满足用户需求的主要参数（带“★”号条款）</w:t>
            </w:r>
            <w:r>
              <w:rPr>
                <w:rFonts w:hint="eastAsia" w:ascii="宋体" w:hAnsi="宋体"/>
                <w:sz w:val="21"/>
                <w:szCs w:val="21"/>
                <w:lang w:val="en-US" w:eastAsia="zh-CN"/>
              </w:rPr>
              <w:t>(如有)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70" w:type="dxa"/>
            <w:vAlign w:val="center"/>
          </w:tcPr>
          <w:p>
            <w:pPr>
              <w:spacing w:line="360" w:lineRule="auto"/>
              <w:rPr>
                <w:rFonts w:ascii="宋体" w:hAnsi="宋体" w:cs="宋体"/>
                <w:sz w:val="21"/>
                <w:szCs w:val="21"/>
              </w:rPr>
            </w:pPr>
            <w:r>
              <w:rPr>
                <w:rFonts w:hint="eastAsia" w:ascii="宋体" w:hAnsi="宋体" w:cs="宋体"/>
                <w:sz w:val="21"/>
                <w:szCs w:val="21"/>
              </w:rPr>
              <w:t>未出现恶意竞争低于成本价的情形</w:t>
            </w:r>
            <w:r>
              <w:rPr>
                <w:rFonts w:hint="eastAsia" w:ascii="宋体" w:hAnsi="宋体" w:cs="宋体"/>
                <w:color w:val="000000"/>
                <w:sz w:val="21"/>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5</w:t>
            </w:r>
          </w:p>
        </w:tc>
        <w:tc>
          <w:tcPr>
            <w:tcW w:w="9170" w:type="dxa"/>
            <w:vAlign w:val="center"/>
          </w:tcPr>
          <w:p>
            <w:pPr>
              <w:spacing w:line="360" w:lineRule="auto"/>
              <w:rPr>
                <w:rFonts w:ascii="宋体" w:hAnsi="宋体" w:cs="宋体"/>
                <w:sz w:val="21"/>
                <w:szCs w:val="21"/>
              </w:rPr>
            </w:pPr>
            <w:r>
              <w:rPr>
                <w:rFonts w:hint="eastAsia" w:ascii="宋体" w:hAnsi="宋体"/>
                <w:sz w:val="21"/>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6</w:t>
            </w:r>
          </w:p>
        </w:tc>
        <w:tc>
          <w:tcPr>
            <w:tcW w:w="9170" w:type="dxa"/>
            <w:tcBorders>
              <w:bottom w:val="single" w:color="auto" w:sz="12" w:space="0"/>
            </w:tcBorders>
            <w:vAlign w:val="center"/>
          </w:tcPr>
          <w:p>
            <w:pPr>
              <w:spacing w:line="360" w:lineRule="auto"/>
              <w:rPr>
                <w:rFonts w:ascii="宋体" w:hAnsi="宋体"/>
                <w:sz w:val="21"/>
                <w:szCs w:val="21"/>
              </w:rPr>
            </w:pPr>
            <w:r>
              <w:rPr>
                <w:rFonts w:hint="eastAsia" w:ascii="宋体" w:hAnsi="宋体"/>
                <w:sz w:val="21"/>
                <w:szCs w:val="21"/>
              </w:rPr>
              <w:t>未出现法律、法规、规章规定属于投标无效的其他情形</w:t>
            </w:r>
          </w:p>
        </w:tc>
      </w:tr>
    </w:tbl>
    <w:p>
      <w:pPr>
        <w:spacing w:line="360" w:lineRule="auto"/>
        <w:ind w:left="420"/>
        <w:jc w:val="center"/>
        <w:outlineLvl w:val="0"/>
        <w:rPr>
          <w:rFonts w:hint="eastAsia" w:ascii="宋体" w:hAnsi="宋体"/>
          <w:b/>
          <w:bCs/>
          <w:sz w:val="28"/>
          <w:szCs w:val="28"/>
        </w:rPr>
      </w:pPr>
      <w:r>
        <w:rPr>
          <w:rFonts w:hint="eastAsia" w:ascii="宋体" w:hAnsi="宋体"/>
          <w:b/>
          <w:bCs/>
          <w:sz w:val="28"/>
          <w:szCs w:val="28"/>
        </w:rPr>
        <w:br w:type="page"/>
      </w:r>
    </w:p>
    <w:tbl>
      <w:tblPr>
        <w:tblStyle w:val="1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687"/>
        <w:gridCol w:w="2618"/>
        <w:gridCol w:w="4953"/>
        <w:gridCol w:w="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3" w:hRule="atLeast"/>
        </w:trPr>
        <w:tc>
          <w:tcPr>
            <w:tcW w:w="1049"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分类</w:t>
            </w:r>
          </w:p>
        </w:tc>
        <w:tc>
          <w:tcPr>
            <w:tcW w:w="687"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总分</w:t>
            </w:r>
          </w:p>
        </w:tc>
        <w:tc>
          <w:tcPr>
            <w:tcW w:w="8226" w:type="dxa"/>
            <w:gridSpan w:val="3"/>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评价细则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1" w:hRule="atLeast"/>
        </w:trPr>
        <w:tc>
          <w:tcPr>
            <w:tcW w:w="1049" w:type="dxa"/>
            <w:vMerge w:val="restart"/>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商务部分</w:t>
            </w:r>
          </w:p>
        </w:tc>
        <w:tc>
          <w:tcPr>
            <w:tcW w:w="687" w:type="dxa"/>
            <w:vMerge w:val="restart"/>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0</w:t>
            </w:r>
          </w:p>
        </w:tc>
        <w:tc>
          <w:tcPr>
            <w:tcW w:w="2618" w:type="dxa"/>
            <w:vAlign w:val="center"/>
          </w:tcPr>
          <w:p>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kern w:val="2"/>
                <w:sz w:val="21"/>
                <w:szCs w:val="21"/>
                <w:rtl w:val="0"/>
                <w:lang w:val="en-US" w:eastAsia="zh-CN" w:bidi="ar-SA"/>
              </w:rPr>
              <w:t>同类项目经验：依据2015年以来的物业管理服务项目合同情况进行评审（分公司投标的，总公司业绩可纳入评审）</w:t>
            </w:r>
          </w:p>
        </w:tc>
        <w:tc>
          <w:tcPr>
            <w:tcW w:w="4953" w:type="dxa"/>
            <w:vAlign w:val="center"/>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rtl w:val="0"/>
                <w:lang w:val="en-US" w:eastAsia="zh-CN" w:bidi="ar-SA"/>
              </w:rPr>
              <w:t>每提供一个同类项目经验得1分，最高得10分。（须提供合同复印件、中标通知书）</w:t>
            </w:r>
          </w:p>
        </w:tc>
        <w:tc>
          <w:tcPr>
            <w:tcW w:w="65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0" w:hRule="atLeast"/>
        </w:trPr>
        <w:tc>
          <w:tcPr>
            <w:tcW w:w="1049" w:type="dxa"/>
            <w:vMerge w:val="continue"/>
            <w:vAlign w:val="center"/>
          </w:tcPr>
          <w:p>
            <w:pPr>
              <w:jc w:val="center"/>
              <w:rPr>
                <w:rFonts w:hint="eastAsia" w:asciiTheme="minorEastAsia" w:hAnsiTheme="minorEastAsia" w:eastAsiaTheme="minorEastAsia" w:cstheme="minorEastAsia"/>
                <w:sz w:val="21"/>
                <w:szCs w:val="21"/>
              </w:rPr>
            </w:pPr>
          </w:p>
        </w:tc>
        <w:tc>
          <w:tcPr>
            <w:tcW w:w="687" w:type="dxa"/>
            <w:vMerge w:val="continue"/>
            <w:vAlign w:val="center"/>
          </w:tcPr>
          <w:p>
            <w:pPr>
              <w:jc w:val="center"/>
              <w:rPr>
                <w:rFonts w:hint="eastAsia" w:asciiTheme="minorEastAsia" w:hAnsiTheme="minorEastAsia" w:eastAsiaTheme="minorEastAsia" w:cstheme="minorEastAsia"/>
                <w:sz w:val="21"/>
                <w:szCs w:val="21"/>
              </w:rPr>
            </w:pPr>
          </w:p>
        </w:tc>
        <w:tc>
          <w:tcPr>
            <w:tcW w:w="2618" w:type="dxa"/>
            <w:vAlign w:val="center"/>
          </w:tcPr>
          <w:p>
            <w:pP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kern w:val="2"/>
                <w:sz w:val="21"/>
                <w:szCs w:val="21"/>
                <w:rtl w:val="0"/>
                <w:lang w:val="en-US" w:eastAsia="zh-CN" w:bidi="ar-SA"/>
              </w:rPr>
              <w:t>在有效期内的质量管理体系、环境管理体系、职业健康安全管理体系认证、信息安全管理体系（与物业管理服务相关的信息安全管理活动）情况</w:t>
            </w:r>
          </w:p>
        </w:tc>
        <w:tc>
          <w:tcPr>
            <w:tcW w:w="4953" w:type="dxa"/>
            <w:vAlign w:val="center"/>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rtl w:val="0"/>
                <w:lang w:val="en-US" w:eastAsia="zh-CN" w:bidi="ar-SA"/>
              </w:rPr>
              <w:t>每具有一项得2分，最高得8分。</w:t>
            </w:r>
          </w:p>
        </w:tc>
        <w:tc>
          <w:tcPr>
            <w:tcW w:w="65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9" w:hRule="atLeast"/>
        </w:trPr>
        <w:tc>
          <w:tcPr>
            <w:tcW w:w="1049" w:type="dxa"/>
            <w:vMerge w:val="continue"/>
            <w:vAlign w:val="center"/>
          </w:tcPr>
          <w:p>
            <w:pPr>
              <w:jc w:val="center"/>
              <w:rPr>
                <w:rFonts w:hint="eastAsia" w:asciiTheme="minorEastAsia" w:hAnsiTheme="minorEastAsia" w:eastAsiaTheme="minorEastAsia" w:cstheme="minorEastAsia"/>
                <w:sz w:val="21"/>
                <w:szCs w:val="21"/>
              </w:rPr>
            </w:pPr>
          </w:p>
        </w:tc>
        <w:tc>
          <w:tcPr>
            <w:tcW w:w="687" w:type="dxa"/>
            <w:vMerge w:val="continue"/>
            <w:vAlign w:val="center"/>
          </w:tcPr>
          <w:p>
            <w:pPr>
              <w:jc w:val="center"/>
              <w:rPr>
                <w:rFonts w:hint="eastAsia" w:asciiTheme="minorEastAsia" w:hAnsiTheme="minorEastAsia" w:eastAsiaTheme="minorEastAsia" w:cstheme="minorEastAsia"/>
                <w:sz w:val="21"/>
                <w:szCs w:val="21"/>
              </w:rPr>
            </w:pPr>
          </w:p>
        </w:tc>
        <w:tc>
          <w:tcPr>
            <w:tcW w:w="2618" w:type="dxa"/>
            <w:vAlign w:val="center"/>
          </w:tcPr>
          <w:p>
            <w:pP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kern w:val="2"/>
                <w:sz w:val="21"/>
                <w:szCs w:val="21"/>
                <w:rtl w:val="0"/>
                <w:lang w:val="en-US" w:eastAsia="zh-CN" w:bidi="ar-SA"/>
              </w:rPr>
              <w:t>2015-2016年财务报告权威性</w:t>
            </w:r>
          </w:p>
        </w:tc>
        <w:tc>
          <w:tcPr>
            <w:tcW w:w="4953" w:type="dxa"/>
            <w:vAlign w:val="center"/>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rtl w:val="0"/>
                <w:lang w:val="en-US" w:eastAsia="zh-CN" w:bidi="ar-SA"/>
              </w:rPr>
              <w:t>能提供有审计资质的第三方出具的2015、2016年度《审计报告》，每个得2分；最高得4分，无，得0分。</w:t>
            </w:r>
          </w:p>
        </w:tc>
        <w:tc>
          <w:tcPr>
            <w:tcW w:w="65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1049" w:type="dxa"/>
            <w:vMerge w:val="continue"/>
            <w:vAlign w:val="center"/>
          </w:tcPr>
          <w:p>
            <w:pPr>
              <w:jc w:val="center"/>
              <w:rPr>
                <w:rFonts w:hint="eastAsia" w:asciiTheme="minorEastAsia" w:hAnsiTheme="minorEastAsia" w:eastAsiaTheme="minorEastAsia" w:cstheme="minorEastAsia"/>
                <w:sz w:val="21"/>
                <w:szCs w:val="21"/>
              </w:rPr>
            </w:pPr>
          </w:p>
        </w:tc>
        <w:tc>
          <w:tcPr>
            <w:tcW w:w="687" w:type="dxa"/>
            <w:vMerge w:val="continue"/>
            <w:vAlign w:val="center"/>
          </w:tcPr>
          <w:p>
            <w:pPr>
              <w:jc w:val="center"/>
              <w:rPr>
                <w:rFonts w:hint="eastAsia" w:asciiTheme="minorEastAsia" w:hAnsiTheme="minorEastAsia" w:eastAsiaTheme="minorEastAsia" w:cstheme="minorEastAsia"/>
                <w:sz w:val="21"/>
                <w:szCs w:val="21"/>
              </w:rPr>
            </w:pPr>
          </w:p>
        </w:tc>
        <w:tc>
          <w:tcPr>
            <w:tcW w:w="2618" w:type="dxa"/>
            <w:vAlign w:val="center"/>
          </w:tcPr>
          <w:p>
            <w:pP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kern w:val="2"/>
                <w:sz w:val="21"/>
                <w:szCs w:val="21"/>
                <w:rtl w:val="0"/>
                <w:lang w:val="en-US" w:eastAsia="zh-CN" w:bidi="ar-SA"/>
              </w:rPr>
              <w:t>获得国家有关部门或行业协会颁发的资质等级或奖项（提供相关证书扫描件）</w:t>
            </w:r>
          </w:p>
        </w:tc>
        <w:tc>
          <w:tcPr>
            <w:tcW w:w="4953" w:type="dxa"/>
            <w:vAlign w:val="center"/>
          </w:tcPr>
          <w:p>
            <w:pPr>
              <w:numPr>
                <w:ilvl w:val="0"/>
                <w:numId w:val="15"/>
              </w:numPr>
              <w:rPr>
                <w:rFonts w:hint="eastAsia" w:asciiTheme="minorEastAsia" w:hAnsiTheme="minorEastAsia" w:eastAsiaTheme="minorEastAsia" w:cstheme="minorEastAsia"/>
                <w:kern w:val="2"/>
                <w:sz w:val="21"/>
                <w:szCs w:val="21"/>
                <w:rtl w:val="0"/>
                <w:lang w:val="en-US" w:eastAsia="zh-CN" w:bidi="ar-SA"/>
              </w:rPr>
            </w:pPr>
            <w:r>
              <w:rPr>
                <w:rFonts w:hint="eastAsia" w:asciiTheme="minorEastAsia" w:hAnsiTheme="minorEastAsia" w:eastAsiaTheme="minorEastAsia" w:cstheme="minorEastAsia"/>
                <w:kern w:val="2"/>
                <w:sz w:val="21"/>
                <w:szCs w:val="21"/>
                <w:rtl w:val="0"/>
                <w:lang w:val="en-US" w:eastAsia="zh-CN" w:bidi="ar-SA"/>
              </w:rPr>
              <w:t>获得企业信用AAA等级，得1分；</w:t>
            </w:r>
          </w:p>
          <w:p>
            <w:pPr>
              <w:numPr>
                <w:ilvl w:val="0"/>
                <w:numId w:val="15"/>
              </w:numPr>
              <w:ind w:left="0" w:leftChars="0" w:firstLine="0" w:firstLineChars="0"/>
              <w:rPr>
                <w:rFonts w:hint="eastAsia" w:asciiTheme="minorEastAsia" w:hAnsiTheme="minorEastAsia" w:eastAsiaTheme="minorEastAsia" w:cstheme="minorEastAsia"/>
                <w:kern w:val="2"/>
                <w:sz w:val="21"/>
                <w:szCs w:val="21"/>
                <w:rtl w:val="0"/>
                <w:lang w:val="en-US" w:eastAsia="zh-CN" w:bidi="ar-SA"/>
              </w:rPr>
            </w:pPr>
            <w:r>
              <w:rPr>
                <w:rFonts w:hint="eastAsia" w:asciiTheme="minorEastAsia" w:hAnsiTheme="minorEastAsia" w:eastAsiaTheme="minorEastAsia" w:cstheme="minorEastAsia"/>
                <w:kern w:val="2"/>
                <w:sz w:val="21"/>
                <w:szCs w:val="21"/>
                <w:rtl w:val="0"/>
                <w:lang w:val="en-US" w:eastAsia="zh-CN" w:bidi="ar-SA"/>
              </w:rPr>
              <w:t>获得省级或以上企业管理现代化创新成果（由省级以上部门联合颁发）一等奖得5分，二等奖得3分，三等奖得2分，没有不得分，本项最高得5分；</w:t>
            </w:r>
          </w:p>
          <w:p>
            <w:pPr>
              <w:numPr>
                <w:ilvl w:val="0"/>
                <w:numId w:val="0"/>
              </w:numPr>
              <w:ind w:left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rtl w:val="0"/>
                <w:lang w:val="en-US" w:eastAsia="zh-CN" w:bidi="ar-SA"/>
              </w:rPr>
              <w:t>3、在管非住宅项目或物业企业曾获得全国称号或获得省级称号（由省级以上部门颁发）每个得0.5分，本项最高得2分。</w:t>
            </w:r>
          </w:p>
        </w:tc>
        <w:tc>
          <w:tcPr>
            <w:tcW w:w="65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651" w:hRule="atLeast"/>
        </w:trPr>
        <w:tc>
          <w:tcPr>
            <w:tcW w:w="1049" w:type="dxa"/>
            <w:vMerge w:val="restart"/>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技术部分</w:t>
            </w:r>
          </w:p>
        </w:tc>
        <w:tc>
          <w:tcPr>
            <w:tcW w:w="687" w:type="dxa"/>
            <w:vMerge w:val="restart"/>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40</w:t>
            </w:r>
          </w:p>
        </w:tc>
        <w:tc>
          <w:tcPr>
            <w:tcW w:w="2618"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2"/>
                <w:sz w:val="21"/>
                <w:szCs w:val="21"/>
                <w:highlight w:val="none"/>
                <w:rtl w:val="0"/>
                <w:lang w:val="en-US" w:eastAsia="zh-CN" w:bidi="ar-SA"/>
              </w:rPr>
              <w:t>对采购人需求的响应程度（投标服务方案）</w:t>
            </w:r>
          </w:p>
        </w:tc>
        <w:tc>
          <w:tcPr>
            <w:tcW w:w="4953"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2"/>
                <w:sz w:val="21"/>
                <w:szCs w:val="21"/>
                <w:highlight w:val="none"/>
                <w:rtl w:val="0"/>
                <w:lang w:val="en-US" w:eastAsia="zh-CN" w:bidi="ar-SA"/>
              </w:rPr>
              <w:t>总体服务模式科学合理，亮点多，针对性强得10分；总体服务模式有一定特点，亮点少，针对性不强得7分；总体服务模式无特点，无针对性得3分；总体服务模式不合理得0分。</w:t>
            </w:r>
          </w:p>
        </w:tc>
        <w:tc>
          <w:tcPr>
            <w:tcW w:w="65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5" w:hRule="atLeast"/>
        </w:trPr>
        <w:tc>
          <w:tcPr>
            <w:tcW w:w="1049" w:type="dxa"/>
            <w:vMerge w:val="continue"/>
            <w:vAlign w:val="center"/>
          </w:tcPr>
          <w:p>
            <w:pPr>
              <w:jc w:val="center"/>
              <w:rPr>
                <w:rFonts w:hint="eastAsia" w:asciiTheme="minorEastAsia" w:hAnsiTheme="minorEastAsia" w:eastAsiaTheme="minorEastAsia" w:cstheme="minorEastAsia"/>
                <w:sz w:val="21"/>
                <w:szCs w:val="21"/>
              </w:rPr>
            </w:pPr>
          </w:p>
        </w:tc>
        <w:tc>
          <w:tcPr>
            <w:tcW w:w="687" w:type="dxa"/>
            <w:vMerge w:val="continue"/>
            <w:vAlign w:val="center"/>
          </w:tcPr>
          <w:p>
            <w:pPr>
              <w:jc w:val="center"/>
              <w:rPr>
                <w:rFonts w:hint="eastAsia" w:asciiTheme="minorEastAsia" w:hAnsiTheme="minorEastAsia" w:eastAsiaTheme="minorEastAsia" w:cstheme="minorEastAsia"/>
                <w:sz w:val="21"/>
                <w:szCs w:val="21"/>
              </w:rPr>
            </w:pPr>
          </w:p>
        </w:tc>
        <w:tc>
          <w:tcPr>
            <w:tcW w:w="2618"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2"/>
                <w:sz w:val="21"/>
                <w:szCs w:val="21"/>
                <w:highlight w:val="none"/>
                <w:rtl w:val="0"/>
                <w:lang w:val="en-US" w:eastAsia="zh-CN" w:bidi="ar-SA"/>
              </w:rPr>
              <w:t>服务工作目标及管理方案</w:t>
            </w:r>
          </w:p>
        </w:tc>
        <w:tc>
          <w:tcPr>
            <w:tcW w:w="4953"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2"/>
                <w:sz w:val="21"/>
                <w:szCs w:val="21"/>
                <w:highlight w:val="none"/>
                <w:rtl w:val="0"/>
                <w:lang w:val="en-US" w:eastAsia="zh-CN" w:bidi="ar-SA"/>
              </w:rPr>
              <w:t>方案合理，内容详细，熟悉采购人内部管理要求得10分；方案合理、内容详细，了解采购人需求得7分；方案比较合理，内容较详细得3分；方案不合理，不能满足采购人实际需求得1分。无不得分。</w:t>
            </w:r>
          </w:p>
        </w:tc>
        <w:tc>
          <w:tcPr>
            <w:tcW w:w="65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0" w:hRule="atLeast"/>
        </w:trPr>
        <w:tc>
          <w:tcPr>
            <w:tcW w:w="1049" w:type="dxa"/>
            <w:vMerge w:val="continue"/>
            <w:vAlign w:val="center"/>
          </w:tcPr>
          <w:p>
            <w:pPr>
              <w:jc w:val="center"/>
              <w:rPr>
                <w:rFonts w:hint="eastAsia" w:asciiTheme="minorEastAsia" w:hAnsiTheme="minorEastAsia" w:eastAsiaTheme="minorEastAsia" w:cstheme="minorEastAsia"/>
                <w:sz w:val="21"/>
                <w:szCs w:val="21"/>
              </w:rPr>
            </w:pPr>
          </w:p>
        </w:tc>
        <w:tc>
          <w:tcPr>
            <w:tcW w:w="687" w:type="dxa"/>
            <w:vMerge w:val="continue"/>
            <w:vAlign w:val="center"/>
          </w:tcPr>
          <w:p>
            <w:pPr>
              <w:jc w:val="center"/>
              <w:rPr>
                <w:rFonts w:hint="eastAsia" w:asciiTheme="minorEastAsia" w:hAnsiTheme="minorEastAsia" w:eastAsiaTheme="minorEastAsia" w:cstheme="minorEastAsia"/>
                <w:sz w:val="21"/>
                <w:szCs w:val="21"/>
              </w:rPr>
            </w:pPr>
          </w:p>
        </w:tc>
        <w:tc>
          <w:tcPr>
            <w:tcW w:w="2618"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2"/>
                <w:sz w:val="21"/>
                <w:szCs w:val="21"/>
                <w:highlight w:val="none"/>
                <w:rtl w:val="0"/>
                <w:lang w:val="en-US" w:eastAsia="zh-CN" w:bidi="ar-SA"/>
              </w:rPr>
              <w:t>机构设立、运作流程、管理计划</w:t>
            </w:r>
          </w:p>
        </w:tc>
        <w:tc>
          <w:tcPr>
            <w:tcW w:w="4953"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2"/>
                <w:sz w:val="21"/>
                <w:szCs w:val="21"/>
                <w:highlight w:val="none"/>
                <w:rtl w:val="0"/>
                <w:lang w:val="en-US" w:eastAsia="zh-CN" w:bidi="ar-SA"/>
              </w:rPr>
              <w:t>根据投标人对机构设立、人员配置、运作流程、管理计划的响应情况进行比较。机构设立完整、人员配置齐全、运作流程顺畅、管理计划科学合理得10分；对比次之得7分；对比一般得4分；对比差得0分。</w:t>
            </w:r>
          </w:p>
        </w:tc>
        <w:tc>
          <w:tcPr>
            <w:tcW w:w="65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1" w:hRule="atLeast"/>
        </w:trPr>
        <w:tc>
          <w:tcPr>
            <w:tcW w:w="1049" w:type="dxa"/>
            <w:vMerge w:val="continue"/>
            <w:vAlign w:val="center"/>
          </w:tcPr>
          <w:p>
            <w:pPr>
              <w:jc w:val="center"/>
              <w:rPr>
                <w:rFonts w:hint="eastAsia" w:asciiTheme="minorEastAsia" w:hAnsiTheme="minorEastAsia" w:eastAsiaTheme="minorEastAsia" w:cstheme="minorEastAsia"/>
                <w:sz w:val="21"/>
                <w:szCs w:val="21"/>
              </w:rPr>
            </w:pPr>
          </w:p>
        </w:tc>
        <w:tc>
          <w:tcPr>
            <w:tcW w:w="687" w:type="dxa"/>
            <w:vMerge w:val="continue"/>
            <w:vAlign w:val="center"/>
          </w:tcPr>
          <w:p>
            <w:pPr>
              <w:jc w:val="center"/>
              <w:rPr>
                <w:rFonts w:hint="eastAsia" w:asciiTheme="minorEastAsia" w:hAnsiTheme="minorEastAsia" w:eastAsiaTheme="minorEastAsia" w:cstheme="minorEastAsia"/>
                <w:sz w:val="21"/>
                <w:szCs w:val="21"/>
              </w:rPr>
            </w:pPr>
          </w:p>
        </w:tc>
        <w:tc>
          <w:tcPr>
            <w:tcW w:w="2618"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2"/>
                <w:sz w:val="21"/>
                <w:szCs w:val="21"/>
                <w:highlight w:val="none"/>
                <w:rtl w:val="0"/>
                <w:lang w:val="en-US" w:eastAsia="zh-CN" w:bidi="ar-SA"/>
              </w:rPr>
              <w:t>工作人员培训及管理力量</w:t>
            </w:r>
          </w:p>
        </w:tc>
        <w:tc>
          <w:tcPr>
            <w:tcW w:w="4953"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2"/>
                <w:sz w:val="21"/>
                <w:szCs w:val="21"/>
                <w:highlight w:val="none"/>
                <w:rtl w:val="0"/>
                <w:lang w:val="en-US" w:eastAsia="zh-CN" w:bidi="ar-SA"/>
              </w:rPr>
              <w:t>有专业高素质人才队伍、工作人员培训及管理合理可行得10分；对比次之得7分；对比一般得4分；对比差得0分。</w:t>
            </w:r>
          </w:p>
        </w:tc>
        <w:tc>
          <w:tcPr>
            <w:tcW w:w="65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1" w:hRule="atLeast"/>
        </w:trPr>
        <w:tc>
          <w:tcPr>
            <w:tcW w:w="1049"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报价部分</w:t>
            </w:r>
          </w:p>
        </w:tc>
        <w:tc>
          <w:tcPr>
            <w:tcW w:w="687"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0</w:t>
            </w:r>
          </w:p>
        </w:tc>
        <w:tc>
          <w:tcPr>
            <w:tcW w:w="8226" w:type="dxa"/>
            <w:gridSpan w:val="3"/>
            <w:vAlign w:val="center"/>
          </w:tcPr>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不超过</w:t>
            </w:r>
            <w:r>
              <w:rPr>
                <w:rFonts w:hint="eastAsia" w:asciiTheme="minorEastAsia" w:hAnsiTheme="minorEastAsia" w:eastAsiaTheme="minorEastAsia" w:cstheme="minorEastAsia"/>
                <w:sz w:val="21"/>
                <w:szCs w:val="21"/>
                <w:lang w:eastAsia="zh-CN"/>
              </w:rPr>
              <w:t>最高限价</w:t>
            </w:r>
          </w:p>
        </w:tc>
      </w:tr>
    </w:tbl>
    <w:p>
      <w:pPr>
        <w:snapToGrid w:val="0"/>
        <w:spacing w:line="360" w:lineRule="auto"/>
        <w:rPr>
          <w:rFonts w:ascii="宋体" w:hAnsi="宋体"/>
          <w:bCs/>
        </w:rPr>
        <w:sectPr>
          <w:pgSz w:w="11906" w:h="16838"/>
          <w:pgMar w:top="1440" w:right="1080" w:bottom="1440" w:left="1080" w:header="851" w:footer="992" w:gutter="0"/>
          <w:cols w:space="720" w:num="1"/>
          <w:docGrid w:type="lines" w:linePitch="312" w:charSpace="0"/>
        </w:sectPr>
      </w:pPr>
    </w:p>
    <w:p>
      <w:pPr>
        <w:spacing w:line="360" w:lineRule="auto"/>
        <w:ind w:left="420"/>
        <w:jc w:val="center"/>
        <w:outlineLvl w:val="0"/>
        <w:rPr>
          <w:rFonts w:ascii="宋体" w:hAnsi="宋体"/>
          <w:b/>
          <w:bCs/>
          <w:sz w:val="28"/>
          <w:szCs w:val="28"/>
        </w:rPr>
      </w:pPr>
      <w:r>
        <w:rPr>
          <w:rFonts w:hint="eastAsia" w:ascii="宋体" w:hAnsi="宋体"/>
          <w:b/>
          <w:bCs/>
          <w:sz w:val="28"/>
          <w:szCs w:val="28"/>
        </w:rPr>
        <w:t>价格评分表(</w:t>
      </w:r>
      <w:r>
        <w:rPr>
          <w:rFonts w:hint="eastAsia" w:ascii="宋体" w:hAnsi="宋体"/>
          <w:b/>
          <w:bCs/>
          <w:sz w:val="28"/>
          <w:szCs w:val="28"/>
          <w:lang w:val="en-US" w:eastAsia="zh-CN"/>
        </w:rPr>
        <w:t>30</w:t>
      </w:r>
      <w:r>
        <w:rPr>
          <w:rFonts w:hint="eastAsia" w:ascii="宋体" w:hAnsi="宋体"/>
          <w:b/>
          <w:bCs/>
          <w:sz w:val="28"/>
          <w:szCs w:val="28"/>
        </w:rPr>
        <w:t>分)</w:t>
      </w:r>
    </w:p>
    <w:p>
      <w:pPr>
        <w:numPr>
          <w:ilvl w:val="0"/>
          <w:numId w:val="16"/>
        </w:numPr>
        <w:adjustRightInd w:val="0"/>
        <w:snapToGrid w:val="0"/>
        <w:spacing w:line="360" w:lineRule="auto"/>
        <w:rPr>
          <w:rFonts w:ascii="宋体" w:hAnsi="宋体"/>
          <w:bCs/>
        </w:rPr>
      </w:pPr>
      <w:r>
        <w:rPr>
          <w:rFonts w:hint="eastAsia" w:ascii="宋体" w:hAnsi="宋体"/>
          <w:bCs/>
        </w:rPr>
        <w:t>价格核准：</w:t>
      </w:r>
    </w:p>
    <w:p>
      <w:pPr>
        <w:numPr>
          <w:ilvl w:val="1"/>
          <w:numId w:val="16"/>
        </w:numPr>
        <w:adjustRightInd w:val="0"/>
        <w:snapToGrid w:val="0"/>
        <w:spacing w:line="360" w:lineRule="auto"/>
        <w:rPr>
          <w:rFonts w:ascii="宋体" w:hAnsi="宋体"/>
        </w:rPr>
      </w:pPr>
      <w:r>
        <w:rPr>
          <w:rFonts w:hint="eastAsia" w:ascii="宋体" w:hAnsi="宋体"/>
          <w:bCs/>
        </w:rPr>
        <w:t>评标委员会详细分析、核准价格表，检查其是否存在计算上或累加上的算术错误，修正错误的原则如下：</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开标时，投标文件中开标一览表(报价表)内容与投标文件中明细表内容不一致的，以开标一览表(报价表)为准。</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投标文件中的大写金额和小写金额不一致的，以大写金额为准；</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总价金额与按单价汇总金额不一致的，以单价金额计算结果为准；</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单价金额小数点有明显错位的，应以总价为准，并修改单价；</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hAnsi="宋体" w:cs="宋体"/>
          <w:szCs w:val="21"/>
        </w:rPr>
      </w:pPr>
      <w:r>
        <w:rPr>
          <w:rFonts w:hint="eastAsia" w:ascii="宋体" w:hAnsi="宋体" w:cs="宋体"/>
          <w:szCs w:val="21"/>
        </w:rPr>
        <w:t>同时出现两种以上不一致的，按照前款规定的顺序修正。</w:t>
      </w:r>
    </w:p>
    <w:p>
      <w:pPr>
        <w:numPr>
          <w:ilvl w:val="1"/>
          <w:numId w:val="16"/>
        </w:numPr>
        <w:adjustRightInd w:val="0"/>
        <w:snapToGrid w:val="0"/>
        <w:spacing w:line="360" w:lineRule="auto"/>
        <w:rPr>
          <w:rFonts w:ascii="宋体" w:hAnsi="宋体"/>
          <w:bCs/>
        </w:rPr>
      </w:pPr>
      <w:r>
        <w:rPr>
          <w:rFonts w:hint="eastAsia" w:ascii="宋体" w:hAnsi="宋体"/>
          <w:bCs/>
        </w:rPr>
        <w:t>评标委员会将按照上述修正错误的方法调整投标文件中的投标报价，调整后的价格对投标人具有约束力。如果投标人不接受对其错误的更正，其投标将被确定为投标无效。</w:t>
      </w:r>
    </w:p>
    <w:p>
      <w:pPr>
        <w:numPr>
          <w:ilvl w:val="1"/>
          <w:numId w:val="16"/>
        </w:numPr>
        <w:adjustRightInd w:val="0"/>
        <w:snapToGrid w:val="0"/>
        <w:spacing w:line="360" w:lineRule="auto"/>
        <w:rPr>
          <w:rFonts w:ascii="宋体" w:hAnsi="宋体"/>
          <w:bCs/>
        </w:rPr>
      </w:pPr>
      <w:r>
        <w:rPr>
          <w:rFonts w:hint="eastAsia" w:ascii="宋体" w:hAnsi="宋体"/>
          <w:bCs/>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6"/>
        </w:numPr>
        <w:adjustRightInd w:val="0"/>
        <w:snapToGrid w:val="0"/>
        <w:spacing w:line="360" w:lineRule="auto"/>
        <w:rPr>
          <w:rFonts w:ascii="宋体" w:hAnsi="宋体"/>
          <w:bCs/>
        </w:rPr>
      </w:pPr>
      <w:r>
        <w:rPr>
          <w:rFonts w:hint="eastAsia" w:ascii="宋体" w:hAnsi="宋体"/>
          <w:bCs/>
        </w:rPr>
        <w:t>按下列第3点</w:t>
      </w:r>
      <w:r>
        <w:rPr>
          <w:rFonts w:hint="eastAsia" w:ascii="宋体" w:hAnsi="宋体"/>
        </w:rPr>
        <w:t>小型和微型企业产品价格进行价格扣除。</w:t>
      </w:r>
    </w:p>
    <w:p>
      <w:pPr>
        <w:numPr>
          <w:ilvl w:val="0"/>
          <w:numId w:val="16"/>
        </w:numPr>
        <w:adjustRightInd w:val="0"/>
        <w:snapToGrid w:val="0"/>
        <w:spacing w:line="360" w:lineRule="auto"/>
        <w:rPr>
          <w:rFonts w:ascii="宋体" w:hAnsi="宋体"/>
          <w:bCs/>
        </w:rPr>
      </w:pPr>
      <w:r>
        <w:rPr>
          <w:rFonts w:ascii="宋体" w:hAnsi="宋体"/>
          <w:bCs/>
        </w:rPr>
        <w:t>综合评分法中的价格分统一采用低价优先法计算，即满足招标文件要求</w:t>
      </w:r>
      <w:r>
        <w:rPr>
          <w:rFonts w:hint="eastAsia" w:ascii="宋体" w:hAnsi="宋体"/>
          <w:bCs/>
        </w:rPr>
        <w:t>（通过资格性、符合性审查）</w:t>
      </w:r>
      <w:r>
        <w:rPr>
          <w:rFonts w:ascii="宋体" w:hAnsi="宋体"/>
          <w:bCs/>
        </w:rPr>
        <w:t>且投标价格最低的</w:t>
      </w:r>
      <w:r>
        <w:rPr>
          <w:rFonts w:hint="eastAsia" w:ascii="宋体" w:hAnsi="宋体"/>
          <w:bCs/>
        </w:rPr>
        <w:t>有效</w:t>
      </w:r>
      <w:r>
        <w:rPr>
          <w:rFonts w:ascii="宋体" w:hAnsi="宋体"/>
          <w:bCs/>
        </w:rPr>
        <w:t>投标报价</w:t>
      </w:r>
      <w:r>
        <w:rPr>
          <w:rFonts w:hint="eastAsia" w:ascii="宋体" w:hAnsi="宋体"/>
          <w:bCs/>
        </w:rPr>
        <w:t>（指价格核准后的价格，下同）</w:t>
      </w:r>
      <w:r>
        <w:rPr>
          <w:rFonts w:ascii="宋体" w:hAnsi="宋体"/>
          <w:bCs/>
        </w:rPr>
        <w:t>为评标基准价，其价格分为满分。其他投标人的价格分统一按照下列公式计算：</w:t>
      </w:r>
    </w:p>
    <w:p>
      <w:pPr>
        <w:adjustRightInd w:val="0"/>
        <w:snapToGrid w:val="0"/>
        <w:spacing w:line="360" w:lineRule="auto"/>
        <w:ind w:firstLine="413" w:firstLineChars="196"/>
        <w:rPr>
          <w:rFonts w:ascii="宋体" w:hAnsi="宋体"/>
          <w:b/>
          <w:bCs/>
        </w:rPr>
      </w:pPr>
      <w:r>
        <w:rPr>
          <w:rFonts w:hint="eastAsia" w:ascii="宋体" w:hAnsi="宋体"/>
          <w:b/>
          <w:bCs/>
        </w:rPr>
        <w:t>投标报价得分=(评标基准价/投标报价)×价格权值×100</w:t>
      </w:r>
    </w:p>
    <w:p>
      <w:pPr>
        <w:adjustRightInd w:val="0"/>
        <w:snapToGrid w:val="0"/>
        <w:spacing w:line="360" w:lineRule="auto"/>
        <w:ind w:firstLine="411" w:firstLineChars="196"/>
        <w:rPr>
          <w:rFonts w:ascii="宋体" w:hAnsi="宋体"/>
          <w:bCs/>
        </w:rPr>
      </w:pPr>
      <w:r>
        <w:rPr>
          <w:rFonts w:hint="eastAsia" w:ascii="宋体" w:hAnsi="宋体"/>
          <w:bCs/>
        </w:rPr>
        <w:t>备注：投标报价得分四舍五入后，</w:t>
      </w:r>
      <w:r>
        <w:rPr>
          <w:rFonts w:hint="eastAsia" w:ascii="宋体" w:hAnsi="宋体" w:cs="Arial"/>
          <w:szCs w:val="20"/>
        </w:rPr>
        <w:t>小数点后保留两位有效数</w:t>
      </w:r>
      <w:r>
        <w:rPr>
          <w:rFonts w:hint="eastAsia" w:ascii="宋体" w:hAnsi="宋体"/>
          <w:bCs/>
        </w:rPr>
        <w:t>；</w:t>
      </w:r>
    </w:p>
    <w:p>
      <w:pPr>
        <w:numPr>
          <w:ilvl w:val="0"/>
          <w:numId w:val="16"/>
        </w:numPr>
        <w:adjustRightInd w:val="0"/>
        <w:snapToGrid w:val="0"/>
        <w:spacing w:line="360" w:lineRule="auto"/>
        <w:rPr>
          <w:rFonts w:ascii="宋体" w:hAnsi="宋体"/>
        </w:rPr>
      </w:pPr>
      <w:r>
        <w:rPr>
          <w:rFonts w:hint="eastAsia" w:ascii="宋体" w:hAnsi="宋体"/>
        </w:rPr>
        <w:t>小型和微型企业产品价格扣除</w:t>
      </w:r>
    </w:p>
    <w:p>
      <w:pPr>
        <w:numPr>
          <w:ilvl w:val="1"/>
          <w:numId w:val="16"/>
        </w:numPr>
        <w:adjustRightInd w:val="0"/>
        <w:snapToGrid w:val="0"/>
        <w:spacing w:line="360" w:lineRule="auto"/>
        <w:rPr>
          <w:rFonts w:ascii="宋体" w:hAnsi="宋体"/>
          <w:bCs/>
        </w:rPr>
      </w:pPr>
      <w:r>
        <w:rPr>
          <w:rFonts w:hint="eastAsia" w:ascii="宋体" w:hAnsi="宋体"/>
          <w:bCs/>
        </w:rPr>
        <w:t xml:space="preserve">根据财政部、工业和信息化部印发的《政府采购促进中小企业发展暂行办法》（财库[2011]181号）的规定，对小型和微型企业产品的价格给予6%的扣除，用扣除后的价格参与评审； </w:t>
      </w:r>
    </w:p>
    <w:p>
      <w:pPr>
        <w:numPr>
          <w:ilvl w:val="1"/>
          <w:numId w:val="16"/>
        </w:numPr>
        <w:adjustRightInd w:val="0"/>
        <w:snapToGrid w:val="0"/>
        <w:spacing w:line="360" w:lineRule="auto"/>
        <w:rPr>
          <w:rFonts w:ascii="宋体" w:hAnsi="宋体"/>
          <w:bCs/>
        </w:rPr>
      </w:pPr>
      <w:r>
        <w:rPr>
          <w:rFonts w:hint="eastAsia" w:ascii="宋体" w:hAnsi="宋体"/>
          <w:bCs/>
        </w:rPr>
        <w:t>《政府采购促进中小企业发展暂行办法》所称中小企业（含中型、小型、微型企业，下同）应当同时符合以下条件：</w:t>
      </w:r>
    </w:p>
    <w:p>
      <w:pPr>
        <w:numPr>
          <w:ilvl w:val="2"/>
          <w:numId w:val="16"/>
        </w:numPr>
        <w:adjustRightInd w:val="0"/>
        <w:snapToGrid w:val="0"/>
        <w:spacing w:line="360" w:lineRule="auto"/>
        <w:rPr>
          <w:rFonts w:ascii="宋体" w:hAnsi="宋体"/>
          <w:bCs/>
        </w:rPr>
      </w:pPr>
      <w:r>
        <w:rPr>
          <w:rFonts w:hint="eastAsia" w:ascii="宋体" w:hAnsi="宋体"/>
          <w:bCs/>
        </w:rPr>
        <w:t xml:space="preserve">符合中小企业划分标准； </w:t>
      </w:r>
    </w:p>
    <w:p>
      <w:pPr>
        <w:numPr>
          <w:ilvl w:val="2"/>
          <w:numId w:val="16"/>
        </w:numPr>
        <w:adjustRightInd w:val="0"/>
        <w:snapToGrid w:val="0"/>
        <w:spacing w:line="360" w:lineRule="auto"/>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pPr>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小型、微型企业提供中型企业制造的货物的，视同为中型企业。</w:t>
      </w:r>
    </w:p>
    <w:p>
      <w:pPr>
        <w:numPr>
          <w:ilvl w:val="1"/>
          <w:numId w:val="16"/>
        </w:numPr>
        <w:adjustRightInd w:val="0"/>
        <w:snapToGrid w:val="0"/>
        <w:spacing w:line="360" w:lineRule="auto"/>
        <w:rPr>
          <w:rFonts w:ascii="宋体" w:hAnsi="宋体"/>
          <w:bCs/>
        </w:rPr>
      </w:pPr>
      <w:r>
        <w:rPr>
          <w:rFonts w:hint="eastAsia" w:ascii="宋体" w:hAnsi="宋体"/>
          <w:bCs/>
        </w:rPr>
        <w:t>参加政府采购活动的中小企业应当提供《中小企业声明函》（格式见第六章投标文件格式）</w:t>
      </w:r>
    </w:p>
    <w:p>
      <w:pPr>
        <w:numPr>
          <w:ilvl w:val="1"/>
          <w:numId w:val="16"/>
        </w:numPr>
        <w:adjustRightInd w:val="0"/>
        <w:snapToGrid w:val="0"/>
        <w:spacing w:line="360" w:lineRule="auto"/>
        <w:rPr>
          <w:rFonts w:ascii="宋体" w:hAnsi="宋体"/>
        </w:rPr>
      </w:pPr>
      <w:r>
        <w:rPr>
          <w:rFonts w:hint="eastAsia" w:ascii="宋体" w:hAnsi="宋体"/>
        </w:rPr>
        <w:t>监狱企业视同小型、微型企业，享受评审中价格扣除。</w:t>
      </w:r>
    </w:p>
    <w:p>
      <w:pPr>
        <w:numPr>
          <w:ilvl w:val="2"/>
          <w:numId w:val="16"/>
        </w:numPr>
        <w:adjustRightInd w:val="0"/>
        <w:snapToGrid w:val="0"/>
        <w:spacing w:line="360" w:lineRule="auto"/>
        <w:rPr>
          <w:rFonts w:ascii="宋体" w:hAns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6"/>
        </w:numPr>
        <w:adjustRightInd w:val="0"/>
        <w:snapToGrid w:val="0"/>
        <w:spacing w:line="360" w:lineRule="auto"/>
        <w:rPr>
          <w:rFonts w:ascii="宋体" w:hAns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6"/>
        </w:numPr>
        <w:adjustRightInd w:val="0"/>
        <w:snapToGrid w:val="0"/>
        <w:spacing w:line="360" w:lineRule="auto"/>
        <w:ind w:left="425"/>
        <w:rPr>
          <w:rFonts w:ascii="宋体" w:hAnsi="宋体"/>
        </w:rPr>
      </w:pPr>
      <w:r>
        <w:rPr>
          <w:rFonts w:hint="eastAsia" w:ascii="宋体" w:hAnsi="宋体"/>
        </w:rPr>
        <w:t>投标人同时为小型、微型企业和监狱企业的，评审中只享受一次价格扣除。不重复进行价格扣除。</w:t>
      </w:r>
    </w:p>
    <w:p>
      <w:pPr>
        <w:rPr>
          <w:rFonts w:hint="eastAsia" w:ascii="宋体" w:hAnsi="宋体" w:cs="宋体"/>
          <w:b/>
          <w:bCs/>
          <w:color w:val="FF0000"/>
          <w:sz w:val="21"/>
          <w:szCs w:val="21"/>
        </w:rPr>
      </w:pPr>
      <w:r>
        <w:rPr>
          <w:rFonts w:hint="eastAsia" w:ascii="宋体" w:hAnsi="宋体" w:cs="宋体"/>
          <w:b/>
          <w:bCs/>
          <w:color w:val="FF0000"/>
          <w:sz w:val="21"/>
          <w:szCs w:val="21"/>
          <w:lang w:eastAsia="zh-CN"/>
        </w:rPr>
        <w:t>备注：</w:t>
      </w:r>
      <w:r>
        <w:rPr>
          <w:rFonts w:hint="eastAsia" w:ascii="宋体" w:hAnsi="宋体" w:cs="宋体"/>
          <w:b/>
          <w:bCs/>
          <w:color w:val="FF0000"/>
          <w:sz w:val="21"/>
          <w:szCs w:val="21"/>
        </w:rPr>
        <w:t>报价低于最高限价的80%，投标人必须提供单独的报价说明并提交相关证明文件，并由其投标人授权代表签字，经评标委员会评定，若认定该投标报价为低于成本价恶意竞争，属于无效投标报价。</w:t>
      </w:r>
    </w:p>
    <w:p>
      <w:pPr>
        <w:rPr>
          <w:rFonts w:hint="eastAsia" w:ascii="宋体" w:hAnsi="宋体" w:cs="宋体"/>
          <w:b/>
          <w:bCs/>
          <w:color w:val="FF0000"/>
          <w:sz w:val="21"/>
          <w:szCs w:val="21"/>
        </w:rPr>
      </w:pPr>
      <w:r>
        <w:rPr>
          <w:rFonts w:hint="eastAsia" w:ascii="宋体" w:hAnsi="宋体" w:cs="宋体"/>
          <w:b/>
          <w:bCs/>
          <w:color w:val="FF0000"/>
          <w:sz w:val="21"/>
          <w:szCs w:val="21"/>
        </w:rPr>
        <w:br w:type="page"/>
      </w:r>
    </w:p>
    <w:p>
      <w:pPr>
        <w:spacing w:beforeLines="50" w:afterLines="50" w:line="360" w:lineRule="auto"/>
        <w:ind w:firstLine="562" w:firstLineChars="200"/>
        <w:jc w:val="center"/>
        <w:outlineLvl w:val="0"/>
        <w:rPr>
          <w:rFonts w:ascii="宋体" w:hAnsi="宋体"/>
          <w:szCs w:val="21"/>
        </w:rPr>
      </w:pPr>
      <w:r>
        <w:rPr>
          <w:rFonts w:hint="eastAsia" w:ascii="宋体" w:hAnsi="宋体"/>
          <w:b/>
          <w:bCs/>
          <w:sz w:val="28"/>
          <w:szCs w:val="28"/>
        </w:rPr>
        <w:t>第四章  用户需求书</w:t>
      </w:r>
    </w:p>
    <w:p>
      <w:pPr>
        <w:snapToGrid w:val="0"/>
        <w:spacing w:line="360" w:lineRule="auto"/>
        <w:rPr>
          <w:rFonts w:ascii="宋体" w:hAnsi="宋体"/>
          <w:b/>
          <w:bCs/>
          <w:szCs w:val="21"/>
        </w:rPr>
      </w:pPr>
      <w:r>
        <w:rPr>
          <w:rFonts w:hint="eastAsia" w:ascii="宋体" w:hAnsi="宋体"/>
          <w:b/>
          <w:bCs/>
          <w:szCs w:val="21"/>
        </w:rPr>
        <w:t>说明：</w:t>
      </w:r>
    </w:p>
    <w:p>
      <w:pPr>
        <w:numPr>
          <w:ilvl w:val="0"/>
          <w:numId w:val="18"/>
        </w:numPr>
        <w:snapToGrid w:val="0"/>
        <w:spacing w:line="360" w:lineRule="auto"/>
        <w:ind w:left="422" w:hanging="422" w:hangingChars="200"/>
        <w:rPr>
          <w:rFonts w:ascii="宋体" w:hAnsi="宋体"/>
          <w:b/>
          <w:bCs/>
          <w:szCs w:val="21"/>
        </w:rPr>
      </w:pPr>
      <w:r>
        <w:rPr>
          <w:rFonts w:hint="eastAsia" w:ascii="宋体" w:hAnsi="宋体"/>
          <w:b/>
          <w:bCs/>
          <w:szCs w:val="21"/>
        </w:rPr>
        <w:t>投标人须对同一采购项目为单位的货物及服务进行整体响应，任何只对其中一部分内容进行的响应都被视为无效投标。</w:t>
      </w:r>
    </w:p>
    <w:p>
      <w:pPr>
        <w:numPr>
          <w:ilvl w:val="0"/>
          <w:numId w:val="18"/>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号条款为重要技术参数，但不作为无效投标条款。</w:t>
      </w:r>
    </w:p>
    <w:p>
      <w:pPr>
        <w:numPr>
          <w:ilvl w:val="0"/>
          <w:numId w:val="18"/>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号条款为实质性条款，投标人如有任何一条负偏离则导致投标无效。</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服务期限</w:t>
            </w:r>
          </w:p>
        </w:tc>
        <w:tc>
          <w:tcPr>
            <w:tcW w:w="3216" w:type="dxa"/>
            <w:vAlign w:val="center"/>
          </w:tcPr>
          <w:p>
            <w:pPr>
              <w:snapToGrid w:val="0"/>
              <w:spacing w:line="276" w:lineRule="auto"/>
              <w:jc w:val="center"/>
              <w:rPr>
                <w:rFonts w:hint="eastAsia" w:ascii="宋体" w:hAnsi="宋体"/>
                <w:b/>
                <w:bCs/>
                <w:szCs w:val="21"/>
              </w:rPr>
            </w:pPr>
            <w:r>
              <w:rPr>
                <w:rFonts w:hint="eastAsia" w:ascii="宋体" w:hAnsi="宋体"/>
                <w:b/>
                <w:bCs w:val="0"/>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3620"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Theme="minorEastAsia" w:hAnsiTheme="minorEastAsia" w:eastAsiaTheme="minorEastAsia" w:cstheme="minorEastAsia"/>
                <w:kern w:val="0"/>
                <w:sz w:val="21"/>
                <w:szCs w:val="21"/>
              </w:rPr>
              <w:t>协助配合巡查、防火、防盗、安全隐患消除、乱摆乱卖等违规行为处理，安全保卫和公共秩序管理、应急事件现场处置以及交办工作等</w:t>
            </w:r>
          </w:p>
        </w:tc>
        <w:tc>
          <w:tcPr>
            <w:tcW w:w="3126" w:type="dxa"/>
            <w:vAlign w:val="center"/>
          </w:tcPr>
          <w:p>
            <w:pPr>
              <w:snapToGrid w:val="0"/>
              <w:spacing w:line="276" w:lineRule="auto"/>
              <w:jc w:val="center"/>
              <w:rPr>
                <w:rFonts w:hint="eastAsia" w:ascii="宋体" w:hAnsi="宋体" w:eastAsia="宋体"/>
                <w:bCs/>
                <w:szCs w:val="21"/>
                <w:lang w:eastAsia="zh-CN"/>
              </w:rPr>
            </w:pPr>
            <w:r>
              <w:rPr>
                <w:rFonts w:hint="eastAsia" w:ascii="宋体" w:hAnsi="宋体"/>
                <w:color w:val="000000"/>
                <w:szCs w:val="21"/>
                <w:lang w:eastAsia="zh-CN"/>
              </w:rPr>
              <w:t>自合同签订之日起为期一年</w:t>
            </w:r>
          </w:p>
        </w:tc>
        <w:tc>
          <w:tcPr>
            <w:tcW w:w="3216" w:type="dxa"/>
            <w:vAlign w:val="center"/>
          </w:tcPr>
          <w:p>
            <w:pPr>
              <w:numPr>
                <w:ilvl w:val="0"/>
                <w:numId w:val="0"/>
              </w:numPr>
              <w:adjustRightInd w:val="0"/>
              <w:snapToGrid w:val="0"/>
              <w:spacing w:line="240" w:lineRule="auto"/>
              <w:ind w:leftChars="0"/>
              <w:jc w:val="center"/>
              <w:rPr>
                <w:rFonts w:hint="eastAsia" w:ascii="宋体" w:hAnsi="宋体"/>
                <w:bCs/>
                <w:szCs w:val="20"/>
                <w:lang w:val="en-US" w:eastAsia="zh-CN"/>
              </w:rPr>
            </w:pPr>
            <w:r>
              <w:rPr>
                <w:rFonts w:hint="eastAsia" w:ascii="宋体" w:hAnsi="宋体"/>
                <w:bCs/>
                <w:szCs w:val="20"/>
                <w:lang w:val="en-US" w:eastAsia="zh-CN"/>
              </w:rPr>
              <w:t>1684800元</w:t>
            </w:r>
          </w:p>
        </w:tc>
      </w:tr>
    </w:tbl>
    <w:p>
      <w:pPr>
        <w:widowControl/>
        <w:numPr>
          <w:ilvl w:val="0"/>
          <w:numId w:val="19"/>
        </w:numPr>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项目概况</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w:t>
      </w:r>
      <w:r>
        <w:rPr>
          <w:rFonts w:hint="eastAsia" w:asciiTheme="minorEastAsia" w:hAnsiTheme="minorEastAsia" w:eastAsiaTheme="minorEastAsia" w:cstheme="minorEastAsia"/>
          <w:kern w:val="0"/>
          <w:sz w:val="21"/>
          <w:szCs w:val="21"/>
          <w:highlight w:val="yellow"/>
        </w:rPr>
        <w:t>本项目采购人：(</w:t>
      </w:r>
      <w:r>
        <w:rPr>
          <w:rFonts w:hint="eastAsia" w:asciiTheme="minorEastAsia" w:hAnsiTheme="minorEastAsia" w:eastAsiaTheme="minorEastAsia" w:cstheme="minorEastAsia"/>
          <w:kern w:val="0"/>
          <w:sz w:val="21"/>
          <w:szCs w:val="21"/>
          <w:highlight w:val="yellow"/>
          <w:lang w:val="en-US" w:eastAsia="zh-CN"/>
        </w:rPr>
        <w:t>广州市番禺区市桥建设</w:t>
      </w:r>
      <w:r>
        <w:rPr>
          <w:rFonts w:hint="eastAsia" w:asciiTheme="minorEastAsia" w:hAnsiTheme="minorEastAsia" w:eastAsiaTheme="minorEastAsia" w:cstheme="minorEastAsia"/>
          <w:kern w:val="0"/>
          <w:sz w:val="21"/>
          <w:szCs w:val="21"/>
          <w:highlight w:val="yellow"/>
        </w:rPr>
        <w:t>开发公司)</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（二）本项目地点为番禺区市桥街富华派出所辖区。服务范围包括：协助配合巡查、防火、防盗、安全隐患消除、乱摆乱卖等违规行为处理，安全保卫和公共秩序管理、应急事件现场处置以及交办工作等。</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（三）服务期限：自合同签订之日起为期一年。</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（四）投标最高限价：壹佰陆拾捌万肆仟捌佰元（1684800元）。</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二．总体要求</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（一）采购人对中标供应商派出的保安员的岗位设置有决定权，可对安保管理工作提出意见和建议。</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（二）中标供应商应按承诺足额派出保安员，组建安保队。并对本项目制订保安服务工作方案、以及组织架构、人员录用等内容的规章制度，组织培训并严格执行采购人制订的安保管理规章制度。</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（三）采购人对安保队的设置、管理、录用有参与权与审批权。</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（四）在处理特殊事件和紧急、突发事故时，采购人对中标供应商派出的保安队有直接指挥权。</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（五）中标供应商应对派出的保安员严格审查，保证其具有合格的安保资质。</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（六）中标供应商须严格按照国家、广东省、广州市的相关劳动法规和保险条例，为保安员提供完善的劳动权益保障。</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（七）中标供应商应建立健全安保队日常管理工作制度（如固定岗位值班日志、交接班、请销假登记等），并组织落实。采购人有权查阅记录。</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（八）无论何种原因出现保安人数空缺，中标供应商均应在2日内予以补充。</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（九）采购人有权提出更换不符合使用要求或损害采购人利益的保安员，采购人提出更换要求的，中标供应商应在3个工作日内予以更换。</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（十）中标供应商应为保安员配备合格的保安员服装及统一的保安服务标志，以及必要的保安器具、装备。</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（十一）在广州市行政区划外注册的中标供应商，应在开始提供保安服务前的10个工作日内，向合同履行地设区市公安机关备案，并取得《跨区服务备案证明》。</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本项目不接受联合体投标，中标项目不得转包、分包。招标文件或合同范围内全部安保服务均须由中标人自行完成，不得转包或分包给第三人，否则一经发现，采购人将对承包人处以中标合同价20%的违约金处罚，并且采购人有在权终止合同。</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三．保安服务内容及要求</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（一）服务内容</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1.全面负责服务范围内的安全保卫工作。包括：日常巡查、防火防盗、治安秩序维持、劝止乱摆乱卖、劝止广告宣传、及时发现并消除公共安全与保卫隐患，维护安全保卫工作范围内的公共管理秩序。</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2.坚决制止并消除安全保卫范围内的违法事件。</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3.协助公安部门做好安全保卫服务范围内的治安综合治理工作。</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4.负责做好安全保卫服务范围内群众休闲娱乐行为的的引导和管理。</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5.协助做好安全保卫范围内重大活动的安全保卫工作。</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6.协助或配合街道城管、交警等力量整治安保服务范围内的环境秩序。</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7.配合公安机关，打击安全保卫服务范围内的违法犯罪现象或行为。</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8.根据采购人需求，贯彻落实有关管理规定。</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（二）工作要求</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1.保安员按照工作要求执勤，安保责任到人、到岗，采用“各负其责+协同作战”的工作部署，供应商可在不违反劳动法相关规定及采购人要求的前提下，灵活进行人员配置。</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2.树立“服务第一，业主至上”的思想，切实维护采购人的权益及安全保卫服务范围内市民群众的人身和财产安全。</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3.管理坚持原则、慎密严谨；服务以人为本、主动热情；处理问题高度警惕、有理有节。</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4.上岗人员必须严格统一着装，穿戴干净整齐，佩戴必要的上岗装备，业务操作规范，熟悉公共管理规范等各项制度，待人文明礼貌，秉持从业道德规范。</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5.依法办事，文明执勤。对安全保卫职责范围内的事务有求必应，有险必出。不与市民群众发生争吵，杜绝与群众发生冲突，禁止出手伤及游客、群众人身安全。</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坚决制止安全保卫服务范围各种不文明行为，切实履行好前述安全保卫服务各项职责。对突发事件或者正在发生的违法犯罪行为，在确保自身安全的情况下，机智勇敢地与违法犯罪分子作斗争，维护公共安全和正常秩序。</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7．遵守岗纪律</w:t>
      </w:r>
    </w:p>
    <w:p>
      <w:pPr>
        <w:widowControl/>
        <w:spacing w:line="360" w:lineRule="auto"/>
        <w:ind w:firstLine="527" w:firstLineChars="251"/>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(1)未经主管同意，不得私自调班换岗或者请假早退。</w:t>
      </w:r>
    </w:p>
    <w:p>
      <w:pPr>
        <w:widowControl/>
        <w:spacing w:line="360" w:lineRule="auto"/>
        <w:ind w:firstLine="527" w:firstLineChars="251"/>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(2)在岗期间，不准随便进入生产及办公区域休息或者打电话、玩游戏。</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（3）禁止利用当班时间办私事和接待亲友。</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（4）上岗时要精神高度集中，勤走勤巡。禁止上岗看书报、闲谈、抽烟、听耳机、玩手机、喝酒、吃东西。</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（5）当值夜班不得睡觉。</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（6）严格按照规定的上岗路线、时间、地点巡逻和值守，做好“五防”（防火、防盗、防治安、防非法集会、防破坏）工作。</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（7）敢管善管，维护安全秩序，保护公共财物及群众人身安全。制止乱摆乱卖、乱停乱放等违反管理规定的现象。</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（8）在值守巡查或者日常巡逻过程中，必须认真检查各种设施是否完好，发现设施被盗或被损的，要立即向采购人报告。</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（9）做好每天的上岗情况工作记录，禁止在交班登记本上乱写乱画。</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（10）严禁利用工作之便收取他人财物。</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8.保安员应接受采购人的监督，在采购人的监督下开展安全防范工作和服务场所的日常管理工作。</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9.中标供应商应指派专职人员进行工作接洽和日常工作管理，要对保安员进行经常性的检查督促及教育培训。</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10.积极完成采购人交给的其他工作任务。</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四．人员配置</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（一）本项目必须派驻保安员30人</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（二）人员素质要求</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1.所有安保人员需经相关机构培训，取得相应资质。</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2.男性，年满18周岁以上，35周岁以下的中国公民，五官端正，身高不低于168cm，保安人员同等条件下，应优先安排退伍军人。</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3.遵纪守法，品行良好。</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（三）人员管理要求</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1.中标供应商应与派驻保安服务人员建立劳动雇佣关系，组织开展日常管理。</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2.中标供应商就本项目所派驻的全部安保服务人员专职服务于本项目，如遇特殊情况需临时调整，须报请采购人同意，并保证本项目正常运行。</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3.中标供应商应当根据服务岗位需要定期对保安员进行法律、保安专业知识和技能培训，每季度至少组织一次应急演练。</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4.中标供应商应建立健全安保队伍内部管理体制，对岗位、职责、纪律、工作要求、考勤考核、奖励惩处、工作记录等方面进行日常规范化、精细化管理。</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为确保服务质量不因人员变动而受影响，中标人必须采取切实有效措施保持保安队伍的稳定。应严格控制非违纪人员换岗比例，并保证所投入安保人员全部用于本项目安保工作，不得兼顾非本项目外的其它安保服务工作。</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6.保安人员应聘、录用、离职等管理要求档案规范，手续齐全，并应采取有效措施防止离职保安扰乱管理秩序。</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7.中标单位应有足够的后备保安队伍，遇突发事件时，中标单位能在30分钟内增派人员协助开展工作。</w:t>
      </w:r>
    </w:p>
    <w:p>
      <w:pPr>
        <w:widowControl/>
        <w:numPr>
          <w:ilvl w:val="0"/>
          <w:numId w:val="20"/>
        </w:numPr>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服务费内容</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采购人支付给中标供应商的每月服务费已包含以下各项费用：</w:t>
      </w:r>
    </w:p>
    <w:p>
      <w:pPr>
        <w:widowControl/>
        <w:spacing w:line="360" w:lineRule="auto"/>
        <w:ind w:firstLine="420" w:firstLineChars="2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0"/>
          <w:sz w:val="21"/>
          <w:szCs w:val="21"/>
        </w:rPr>
        <w:t>（一）保安人员工资、福利待遇和补贴：</w:t>
      </w:r>
      <w:r>
        <w:rPr>
          <w:rFonts w:hint="eastAsia" w:asciiTheme="minorEastAsia" w:hAnsiTheme="minorEastAsia" w:eastAsiaTheme="minorEastAsia" w:cstheme="minorEastAsia"/>
          <w:sz w:val="21"/>
          <w:szCs w:val="21"/>
        </w:rPr>
        <w:t>人工费，劳工意外保险，工伤、医疗、失业及养老保险，高温费，其他福利待遇、特殊人员体检费；</w:t>
      </w:r>
    </w:p>
    <w:p>
      <w:pPr>
        <w:pStyle w:val="22"/>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（二）劳保用品、服装费：一切劳保用品、服装费用；</w:t>
      </w:r>
    </w:p>
    <w:p>
      <w:pPr>
        <w:pStyle w:val="22"/>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（三）培训费：一切专业培训、办证费用；</w:t>
      </w:r>
    </w:p>
    <w:p>
      <w:pPr>
        <w:pStyle w:val="22"/>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（四）设备费：完成本项目所需的一切设备（由采购人提供的除外）；</w:t>
      </w:r>
    </w:p>
    <w:p>
      <w:pPr>
        <w:pStyle w:val="22"/>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（五）生活垃圾的清运费用；</w:t>
      </w:r>
    </w:p>
    <w:p>
      <w:pPr>
        <w:pStyle w:val="22"/>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（六）政府法律、条例等规定的涉及该运营项目相关的全部费用。服务期内均按上述内容支付费用，不再额外支付及调整。</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（七）中标人负责保安员因病或因公致伤、残、死亡时发生的全部费用。</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（八）中标人负责安全保卫服务工作范围内出现的意外事故处理费用。</w:t>
      </w:r>
    </w:p>
    <w:p>
      <w:pPr>
        <w:pStyle w:val="22"/>
        <w:spacing w:line="360" w:lineRule="auto"/>
        <w:ind w:firstLine="411" w:firstLineChars="196"/>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kern w:val="0"/>
          <w:sz w:val="21"/>
          <w:szCs w:val="21"/>
        </w:rPr>
        <w:t>（九）</w:t>
      </w:r>
      <w:r>
        <w:rPr>
          <w:rFonts w:hint="eastAsia" w:asciiTheme="minorEastAsia" w:hAnsiTheme="minorEastAsia" w:eastAsiaTheme="minorEastAsia" w:cstheme="minorEastAsia"/>
          <w:sz w:val="21"/>
          <w:szCs w:val="21"/>
        </w:rPr>
        <w:t>服务期内如遇政策变化人员福利增加，采购人不再追加经费，由中标供应商自行解决，请投标单位考虑本项目投标风险。</w:t>
      </w:r>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8" w:name="_Toc350953495"/>
      <w:r>
        <w:rPr>
          <w:rFonts w:hint="eastAsia" w:asciiTheme="minorEastAsia" w:hAnsiTheme="minorEastAsia" w:eastAsiaTheme="minorEastAsia" w:cstheme="minorEastAsia"/>
          <w:bCs/>
          <w:sz w:val="21"/>
          <w:szCs w:val="21"/>
        </w:rPr>
        <w:t>六．服务质量监控</w:t>
      </w:r>
      <w:bookmarkEnd w:id="8"/>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9" w:name="_Toc350953496"/>
      <w:r>
        <w:rPr>
          <w:rFonts w:hint="eastAsia" w:asciiTheme="minorEastAsia" w:hAnsiTheme="minorEastAsia" w:eastAsiaTheme="minorEastAsia" w:cstheme="minorEastAsia"/>
          <w:bCs/>
          <w:sz w:val="21"/>
          <w:szCs w:val="21"/>
        </w:rPr>
        <w:t>（一）管理服务总体目标监控</w:t>
      </w:r>
      <w:bookmarkEnd w:id="9"/>
    </w:p>
    <w:p>
      <w:pPr>
        <w:pStyle w:val="22"/>
        <w:spacing w:line="360" w:lineRule="auto"/>
        <w:ind w:firstLine="525" w:firstLineChars="250"/>
        <w:rPr>
          <w:rFonts w:hint="eastAsia" w:asciiTheme="minorEastAsia" w:hAnsiTheme="minorEastAsia" w:eastAsiaTheme="minorEastAsia" w:cstheme="minorEastAsia"/>
          <w:bCs/>
          <w:sz w:val="21"/>
          <w:szCs w:val="21"/>
        </w:rPr>
      </w:pPr>
      <w:bookmarkStart w:id="10" w:name="_Toc350953497"/>
      <w:r>
        <w:rPr>
          <w:rFonts w:hint="eastAsia" w:asciiTheme="minorEastAsia" w:hAnsiTheme="minorEastAsia" w:eastAsiaTheme="minorEastAsia" w:cstheme="minorEastAsia"/>
          <w:bCs/>
          <w:sz w:val="21"/>
          <w:szCs w:val="21"/>
        </w:rPr>
        <w:t>1.采购人主管部门对中标供应商的工作进行监督检查和协调沟通。</w:t>
      </w:r>
      <w:bookmarkEnd w:id="10"/>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11" w:name="_Toc350953498"/>
      <w:r>
        <w:rPr>
          <w:rFonts w:hint="eastAsia" w:asciiTheme="minorEastAsia" w:hAnsiTheme="minorEastAsia" w:eastAsiaTheme="minorEastAsia" w:cstheme="minorEastAsia"/>
          <w:bCs/>
          <w:sz w:val="21"/>
          <w:szCs w:val="21"/>
        </w:rPr>
        <w:t>2.中标供应商安保队长须主动与采购人主管部门联络，定时征求意见并改进工作。中标供应商如更换队长，应书面通知主管部门。如有违反，按违约处罚1000元/次，并限期改正。</w:t>
      </w:r>
      <w:bookmarkEnd w:id="11"/>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12" w:name="_Toc350953499"/>
      <w:r>
        <w:rPr>
          <w:rFonts w:hint="eastAsia" w:asciiTheme="minorEastAsia" w:hAnsiTheme="minorEastAsia" w:eastAsiaTheme="minorEastAsia" w:cstheme="minorEastAsia"/>
          <w:bCs/>
          <w:sz w:val="21"/>
          <w:szCs w:val="21"/>
        </w:rPr>
        <w:t>3.由采购人定期（每半年）组织人员调查中标供应商的服务质量，在项目范围内中层干部范围内随机发5份调查表，在普通群众中发放10份调查表，业主单位发放10分调查表，调查中标供应商的服务质量。调查表回收率须达到90%以上（含90%）。调查表对服务质量的评价标准为：满意、较满意、基本满意、不满意四种。中标供应商须保证调查满意、较满意达90%以上。调查服务质量对服务评价如果连续二次未达到满意度要求（90%以上），扣除履约金2%，连续三次未达到满意度要求，采购人有权终止合同，并扣除全部履约金。并限期一个月内提高服务质量的满意度。</w:t>
      </w:r>
      <w:bookmarkEnd w:id="12"/>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13" w:name="_Toc350953500"/>
      <w:r>
        <w:rPr>
          <w:rFonts w:hint="eastAsia" w:asciiTheme="minorEastAsia" w:hAnsiTheme="minorEastAsia" w:eastAsiaTheme="minorEastAsia" w:cstheme="minorEastAsia"/>
          <w:bCs/>
          <w:sz w:val="21"/>
          <w:szCs w:val="21"/>
        </w:rPr>
        <w:t>4.中标供应商服务人员应遵纪守法，对服务态度、服务质量的投诉要及时处理回复，做到有效投诉处理率达100%，投诉回复率达100%。</w:t>
      </w:r>
      <w:bookmarkEnd w:id="13"/>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14" w:name="_Toc350953501"/>
      <w:r>
        <w:rPr>
          <w:rFonts w:hint="eastAsia" w:asciiTheme="minorEastAsia" w:hAnsiTheme="minorEastAsia" w:eastAsiaTheme="minorEastAsia" w:cstheme="minorEastAsia"/>
          <w:bCs/>
          <w:sz w:val="21"/>
          <w:szCs w:val="21"/>
        </w:rPr>
        <w:t>5.如中标供应商服务人员有监守自盗行为，一经发现核实，按财产损失价值5倍处罚中标供应商，中标供应商须开除当事员工。如发生火灾、治安、交通、刑事等事故，经核实，是因中标供应商管理疏忽、玩忽职守、处理不当所造成的，按事故责任进行赔偿。必要时追诉中标供应商的刑事责任。</w:t>
      </w:r>
      <w:bookmarkEnd w:id="14"/>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15" w:name="_Toc350953502"/>
      <w:r>
        <w:rPr>
          <w:rFonts w:hint="eastAsia" w:asciiTheme="minorEastAsia" w:hAnsiTheme="minorEastAsia" w:eastAsiaTheme="minorEastAsia" w:cstheme="minorEastAsia"/>
          <w:bCs/>
          <w:sz w:val="21"/>
          <w:szCs w:val="21"/>
        </w:rPr>
        <w:t>6.中标供应商须保证派驻服务人员的稳定性。中标供应商要提供人员花名册，加盖公章并在合同签订一个月后交给采购人审查备案。</w:t>
      </w:r>
      <w:bookmarkEnd w:id="15"/>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16" w:name="_Toc350953503"/>
      <w:r>
        <w:rPr>
          <w:rFonts w:hint="eastAsia" w:asciiTheme="minorEastAsia" w:hAnsiTheme="minorEastAsia" w:eastAsiaTheme="minorEastAsia" w:cstheme="minorEastAsia"/>
          <w:bCs/>
          <w:sz w:val="21"/>
          <w:szCs w:val="21"/>
        </w:rPr>
        <w:t>7.中标供应商不得随意调整服务人员, 如服务人员有调离或离职，须提前向采购人管理部门报告。调整新到岗的服务人员必须有3天的跟班熟悉时间，跟班人员熟悉工作职责、工作任务得到采购人主管部门考核批准后方可上岗，同时调整或离职人员才能离开项目范围内。</w:t>
      </w:r>
      <w:bookmarkEnd w:id="16"/>
    </w:p>
    <w:p>
      <w:pPr>
        <w:pStyle w:val="22"/>
        <w:spacing w:line="360" w:lineRule="auto"/>
        <w:ind w:firstLine="525" w:firstLineChars="250"/>
        <w:rPr>
          <w:rFonts w:hint="eastAsia" w:asciiTheme="minorEastAsia" w:hAnsiTheme="minorEastAsia" w:eastAsiaTheme="minorEastAsia" w:cstheme="minorEastAsia"/>
          <w:bCs/>
          <w:sz w:val="21"/>
          <w:szCs w:val="21"/>
        </w:rPr>
      </w:pPr>
      <w:bookmarkStart w:id="17" w:name="_Toc350953504"/>
      <w:r>
        <w:rPr>
          <w:rFonts w:hint="eastAsia" w:asciiTheme="minorEastAsia" w:hAnsiTheme="minorEastAsia" w:eastAsiaTheme="minorEastAsia" w:cstheme="minorEastAsia"/>
          <w:bCs/>
          <w:sz w:val="21"/>
          <w:szCs w:val="21"/>
        </w:rPr>
        <w:t>8.调整或重新安排的服务人员应符合本项目的招标要求。如发现中标供应商不报采购人主管部门同意就对其服务人员、管理人员进行调整，或使用年龄不符合本项目招标要求的，一经核实每次每项扣</w:t>
      </w:r>
      <w:r>
        <w:rPr>
          <w:rFonts w:hint="eastAsia" w:asciiTheme="minorEastAsia" w:hAnsiTheme="minorEastAsia" w:eastAsiaTheme="minorEastAsia" w:cstheme="minorEastAsia"/>
          <w:b/>
          <w:sz w:val="21"/>
          <w:szCs w:val="21"/>
        </w:rPr>
        <w:t>3000.00</w:t>
      </w:r>
      <w:r>
        <w:rPr>
          <w:rFonts w:hint="eastAsia" w:asciiTheme="minorEastAsia" w:hAnsiTheme="minorEastAsia" w:eastAsiaTheme="minorEastAsia" w:cstheme="minorEastAsia"/>
          <w:bCs/>
          <w:sz w:val="21"/>
          <w:szCs w:val="21"/>
        </w:rPr>
        <w:t>元。</w:t>
      </w:r>
      <w:bookmarkEnd w:id="17"/>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18" w:name="_Toc350953505"/>
      <w:r>
        <w:rPr>
          <w:rFonts w:hint="eastAsia" w:asciiTheme="minorEastAsia" w:hAnsiTheme="minorEastAsia" w:eastAsiaTheme="minorEastAsia" w:cstheme="minorEastAsia"/>
          <w:bCs/>
          <w:sz w:val="21"/>
          <w:szCs w:val="21"/>
        </w:rPr>
        <w:t>（二）违约处罚</w:t>
      </w:r>
      <w:bookmarkEnd w:id="18"/>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19" w:name="_Toc350953508"/>
      <w:r>
        <w:rPr>
          <w:rFonts w:hint="eastAsia" w:asciiTheme="minorEastAsia" w:hAnsiTheme="minorEastAsia" w:eastAsiaTheme="minorEastAsia" w:cstheme="minorEastAsia"/>
          <w:bCs/>
          <w:sz w:val="21"/>
          <w:szCs w:val="21"/>
        </w:rPr>
        <w:t>1.中标供应商每月需将上个月服务人员工资清单打印盖章交采购人备存,如发现中标供应商不按合同配置管理人员人数,视为违约,采购人有权解除合同,不作任何赔偿。</w:t>
      </w:r>
      <w:bookmarkEnd w:id="19"/>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20" w:name="_Toc350953509"/>
      <w:r>
        <w:rPr>
          <w:rFonts w:hint="eastAsia" w:asciiTheme="minorEastAsia" w:hAnsiTheme="minorEastAsia" w:eastAsiaTheme="minorEastAsia" w:cstheme="minorEastAsia"/>
          <w:bCs/>
          <w:sz w:val="21"/>
          <w:szCs w:val="21"/>
        </w:rPr>
        <w:t>2.如项目范围内发生被盗案件，如由于中标供应商服务人员失职、渎职所造成的，中标供应商须赔偿相应损失。</w:t>
      </w:r>
      <w:bookmarkEnd w:id="20"/>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21" w:name="_Toc350953510"/>
      <w:r>
        <w:rPr>
          <w:rFonts w:hint="eastAsia" w:asciiTheme="minorEastAsia" w:hAnsiTheme="minorEastAsia" w:eastAsiaTheme="minorEastAsia" w:cstheme="minorEastAsia"/>
          <w:bCs/>
          <w:sz w:val="21"/>
          <w:szCs w:val="21"/>
        </w:rPr>
        <w:t>3.如项目范围内人员人身伤亡和财产损失是由于中标供应商监管不力造成的，其损失由中标供应商承担相应责任和负责赔偿。</w:t>
      </w:r>
      <w:bookmarkEnd w:id="21"/>
    </w:p>
    <w:p>
      <w:pPr>
        <w:pStyle w:val="22"/>
        <w:spacing w:line="360" w:lineRule="auto"/>
        <w:ind w:firstLine="420" w:firstLineChars="200"/>
        <w:rPr>
          <w:rFonts w:hint="eastAsia" w:asciiTheme="minorEastAsia" w:hAnsiTheme="minorEastAsia" w:eastAsiaTheme="minorEastAsia" w:cstheme="minorEastAsia"/>
          <w:bCs/>
          <w:sz w:val="21"/>
          <w:szCs w:val="21"/>
        </w:rPr>
      </w:pPr>
      <w:bookmarkStart w:id="22" w:name="_Toc350953511"/>
      <w:r>
        <w:rPr>
          <w:rFonts w:hint="eastAsia" w:asciiTheme="minorEastAsia" w:hAnsiTheme="minorEastAsia" w:eastAsiaTheme="minorEastAsia" w:cstheme="minorEastAsia"/>
          <w:bCs/>
          <w:sz w:val="21"/>
          <w:szCs w:val="21"/>
        </w:rPr>
        <w:t>4.中标供应商服务质量满意度评价不符合要求作为违约赔偿，中标供应商失职造成的经济赔偿，于当月服务费中扣除。</w:t>
      </w:r>
      <w:bookmarkEnd w:id="22"/>
    </w:p>
    <w:p>
      <w:pPr>
        <w:pStyle w:val="22"/>
        <w:spacing w:line="360" w:lineRule="auto"/>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七．质量检查与处罚</w:t>
      </w:r>
    </w:p>
    <w:p>
      <w:pPr>
        <w:pStyle w:val="22"/>
        <w:spacing w:line="360" w:lineRule="auto"/>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一）日常质量检查监督由采购人指定的监督机构负责。中标供应商在每月工作考评中得分在80分（含80分）以上，按合同划拨月承包费。在考评活动中，得分在75-80分以下，相应扣减中标供应商当月承包费的5%，得分在70-75分以下，相应扣减中标供应商当月承包费的10%，得分70分以下，扣除当月承包费。累计三个月不达80分，除扣减承包费外，采购人可以解除承包合同。</w:t>
      </w:r>
    </w:p>
    <w:p>
      <w:pPr>
        <w:pStyle w:val="22"/>
        <w:spacing w:line="360" w:lineRule="auto"/>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二）中标供应商在市、区的重要检查或重大突击性任务中，发现属中标供应商服务质量责任问题，经查属实，且不及时或不配合整改承包区域，情节特别严重，受到上级或区政府批评、传媒曝光，除扣减中标供应商当月承包费的5—10%外，年累计三次，采购人可以解除承包合同。</w:t>
      </w:r>
    </w:p>
    <w:p>
      <w:pPr>
        <w:pStyle w:val="22"/>
        <w:spacing w:line="360" w:lineRule="auto"/>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对于市、区管理部门提出的整改意见或群众投诉等问题，中标供应商不进行整改或整改后，经区监督管理部门检查仍不符合质量标准要求，每发生一次扣减中标供应商当月承包费的3—5%。承包期内累计三次者，采购人可以解除承包合同。</w:t>
      </w:r>
    </w:p>
    <w:p>
      <w:pPr>
        <w:pStyle w:val="22"/>
        <w:spacing w:line="360" w:lineRule="auto"/>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未经采购人同意，中标供应商不得在承包范围内从事承包费以外的收费工作，一旦发现经查属实，采购人有权按中标供应商实际收取金额的10倍扣减当月承包服务费，承包期内累计二次者，采购人可以解除承包合同。</w:t>
      </w:r>
    </w:p>
    <w:p>
      <w:pPr>
        <w:pStyle w:val="22"/>
        <w:spacing w:line="360" w:lineRule="auto"/>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五）中标供应商本项目工作人员流动等原因造成的上岗人员达不到投标承诺人数的，按照人员总费用计算人均人员费用与确少人数及确少天数计算扣减当期应付承包经费（工作人员流动原因造成缺人的，按照每月考勤允许人员流动不多于2人的情况下5日内不扣罚）。</w:t>
      </w:r>
    </w:p>
    <w:p>
      <w:pPr>
        <w:pStyle w:val="22"/>
        <w:spacing w:line="360" w:lineRule="auto"/>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（六）如发现项目范围内因安保不到位导致设施被盗窃情况，中标供应商需照价赔偿且扣除当月承包费的1%。</w:t>
      </w:r>
    </w:p>
    <w:p>
      <w:pPr>
        <w:pStyle w:val="22"/>
        <w:spacing w:line="360" w:lineRule="auto"/>
        <w:ind w:firstLine="516" w:firstLineChars="246"/>
        <w:outlineLvl w:val="2"/>
        <w:rPr>
          <w:rFonts w:hint="eastAsia" w:asciiTheme="minorEastAsia" w:hAnsiTheme="minorEastAsia" w:eastAsiaTheme="minorEastAsia" w:cstheme="minorEastAsia"/>
          <w:sz w:val="21"/>
          <w:szCs w:val="21"/>
        </w:rPr>
      </w:pPr>
      <w:bookmarkStart w:id="23" w:name="_Toc380565612"/>
      <w:r>
        <w:rPr>
          <w:rFonts w:hint="eastAsia" w:asciiTheme="minorEastAsia" w:hAnsiTheme="minorEastAsia" w:eastAsiaTheme="minorEastAsia" w:cstheme="minorEastAsia"/>
          <w:sz w:val="21"/>
          <w:szCs w:val="21"/>
          <w:lang w:eastAsia="zh-CN"/>
        </w:rPr>
        <w:t>八</w:t>
      </w:r>
      <w:r>
        <w:rPr>
          <w:rFonts w:hint="eastAsia" w:asciiTheme="minorEastAsia" w:hAnsiTheme="minorEastAsia" w:eastAsiaTheme="minorEastAsia" w:cstheme="minorEastAsia"/>
          <w:sz w:val="21"/>
          <w:szCs w:val="21"/>
        </w:rPr>
        <w:t>、其他要求</w:t>
      </w:r>
      <w:bookmarkEnd w:id="23"/>
    </w:p>
    <w:p>
      <w:pPr>
        <w:pStyle w:val="22"/>
        <w:tabs>
          <w:tab w:val="left" w:pos="1380"/>
        </w:tabs>
        <w:spacing w:line="360" w:lineRule="auto"/>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（一）中标供应商须严格按照国家、广东省、广州市有关的劳动法规和保险条例，为维持秩序员提供完善的劳动权益保障。如发生劳资纠纷，由中标供应商解决，采购人不承担任何责任。</w:t>
      </w:r>
    </w:p>
    <w:p>
      <w:pPr>
        <w:pStyle w:val="22"/>
        <w:tabs>
          <w:tab w:val="left" w:pos="1380"/>
        </w:tabs>
        <w:spacing w:line="360" w:lineRule="auto"/>
        <w:ind w:firstLine="48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（二）中标供应商应当在物业服务工作范围内，根据实际情况积极开展经常性消防安全宣传教育，每年至少组织两次服务人员和采购单位职工进行灭火和疏散演练。</w:t>
      </w:r>
    </w:p>
    <w:p>
      <w:pPr>
        <w:pStyle w:val="22"/>
        <w:tabs>
          <w:tab w:val="left" w:pos="1380"/>
        </w:tabs>
        <w:spacing w:line="360" w:lineRule="auto"/>
        <w:ind w:firstLine="48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（三）如发生违反计划生育规定的，由中标供应商自行解决并承担所有责任，采购人无任何连带关系和责任。</w:t>
      </w:r>
    </w:p>
    <w:p>
      <w:pPr>
        <w:pStyle w:val="22"/>
        <w:tabs>
          <w:tab w:val="left" w:pos="1380"/>
        </w:tabs>
        <w:spacing w:line="360" w:lineRule="auto"/>
        <w:ind w:firstLine="480"/>
        <w:rPr>
          <w:rStyle w:val="23"/>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（四）中标供应商不得将本物业的管理责任转包给第三方,如有发现视为违约,采购人将报监管部门处理。</w:t>
      </w:r>
    </w:p>
    <w:p>
      <w:pPr>
        <w:pStyle w:val="22"/>
        <w:spacing w:line="360" w:lineRule="auto"/>
        <w:ind w:firstLine="516" w:firstLineChars="246"/>
        <w:outlineLvl w:val="2"/>
        <w:rPr>
          <w:rFonts w:hint="eastAsia" w:asciiTheme="minorEastAsia" w:hAnsiTheme="minorEastAsia" w:eastAsiaTheme="minorEastAsia" w:cstheme="minorEastAsia"/>
          <w:sz w:val="21"/>
          <w:szCs w:val="21"/>
        </w:rPr>
      </w:pPr>
      <w:bookmarkStart w:id="24" w:name="_Toc380565614"/>
      <w:r>
        <w:rPr>
          <w:rFonts w:hint="eastAsia" w:asciiTheme="minorEastAsia" w:hAnsiTheme="minorEastAsia" w:eastAsiaTheme="minorEastAsia" w:cstheme="minorEastAsia"/>
          <w:sz w:val="21"/>
          <w:szCs w:val="21"/>
          <w:lang w:eastAsia="zh-CN"/>
        </w:rPr>
        <w:t>九</w:t>
      </w:r>
      <w:r>
        <w:rPr>
          <w:rFonts w:hint="eastAsia" w:asciiTheme="minorEastAsia" w:hAnsiTheme="minorEastAsia" w:eastAsiaTheme="minorEastAsia" w:cstheme="minorEastAsia"/>
          <w:sz w:val="21"/>
          <w:szCs w:val="21"/>
        </w:rPr>
        <w:t>、</w:t>
      </w:r>
      <w:bookmarkStart w:id="25" w:name="_Toc75917304"/>
      <w:bookmarkStart w:id="26" w:name="_Toc350953513"/>
      <w:bookmarkStart w:id="27" w:name="_Toc171352705"/>
      <w:r>
        <w:rPr>
          <w:rFonts w:hint="eastAsia" w:asciiTheme="minorEastAsia" w:hAnsiTheme="minorEastAsia" w:eastAsiaTheme="minorEastAsia" w:cstheme="minorEastAsia"/>
          <w:bCs/>
          <w:sz w:val="21"/>
          <w:szCs w:val="21"/>
        </w:rPr>
        <w:t>付款方式</w:t>
      </w:r>
      <w:bookmarkEnd w:id="24"/>
      <w:bookmarkEnd w:id="25"/>
      <w:bookmarkEnd w:id="26"/>
      <w:bookmarkEnd w:id="27"/>
    </w:p>
    <w:p>
      <w:pPr>
        <w:pStyle w:val="22"/>
        <w:spacing w:line="360" w:lineRule="auto"/>
        <w:ind w:firstLine="420" w:firstLineChars="200"/>
        <w:rPr>
          <w:rFonts w:hint="eastAsia" w:asciiTheme="minorEastAsia" w:hAnsiTheme="minorEastAsia" w:eastAsiaTheme="minorEastAsia" w:cstheme="minorEastAsia"/>
          <w:sz w:val="21"/>
          <w:szCs w:val="21"/>
        </w:rPr>
      </w:pPr>
      <w:bookmarkStart w:id="28" w:name="_Toc349634937"/>
      <w:r>
        <w:rPr>
          <w:rFonts w:hint="eastAsia" w:asciiTheme="minorEastAsia" w:hAnsiTheme="minorEastAsia" w:eastAsiaTheme="minorEastAsia" w:cstheme="minorEastAsia"/>
          <w:sz w:val="21"/>
          <w:szCs w:val="21"/>
        </w:rPr>
        <w:t>服务费按月结算，中标供应商须于下一个月10号前向采购人申请支付服务费，如中标供应商提供服务不足一个月时按日计算。中标供应商须依照程序办理请款手续，并提供等额的正式发票，以便采购人及时向财政部门办理划拨支付手续。</w:t>
      </w:r>
      <w:bookmarkEnd w:id="28"/>
    </w:p>
    <w:p>
      <w:pPr>
        <w:pStyle w:val="22"/>
        <w:spacing w:line="360" w:lineRule="auto"/>
        <w:ind w:firstLine="411" w:firstLineChars="196"/>
        <w:outlineLvl w:val="2"/>
        <w:rPr>
          <w:rFonts w:hint="eastAsia" w:asciiTheme="minorEastAsia" w:hAnsiTheme="minorEastAsia" w:eastAsiaTheme="minorEastAsia" w:cstheme="minorEastAsia"/>
          <w:sz w:val="21"/>
          <w:szCs w:val="21"/>
        </w:rPr>
      </w:pPr>
      <w:bookmarkStart w:id="29" w:name="_Toc344731564"/>
      <w:bookmarkStart w:id="30" w:name="_Toc330545438"/>
      <w:bookmarkStart w:id="31" w:name="_Toc396222189"/>
      <w:bookmarkStart w:id="32" w:name="_Toc363742386"/>
      <w:bookmarkStart w:id="33" w:name="_Toc272394398"/>
      <w:bookmarkStart w:id="34" w:name="_Toc267904284"/>
      <w:r>
        <w:rPr>
          <w:rFonts w:hint="eastAsia" w:asciiTheme="minorEastAsia" w:hAnsiTheme="minorEastAsia" w:eastAsiaTheme="minorEastAsia" w:cstheme="minorEastAsia"/>
          <w:sz w:val="21"/>
          <w:szCs w:val="21"/>
        </w:rPr>
        <w:t>十、履约保证金</w:t>
      </w:r>
      <w:bookmarkEnd w:id="29"/>
      <w:bookmarkEnd w:id="30"/>
      <w:bookmarkEnd w:id="31"/>
      <w:bookmarkEnd w:id="32"/>
      <w:bookmarkEnd w:id="33"/>
      <w:bookmarkEnd w:id="34"/>
    </w:p>
    <w:p>
      <w:pPr>
        <w:pStyle w:val="22"/>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中标供应商在签定合同后5个工作日内，向采购人提交合同总价的10%作为履约保证金，合同期满后</w:t>
      </w:r>
      <w:r>
        <w:rPr>
          <w:rFonts w:hint="eastAsia" w:asciiTheme="minorEastAsia" w:hAnsiTheme="minorEastAsia" w:eastAsiaTheme="minorEastAsia" w:cstheme="minorEastAsia"/>
          <w:b/>
          <w:sz w:val="21"/>
          <w:szCs w:val="21"/>
        </w:rPr>
        <w:t>十个工作日内无息退还。</w:t>
      </w:r>
      <w:r>
        <w:rPr>
          <w:rFonts w:hint="eastAsia" w:asciiTheme="minorEastAsia" w:hAnsiTheme="minorEastAsia" w:eastAsiaTheme="minorEastAsia" w:cstheme="minorEastAsia"/>
          <w:sz w:val="21"/>
          <w:szCs w:val="21"/>
        </w:rPr>
        <w:t>可以汇款、履约保函等形式进行递交。对于因中标供应商原因提前解除合同的、或造成养护受到较大损失的，或在服务期发现原投标材料有虚假证明的，报经政府采购管理部门认定属实后，依法进行处罚。</w:t>
      </w:r>
    </w:p>
    <w:p>
      <w:pPr>
        <w:pStyle w:val="22"/>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8"/>
          <w:sz w:val="21"/>
          <w:szCs w:val="21"/>
        </w:rPr>
        <w:t>中标供应商应按照《中华人民共和国劳动法》的相关规定发放工资，</w:t>
      </w:r>
      <w:r>
        <w:rPr>
          <w:rFonts w:hint="eastAsia" w:asciiTheme="minorEastAsia" w:hAnsiTheme="minorEastAsia" w:eastAsiaTheme="minorEastAsia" w:cstheme="minorEastAsia"/>
          <w:sz w:val="21"/>
          <w:szCs w:val="21"/>
        </w:rPr>
        <w:t>服务人员工资不得低于</w:t>
      </w:r>
      <w:r>
        <w:rPr>
          <w:rFonts w:hint="eastAsia" w:asciiTheme="minorEastAsia" w:hAnsiTheme="minorEastAsia" w:eastAsiaTheme="minorEastAsia" w:cstheme="minorEastAsia"/>
          <w:kern w:val="28"/>
          <w:sz w:val="21"/>
          <w:szCs w:val="21"/>
        </w:rPr>
        <w:t>广州市</w:t>
      </w:r>
      <w:r>
        <w:rPr>
          <w:rFonts w:hint="eastAsia" w:asciiTheme="minorEastAsia" w:hAnsiTheme="minorEastAsia" w:eastAsiaTheme="minorEastAsia" w:cstheme="minorEastAsia"/>
          <w:sz w:val="21"/>
          <w:szCs w:val="21"/>
        </w:rPr>
        <w:t>企业职工最低工资标准</w:t>
      </w:r>
      <w:r>
        <w:rPr>
          <w:rFonts w:hint="eastAsia" w:asciiTheme="minorEastAsia" w:hAnsiTheme="minorEastAsia" w:eastAsiaTheme="minorEastAsia" w:cstheme="minorEastAsia"/>
          <w:bCs/>
          <w:sz w:val="21"/>
          <w:szCs w:val="21"/>
        </w:rPr>
        <w:t>（工资不含</w:t>
      </w:r>
      <w:r>
        <w:rPr>
          <w:rFonts w:hint="eastAsia" w:asciiTheme="minorEastAsia" w:hAnsiTheme="minorEastAsia" w:eastAsiaTheme="minorEastAsia" w:cstheme="minorEastAsia"/>
          <w:sz w:val="21"/>
          <w:szCs w:val="21"/>
        </w:rPr>
        <w:t>按国家规定供应商必须支付的社会保险及其他应付费用</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sz w:val="21"/>
          <w:szCs w:val="21"/>
        </w:rPr>
        <w:t>。</w:t>
      </w:r>
    </w:p>
    <w:p>
      <w:pPr>
        <w:pStyle w:val="22"/>
        <w:spacing w:line="360" w:lineRule="auto"/>
        <w:ind w:firstLine="420" w:firstLineChars="20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kern w:val="28"/>
          <w:sz w:val="21"/>
          <w:szCs w:val="21"/>
        </w:rPr>
        <w:t>中标供应商应</w:t>
      </w:r>
      <w:r>
        <w:rPr>
          <w:rFonts w:hint="eastAsia" w:asciiTheme="minorEastAsia" w:hAnsiTheme="minorEastAsia" w:eastAsiaTheme="minorEastAsia" w:cstheme="minorEastAsia"/>
          <w:sz w:val="21"/>
          <w:szCs w:val="21"/>
        </w:rPr>
        <w:t>按照《</w:t>
      </w:r>
      <w:r>
        <w:rPr>
          <w:rFonts w:hint="eastAsia" w:asciiTheme="minorEastAsia" w:hAnsiTheme="minorEastAsia" w:eastAsiaTheme="minorEastAsia" w:cstheme="minorEastAsia"/>
          <w:bCs/>
          <w:sz w:val="21"/>
          <w:szCs w:val="21"/>
        </w:rPr>
        <w:t>中</w:t>
      </w:r>
      <w:r>
        <w:rPr>
          <w:rFonts w:hint="eastAsia" w:asciiTheme="minorEastAsia" w:hAnsiTheme="minorEastAsia" w:eastAsiaTheme="minorEastAsia" w:cstheme="minorEastAsia"/>
          <w:sz w:val="21"/>
          <w:szCs w:val="21"/>
        </w:rPr>
        <w:t>华人民共和国社会保险法》和《住房公积金管理条例》的相关规定，支付国家规定必须购买的社会保险费用和缴存住房公积金。</w:t>
      </w:r>
    </w:p>
    <w:p>
      <w:pPr>
        <w:pStyle w:val="22"/>
        <w:spacing w:line="360" w:lineRule="auto"/>
        <w:ind w:firstLine="420" w:firstLineChars="200"/>
        <w:outlineLvl w:val="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十</w:t>
      </w:r>
      <w:r>
        <w:rPr>
          <w:rFonts w:hint="eastAsia" w:asciiTheme="minorEastAsia" w:hAnsiTheme="minorEastAsia" w:eastAsiaTheme="minorEastAsia" w:cstheme="minorEastAsia"/>
          <w:sz w:val="21"/>
          <w:szCs w:val="21"/>
          <w:lang w:eastAsia="zh-CN"/>
        </w:rPr>
        <w:t>一</w:t>
      </w:r>
      <w:r>
        <w:rPr>
          <w:rFonts w:hint="eastAsia" w:asciiTheme="minorEastAsia" w:hAnsiTheme="minorEastAsia" w:eastAsiaTheme="minorEastAsia" w:cstheme="minorEastAsia"/>
          <w:sz w:val="21"/>
          <w:szCs w:val="21"/>
        </w:rPr>
        <w:t>、附件</w:t>
      </w:r>
    </w:p>
    <w:p>
      <w:pPr>
        <w:pStyle w:val="22"/>
        <w:spacing w:line="360" w:lineRule="auto"/>
        <w:ind w:left="126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服务质量标准与监管考评标准细则</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9"/>
        <w:gridCol w:w="947"/>
        <w:gridCol w:w="4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4659"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服务质量标准</w:t>
            </w:r>
          </w:p>
        </w:tc>
        <w:tc>
          <w:tcPr>
            <w:tcW w:w="947"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分值</w:t>
            </w:r>
          </w:p>
        </w:tc>
        <w:tc>
          <w:tcPr>
            <w:tcW w:w="4356" w:type="dxa"/>
            <w:tcBorders>
              <w:top w:val="single" w:color="auto" w:sz="4" w:space="0"/>
              <w:left w:val="single" w:color="auto" w:sz="4" w:space="0"/>
              <w:bottom w:val="single" w:color="auto" w:sz="4" w:space="0"/>
              <w:right w:val="single" w:color="auto" w:sz="4" w:space="0"/>
            </w:tcBorders>
            <w:vAlign w:val="center"/>
          </w:tcPr>
          <w:p>
            <w:pPr>
              <w:pStyle w:val="22"/>
              <w:spacing w:line="360" w:lineRule="auto"/>
              <w:ind w:firstLine="630" w:firstLineChars="30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监管考评标准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5" w:hRule="atLeast"/>
          <w:jc w:val="center"/>
        </w:trPr>
        <w:tc>
          <w:tcPr>
            <w:tcW w:w="4659" w:type="dxa"/>
            <w:tcBorders>
              <w:top w:val="single" w:color="auto" w:sz="4" w:space="0"/>
              <w:left w:val="single" w:color="auto" w:sz="4" w:space="0"/>
              <w:bottom w:val="single" w:color="auto" w:sz="4" w:space="0"/>
              <w:right w:val="single" w:color="auto" w:sz="4" w:space="0"/>
            </w:tcBorders>
            <w:vAlign w:val="top"/>
          </w:tcPr>
          <w:p>
            <w:pPr>
              <w:pStyle w:val="22"/>
              <w:spacing w:line="360" w:lineRule="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工作人员是否符合合同人员配置要求（要提供现场施工人员相片、身份证复印件，如人员变更后需及时替换）。</w:t>
            </w:r>
          </w:p>
        </w:tc>
        <w:tc>
          <w:tcPr>
            <w:tcW w:w="947"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20分</w:t>
            </w:r>
          </w:p>
        </w:tc>
        <w:tc>
          <w:tcPr>
            <w:tcW w:w="4356"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每缺1人扣5分。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2" w:hRule="atLeast"/>
          <w:jc w:val="center"/>
        </w:trPr>
        <w:tc>
          <w:tcPr>
            <w:tcW w:w="4659"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严格执勤，落实岗位责任制。结合项目范围内特点制订安防措施及各项管理制度、规定、突发事件的应急处置方案，确保项目范围内无治安和刑事案件发生，项目范围内安全稳定。无火灾等安全生产事故发生。</w:t>
            </w:r>
          </w:p>
        </w:tc>
        <w:tc>
          <w:tcPr>
            <w:tcW w:w="947"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10分</w:t>
            </w:r>
          </w:p>
        </w:tc>
        <w:tc>
          <w:tcPr>
            <w:tcW w:w="4356"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制度、措施、方案不健全每项扣1分；执勤期间不按规定履行职责有脱岗、串岗、打闹、看书报、电视、收听广播、玩手机游戏，每人每次每项扣0.5分；打瞌睡、睡觉、脱岗半小时以上，每人每次每项扣1分。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2" w:hRule="atLeast"/>
          <w:jc w:val="center"/>
        </w:trPr>
        <w:tc>
          <w:tcPr>
            <w:tcW w:w="4659"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落实值班及巡逻制度；服务人员按规定着装和佩戴装备，熟悉项目范围内环境，文明执勤、言语规范、训练有素，认真履行职责。不能顶撞领导，不能与外来人员发生矛盾和冲突。巡逻人员不能与站岗人员聊天，严格按规定的时间和路线巡查，并认真做好登记。</w:t>
            </w:r>
          </w:p>
        </w:tc>
        <w:tc>
          <w:tcPr>
            <w:tcW w:w="947"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10分</w:t>
            </w:r>
          </w:p>
        </w:tc>
        <w:tc>
          <w:tcPr>
            <w:tcW w:w="4356"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着装不整、形像不好，不礼貌（或被投诉）每次扣0.5分；</w:t>
            </w:r>
          </w:p>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不服从管理顶撞领导的扣2分</w:t>
            </w:r>
          </w:p>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值班及巡逻记录不全或不规范扣0.5分。</w:t>
            </w:r>
          </w:p>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不按规定的时间、路线巡逻的扣0、5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jc w:val="center"/>
        </w:trPr>
        <w:tc>
          <w:tcPr>
            <w:tcW w:w="4659"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根据服务合同定岗定人，要严格检查出入人员及车辆，大件行礼、物品，查对放行条并做好登记；按照项目范围内探视规定进行各栋楼的管理，在项目范围内严禁推销、派发各种传单。</w:t>
            </w:r>
          </w:p>
        </w:tc>
        <w:tc>
          <w:tcPr>
            <w:tcW w:w="947"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15分</w:t>
            </w:r>
          </w:p>
        </w:tc>
        <w:tc>
          <w:tcPr>
            <w:tcW w:w="4356"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不按合同定岗、定人缺1人次扣1分；门岗不按规定进行出入检查的扣1分，发现项目范围内有散发传单、广告的人员不及时驱赶每次扣0.5分。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2" w:hRule="atLeast"/>
          <w:jc w:val="center"/>
        </w:trPr>
        <w:tc>
          <w:tcPr>
            <w:tcW w:w="4659"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严格执行安防措施，防偷盗、防破坏、防火灾、防治安灾害等，严格安全巡查制度；严格遵守节假日值班制度，没有保卫科批准不得随意查看监控录像资料；发现安全隐患要立刻逐级报告，报告保卫部门或总值班。 </w:t>
            </w:r>
          </w:p>
        </w:tc>
        <w:tc>
          <w:tcPr>
            <w:tcW w:w="947"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15分</w:t>
            </w:r>
          </w:p>
        </w:tc>
        <w:tc>
          <w:tcPr>
            <w:tcW w:w="4356"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发现问题不及时报告扣2—5分。抢险救灾、有效发现并扑灭火警加5分；有效制止自杀等重大恶性治安事件加3—5分。主动发现抓获小偷每次加3分；抓获小偷团伙每次酌情加5—10分。办公用品、公共物品失窃每次酌情扣5-10分或照价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4659"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做好重大活动、会议、检查的接待保卫工作，建立各级安全警戒方案，确保项目范围内安全稳定，圆满完成上级交代的其他任务。</w:t>
            </w:r>
          </w:p>
        </w:tc>
        <w:tc>
          <w:tcPr>
            <w:tcW w:w="947"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15分</w:t>
            </w:r>
          </w:p>
        </w:tc>
        <w:tc>
          <w:tcPr>
            <w:tcW w:w="4356"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达不到安全要求无工作方案每次扣2分。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4659"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严格遵守服务人员管理规定，宿严禁一切黄赌毒行为。</w:t>
            </w:r>
          </w:p>
        </w:tc>
        <w:tc>
          <w:tcPr>
            <w:tcW w:w="947" w:type="dxa"/>
            <w:tcBorders>
              <w:top w:val="single" w:color="auto" w:sz="4" w:space="0"/>
              <w:left w:val="single" w:color="auto" w:sz="4" w:space="0"/>
              <w:bottom w:val="single" w:color="auto" w:sz="4" w:space="0"/>
              <w:right w:val="single" w:color="auto" w:sz="4" w:space="0"/>
            </w:tcBorders>
            <w:vAlign w:val="center"/>
          </w:tcPr>
          <w:p>
            <w:pPr>
              <w:pStyle w:val="22"/>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15分</w:t>
            </w:r>
          </w:p>
        </w:tc>
        <w:tc>
          <w:tcPr>
            <w:tcW w:w="4356" w:type="dxa"/>
            <w:tcBorders>
              <w:top w:val="single" w:color="auto" w:sz="4" w:space="0"/>
              <w:left w:val="single" w:color="auto" w:sz="4" w:space="0"/>
              <w:bottom w:val="single" w:color="auto" w:sz="4" w:space="0"/>
              <w:right w:val="single" w:color="auto" w:sz="4" w:space="0"/>
            </w:tcBorders>
            <w:vAlign w:val="center"/>
          </w:tcPr>
          <w:p>
            <w:pPr>
              <w:pStyle w:val="22"/>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发现黄、赌、毒行为，视情节轻重每人扣2分，教育不改者开除处理并扣5分。</w:t>
            </w:r>
          </w:p>
        </w:tc>
      </w:tr>
    </w:tbl>
    <w:p>
      <w:pPr>
        <w:spacing w:line="360" w:lineRule="auto"/>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FF0000"/>
          <w:sz w:val="21"/>
          <w:szCs w:val="21"/>
          <w:lang w:val="en-US" w:eastAsia="zh-CN"/>
        </w:rPr>
        <w:br w:type="page"/>
      </w:r>
    </w:p>
    <w:p>
      <w:pPr>
        <w:spacing w:beforeLines="50" w:afterLines="50" w:line="360" w:lineRule="auto"/>
        <w:jc w:val="center"/>
        <w:outlineLvl w:val="0"/>
        <w:rPr>
          <w:rFonts w:ascii="宋体" w:hAnsi="宋体"/>
          <w:b/>
          <w:bCs/>
          <w:sz w:val="28"/>
          <w:szCs w:val="28"/>
        </w:rPr>
      </w:pPr>
      <w:r>
        <w:rPr>
          <w:rFonts w:hint="eastAsia" w:ascii="宋体" w:hAnsi="宋体"/>
          <w:b/>
          <w:bCs/>
          <w:sz w:val="28"/>
          <w:szCs w:val="28"/>
        </w:rPr>
        <w:t>第五章</w:t>
      </w:r>
      <w:bookmarkStart w:id="35" w:name="_Toc435109307"/>
      <w:r>
        <w:rPr>
          <w:rFonts w:hint="eastAsia" w:ascii="宋体" w:hAnsi="宋体"/>
          <w:b/>
          <w:bCs/>
          <w:sz w:val="28"/>
          <w:szCs w:val="28"/>
        </w:rPr>
        <w:t xml:space="preserve">  合同通用条款</w:t>
      </w:r>
      <w:bookmarkEnd w:id="35"/>
    </w:p>
    <w:p>
      <w:pPr>
        <w:spacing w:line="360" w:lineRule="auto"/>
        <w:rPr>
          <w:rFonts w:ascii="宋体" w:hAnsi="宋体"/>
          <w:b/>
          <w:szCs w:val="21"/>
        </w:rPr>
      </w:pPr>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r>
        <w:rPr>
          <w:rFonts w:hint="eastAsia" w:ascii="宋体" w:hAnsi="宋体"/>
          <w:b/>
          <w:szCs w:val="21"/>
          <w:u w:val="single"/>
        </w:rPr>
        <w:t xml:space="preserve">                 </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u w:val="single"/>
        </w:rPr>
        <w:t xml:space="preserve">                  </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lang w:eastAsia="zh-CN"/>
        </w:rPr>
        <w:t>市桥街北片联合执法队购买安保服务采购项目</w:t>
      </w:r>
      <w:r>
        <w:rPr>
          <w:rFonts w:hint="eastAsia" w:ascii="宋体" w:hAnsi="宋体" w:cs="宋体"/>
          <w:szCs w:val="21"/>
        </w:rPr>
        <w:t>（项目编号：</w:t>
      </w:r>
      <w:r>
        <w:rPr>
          <w:rFonts w:hint="eastAsia" w:ascii="宋体" w:hAnsi="宋体"/>
          <w:szCs w:val="21"/>
          <w:lang w:eastAsia="zh-CN"/>
        </w:rPr>
        <w:t>GZBC18FG05008</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36" w:name="_Toc435540759"/>
      <w:r>
        <w:rPr>
          <w:rFonts w:hint="eastAsia" w:ascii="宋体" w:hAnsi="宋体"/>
          <w:b/>
          <w:szCs w:val="21"/>
        </w:rPr>
        <w:t>合同金额</w:t>
      </w:r>
      <w:bookmarkEnd w:id="36"/>
    </w:p>
    <w:p>
      <w:pPr>
        <w:pStyle w:val="5"/>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lang w:eastAsia="zh-CN"/>
        </w:rPr>
        <w:t>基本要求</w:t>
      </w:r>
    </w:p>
    <w:p>
      <w:pPr>
        <w:widowControl/>
        <w:spacing w:line="360" w:lineRule="auto"/>
        <w:ind w:firstLine="645"/>
        <w:jc w:val="left"/>
        <w:rPr>
          <w:rFonts w:hint="eastAsia" w:asciiTheme="minorEastAsia" w:hAnsiTheme="minorEastAsia" w:eastAsiaTheme="minorEastAsia" w:cstheme="minorEastAsia"/>
          <w:b/>
          <w:bCs/>
          <w:kern w:val="0"/>
          <w:sz w:val="21"/>
          <w:szCs w:val="21"/>
          <w:lang w:val="en-US" w:eastAsia="zh-CN"/>
        </w:rPr>
      </w:pPr>
      <w:r>
        <w:rPr>
          <w:rFonts w:hint="eastAsia" w:asciiTheme="minorEastAsia" w:hAnsiTheme="minorEastAsia" w:eastAsiaTheme="minorEastAsia" w:cstheme="minorEastAsia"/>
          <w:b/>
          <w:bCs/>
          <w:kern w:val="0"/>
          <w:sz w:val="21"/>
          <w:szCs w:val="21"/>
          <w:lang w:eastAsia="zh-CN"/>
        </w:rPr>
        <w:t>一</w:t>
      </w:r>
      <w:r>
        <w:rPr>
          <w:rFonts w:hint="eastAsia" w:asciiTheme="minorEastAsia" w:hAnsiTheme="minorEastAsia" w:eastAsiaTheme="minorEastAsia" w:cstheme="minorEastAsia"/>
          <w:b/>
          <w:bCs/>
          <w:kern w:val="0"/>
          <w:sz w:val="21"/>
          <w:szCs w:val="21"/>
          <w:lang w:val="en-US" w:eastAsia="zh-CN"/>
        </w:rPr>
        <w:t>.总体要求</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对</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派出的保安员的岗位设置有决定权，可对安保管理工作提出意见和建议。</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应按承诺足额派出保安员，组建安保队。并对本项目制订保安服务工作方案、以及组织架构、人员录用等内容的规章制度，组织培训并严格执行</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制订的安保管理规章制度。</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对安保队的设置、管理、录用有参与权与审批权。</w:t>
      </w:r>
    </w:p>
    <w:p>
      <w:pPr>
        <w:widowControl/>
        <w:spacing w:line="360" w:lineRule="auto"/>
        <w:ind w:firstLine="630" w:firstLineChars="3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（四）在处理特殊事件和紧急、突发事故时，</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对</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派出的保安队有直接指挥权。</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应对派出的保安员严格审查，保证其具有合格的安保资质。</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须严格按照国家、广东省、广州市的相关劳动法规和保险条例，为保安员提供完善的劳动权益保障。</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应建立健全安保队日常管理工作制度（如固定岗位值班日志、交接班、请销假登记等），并组织落实。</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有权查阅记录。</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（八）无论何种原因出现保安人数空缺，</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均应在2日内予以补充。</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有权提出更换不符合使用要求或损害</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利益的保安员，</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提出更换要求的，</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应在3个工作日内予以更换。</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应为保安员配备合格的保安员服装及统一的保安服务标志，以及必要的保安器具、装备。</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（十一）在广州市行政区划外注册的</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，应在开始提供保安服务前的10个工作日内，向合同履行地设区市公安机关备案，并取得《跨区服务备案证明》。</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（十二）本项目不接受联合体投标，中标项目不得转包、分包。招标文件或合同范围内全部安保服务均须由中标人自行完成，不得转包或分包给第三人，否则一经发现，</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将对承包人处以中标合同价20%的违约金处罚，并且</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有在权终止合同。</w:t>
      </w:r>
    </w:p>
    <w:p>
      <w:pPr>
        <w:widowControl/>
        <w:spacing w:line="360" w:lineRule="auto"/>
        <w:ind w:firstLine="422" w:firstLineChars="200"/>
        <w:jc w:val="left"/>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lang w:eastAsia="zh-CN"/>
        </w:rPr>
        <w:t>二</w:t>
      </w:r>
      <w:r>
        <w:rPr>
          <w:rFonts w:hint="eastAsia" w:asciiTheme="minorEastAsia" w:hAnsiTheme="minorEastAsia" w:eastAsiaTheme="minorEastAsia" w:cstheme="minorEastAsia"/>
          <w:b/>
          <w:bCs/>
          <w:kern w:val="0"/>
          <w:sz w:val="21"/>
          <w:szCs w:val="21"/>
        </w:rPr>
        <w:t>．保安服务内容及要求</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（一）服务内容</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1.全面负责服务范围内的安全保卫工作。包括：日常巡查、防火防盗、治安秩序维持、劝止乱摆乱卖、劝止广告宣传、及时发现并消除公共安全与保卫隐患，维护安全保卫工作范围内的公共管理秩序。</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2.坚决制止并消除安全保卫范围内的违法事件。</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3.协助公安部门做好安全保卫服务范围内的治安综合治理工作。</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4.负责做好安全保卫服务范围内群众休闲娱乐行为的的引导和管理。</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5.协助做好安全保卫范围内重大活动的安全保卫工作。</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6.协助或配合街道城管、交警等力量整治安保服务范围内的环境秩序。</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7.配合公安机关，打击安全保卫服务范围内的违法犯罪现象或行为。</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8.根据</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需求，贯彻落实有关管理规定。</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（二）工作要求</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1.保安员按照工作要求执勤，安保责任到人、到岗，采用“各负其责+协同作战”的工作部署，供应商可在不违反劳动法相关规定及</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要求的前提下，灵活进行人员配置。</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2.树立“服务第一，业主至上”的思想，切实维护</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的权益及安全保卫服务范围内市民群众的人身和财产安全。</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3.管理坚持原则、慎密严谨；服务以人为本、主动热情；处理问题高度警惕、有理有节。</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4.上岗人员必须严格统一着装，穿戴干净整齐，佩戴必要的上岗装备，业务操作规范，熟悉公共管理规范等各项制度，待人文明礼貌，秉持从业道德规范。</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5.依法办事，文明执勤。对安全保卫职责范围内的事务有求必应，有险必出。不与市民群众发生争吵，杜绝与群众发生冲突，禁止出手伤及游客、群众人身安全。</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坚决制止安全保卫服务范围各种不文明行为，切实履行好前述安全保卫服务各项职责。对突发事件或者正在发生的违法犯罪行为，在确保自身安全的情况下，机智勇敢地与违法犯罪分子作斗争，维护公共安全和正常秩序。</w:t>
      </w:r>
    </w:p>
    <w:p>
      <w:pPr>
        <w:widowControl/>
        <w:spacing w:line="360" w:lineRule="auto"/>
        <w:ind w:firstLine="645"/>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7．遵守岗纪律</w:t>
      </w:r>
    </w:p>
    <w:p>
      <w:pPr>
        <w:widowControl/>
        <w:spacing w:line="360" w:lineRule="auto"/>
        <w:ind w:firstLine="527" w:firstLineChars="251"/>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(1)未经主管同意，不得私自调班换岗或者请假早退。</w:t>
      </w:r>
    </w:p>
    <w:p>
      <w:pPr>
        <w:widowControl/>
        <w:spacing w:line="360" w:lineRule="auto"/>
        <w:ind w:firstLine="527" w:firstLineChars="251"/>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(2)在岗期间，不准随便进入生产及办公区域休息或者打电话、玩游戏。</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（3）禁止利用当班时间办私事和接待亲友。</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（4）上岗时要精神高度集中，勤走勤巡。禁止上岗看书报、闲谈、抽烟、听耳机、玩手机、喝酒、吃东西。</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（5）当值夜班不得睡觉。</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（6）严格按照规定的上岗路线、时间、地点巡逻和值守，做好“五防”（防火、防盗、防治安、防非法集会、防破坏）工作。</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（7）敢管善管，维护安全秩序，保护公共财物及群众人身安全。制止乱摆乱卖、乱停乱放等违反管理规定的现象。</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（8）在值守巡查或者日常巡逻过程中，必须认真检查各种设施是否完好，发现设施被盗或被损的，要立即向</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报告。</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（9）做好每天的上岗情况工作记录，禁止在交班登记本上乱写乱画。</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（10）严禁利用工作之便收取他人财物。</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8.保安员应接受</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的监督，在</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的监督下开展安全防范工作和服务场所的日常管理工作。</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9.</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应指派专职人员进行工作接洽和日常工作管理，要对保安员进行经常性的检查督促及教育培训。</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10.积极完成</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交给的其他工作任务。</w:t>
      </w:r>
    </w:p>
    <w:p>
      <w:pPr>
        <w:widowControl/>
        <w:spacing w:line="360" w:lineRule="auto"/>
        <w:ind w:firstLine="422" w:firstLineChars="200"/>
        <w:jc w:val="left"/>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lang w:eastAsia="zh-CN"/>
        </w:rPr>
        <w:t>三</w:t>
      </w:r>
      <w:r>
        <w:rPr>
          <w:rFonts w:hint="eastAsia" w:asciiTheme="minorEastAsia" w:hAnsiTheme="minorEastAsia" w:eastAsiaTheme="minorEastAsia" w:cstheme="minorEastAsia"/>
          <w:b/>
          <w:bCs/>
          <w:kern w:val="0"/>
          <w:sz w:val="21"/>
          <w:szCs w:val="21"/>
        </w:rPr>
        <w:t>．人员配置</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（一）本项目必须派驻保安员30人</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（二）人员素质要求</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1.所有安保人员需经相关机构培训，取得相应资质。</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2.男性，年满18周岁以上，35周岁以下的中国公民，五官端正，身高不低于168cm，保安人员同等条件下，应优先安排退伍军人。</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3.遵纪守法，品行良好。</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（三）人员管理要求</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应与派驻保安服务人员建立劳动雇佣关系，组织开展日常管理。</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就本项目所派驻的全部安保服务人员专职服务于本项目，如遇特殊情况需临时调整，须报请</w:t>
      </w:r>
      <w:r>
        <w:rPr>
          <w:rFonts w:hint="eastAsia" w:asciiTheme="minorEastAsia" w:hAnsiTheme="minorEastAsia" w:eastAsiaTheme="minorEastAsia" w:cstheme="minorEastAsia"/>
          <w:kern w:val="0"/>
          <w:sz w:val="21"/>
          <w:szCs w:val="21"/>
          <w:lang w:eastAsia="zh-CN"/>
        </w:rPr>
        <w:t>甲方</w:t>
      </w:r>
      <w:r>
        <w:rPr>
          <w:rFonts w:hint="eastAsia" w:asciiTheme="minorEastAsia" w:hAnsiTheme="minorEastAsia" w:eastAsiaTheme="minorEastAsia" w:cstheme="minorEastAsia"/>
          <w:kern w:val="0"/>
          <w:sz w:val="21"/>
          <w:szCs w:val="21"/>
        </w:rPr>
        <w:t>同意，并保证本项目正常运行。</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应当根据服务岗位需要定期对保安员进行法律、保安专业知识和技能培训，每季度至少组织一次应急演练。</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应建立健全安保队伍内部管理体制，对岗位、职责、纪律、工作要求、考勤考核、奖励惩处、工作记录等方面进行日常规范化、精细化管理。</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5.为确保服务质量不因人员变动而受影响，</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必须采取切实有效措施保持保安队伍的稳定。应严格控制非违纪人员换岗比例，并保证所投入安保人员全部用于本项目安保工作，不得兼顾非本项目外的其它安保服务工作。</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6.保安人员应聘、录用、离职等管理要求档案规范，手续齐全，并应采取有效措施防止离职保安扰乱管理秩序。</w:t>
      </w:r>
    </w:p>
    <w:p>
      <w:pPr>
        <w:widowControl/>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7.</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应有足够的后备保安队伍，遇突发事件时，</w:t>
      </w:r>
      <w:r>
        <w:rPr>
          <w:rFonts w:hint="eastAsia" w:asciiTheme="minorEastAsia" w:hAnsiTheme="minorEastAsia" w:eastAsiaTheme="minorEastAsia" w:cstheme="minorEastAsia"/>
          <w:kern w:val="0"/>
          <w:sz w:val="21"/>
          <w:szCs w:val="21"/>
          <w:lang w:eastAsia="zh-CN"/>
        </w:rPr>
        <w:t>乙方</w:t>
      </w:r>
      <w:r>
        <w:rPr>
          <w:rFonts w:hint="eastAsia" w:asciiTheme="minorEastAsia" w:hAnsiTheme="minorEastAsia" w:eastAsiaTheme="minorEastAsia" w:cstheme="minorEastAsia"/>
          <w:kern w:val="0"/>
          <w:sz w:val="21"/>
          <w:szCs w:val="21"/>
        </w:rPr>
        <w:t>能在30分钟内增派人员协助开展工作。</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lang w:eastAsia="zh-CN"/>
        </w:rPr>
        <w:t>双方权力与义务</w:t>
      </w:r>
    </w:p>
    <w:p>
      <w:pPr>
        <w:tabs>
          <w:tab w:val="left" w:pos="1860"/>
        </w:tabs>
        <w:spacing w:line="360" w:lineRule="auto"/>
        <w:rPr>
          <w:rFonts w:hint="eastAsia" w:ascii="宋体" w:hAnsi="宋体"/>
          <w:szCs w:val="21"/>
        </w:rPr>
      </w:pPr>
      <w:r>
        <w:rPr>
          <w:rFonts w:hint="eastAsia" w:ascii="宋体" w:hAnsi="宋体"/>
          <w:szCs w:val="21"/>
        </w:rPr>
        <w:t>1. 甲方的权利和义务</w:t>
      </w:r>
    </w:p>
    <w:p>
      <w:pPr>
        <w:tabs>
          <w:tab w:val="left" w:pos="1695"/>
        </w:tabs>
        <w:spacing w:line="360" w:lineRule="auto"/>
        <w:rPr>
          <w:rFonts w:hint="eastAsia" w:ascii="宋体" w:hAnsi="宋体"/>
          <w:szCs w:val="21"/>
        </w:rPr>
      </w:pPr>
      <w:r>
        <w:rPr>
          <w:rFonts w:hint="eastAsia" w:ascii="宋体" w:hAnsi="宋体"/>
          <w:szCs w:val="21"/>
        </w:rPr>
        <w:t>1.1 甲方有权随时检查乙方的服务履行情况，并向乙方提出修改。</w:t>
      </w:r>
    </w:p>
    <w:p>
      <w:pPr>
        <w:spacing w:line="360" w:lineRule="auto"/>
        <w:rPr>
          <w:rFonts w:hint="eastAsia" w:ascii="宋体" w:hAnsi="宋体"/>
          <w:szCs w:val="21"/>
        </w:rPr>
      </w:pPr>
      <w:r>
        <w:rPr>
          <w:rFonts w:hint="eastAsia" w:ascii="宋体" w:hAnsi="宋体"/>
          <w:szCs w:val="21"/>
        </w:rPr>
        <w:t>1.2 当发生服务违约时，则甲方有权在履约保证金中进行扣款 。</w:t>
      </w:r>
    </w:p>
    <w:p>
      <w:pPr>
        <w:tabs>
          <w:tab w:val="left" w:pos="840"/>
          <w:tab w:val="left" w:pos="1695"/>
        </w:tabs>
        <w:spacing w:line="360" w:lineRule="auto"/>
        <w:rPr>
          <w:rFonts w:hint="eastAsia" w:ascii="宋体" w:hAnsi="宋体"/>
          <w:szCs w:val="21"/>
        </w:rPr>
      </w:pPr>
      <w:r>
        <w:rPr>
          <w:rFonts w:hint="eastAsia" w:ascii="宋体" w:hAnsi="宋体"/>
          <w:szCs w:val="21"/>
        </w:rPr>
        <w:t>1.3 在乙方提供服务时，如对甲方的设备造成了损坏，甲方有权要求乙方赔偿。</w:t>
      </w:r>
    </w:p>
    <w:p>
      <w:pPr>
        <w:tabs>
          <w:tab w:val="left" w:pos="1080"/>
          <w:tab w:val="left" w:pos="1695"/>
        </w:tabs>
        <w:spacing w:line="360" w:lineRule="auto"/>
        <w:rPr>
          <w:rFonts w:hint="eastAsia" w:ascii="宋体" w:hAnsi="宋体"/>
          <w:szCs w:val="21"/>
        </w:rPr>
      </w:pPr>
      <w:r>
        <w:rPr>
          <w:rFonts w:hint="eastAsia" w:ascii="宋体" w:hAnsi="宋体"/>
          <w:szCs w:val="21"/>
        </w:rPr>
        <w:t>1.4 甲方应按合同规定向乙方支付服务费用。</w:t>
      </w:r>
    </w:p>
    <w:p>
      <w:pPr>
        <w:tabs>
          <w:tab w:val="left" w:pos="1860"/>
        </w:tabs>
        <w:spacing w:line="360" w:lineRule="auto"/>
        <w:rPr>
          <w:rFonts w:hint="eastAsia" w:ascii="宋体" w:hAnsi="宋体"/>
          <w:szCs w:val="21"/>
        </w:rPr>
      </w:pPr>
      <w:r>
        <w:rPr>
          <w:rFonts w:hint="eastAsia" w:ascii="宋体" w:hAnsi="宋体"/>
          <w:szCs w:val="21"/>
        </w:rPr>
        <w:t>2. 乙方的权利和义务</w:t>
      </w:r>
    </w:p>
    <w:p>
      <w:pPr>
        <w:tabs>
          <w:tab w:val="left" w:pos="1080"/>
          <w:tab w:val="left" w:pos="1695"/>
        </w:tabs>
        <w:spacing w:line="360" w:lineRule="auto"/>
        <w:ind w:left="420" w:hanging="420" w:hangingChars="200"/>
        <w:rPr>
          <w:rFonts w:hint="eastAsia" w:ascii="宋体" w:hAnsi="宋体"/>
          <w:szCs w:val="21"/>
        </w:rPr>
      </w:pPr>
      <w:r>
        <w:rPr>
          <w:rFonts w:hint="eastAsia" w:ascii="宋体" w:hAnsi="宋体"/>
          <w:szCs w:val="21"/>
        </w:rPr>
        <w:t>2.1 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hint="eastAsia" w:ascii="宋体" w:hAnsi="宋体"/>
          <w:szCs w:val="21"/>
        </w:rPr>
      </w:pPr>
      <w:r>
        <w:rPr>
          <w:rFonts w:hint="eastAsia" w:ascii="宋体" w:hAnsi="宋体"/>
          <w:szCs w:val="21"/>
        </w:rPr>
        <w:t>2.2 乙方有权要求甲方按时支付服务费用。如甲方不按时支付乙方有权要求甲方支付滞纳金。</w:t>
      </w:r>
    </w:p>
    <w:p>
      <w:pPr>
        <w:tabs>
          <w:tab w:val="left" w:pos="1080"/>
          <w:tab w:val="left" w:pos="1695"/>
        </w:tabs>
        <w:spacing w:line="360" w:lineRule="auto"/>
        <w:ind w:left="420" w:hanging="420" w:hangingChars="200"/>
        <w:rPr>
          <w:rFonts w:ascii="宋体" w:hAnsi="宋体"/>
          <w:b/>
          <w:szCs w:val="21"/>
        </w:rPr>
      </w:pPr>
      <w:r>
        <w:rPr>
          <w:rFonts w:hint="eastAsia" w:ascii="宋体" w:hAnsi="宋体"/>
          <w:szCs w:val="21"/>
        </w:rPr>
        <w:t>2.3 乙方在提供服务时如损坏了甲方的设备，乙方应照价赔偿或更换同等设备。若因设备的损坏而引起其它损失的，乙方应作出合理赔偿（以甲乙双方协商或行政仲裁的结果赔偿）。</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rPr>
        <w:t>履约保证金或履约保函</w:t>
      </w:r>
    </w:p>
    <w:p>
      <w:pPr>
        <w:pStyle w:val="22"/>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中标供应商在签定合同后5个工作日内，向采购人提交合同总价的10%作为履约保证金，合同期满后</w:t>
      </w:r>
      <w:r>
        <w:rPr>
          <w:rFonts w:hint="eastAsia" w:asciiTheme="minorEastAsia" w:hAnsiTheme="minorEastAsia" w:eastAsiaTheme="minorEastAsia" w:cstheme="minorEastAsia"/>
          <w:b/>
          <w:sz w:val="21"/>
          <w:szCs w:val="21"/>
        </w:rPr>
        <w:t>十个工作日内无息退还。</w:t>
      </w:r>
      <w:r>
        <w:rPr>
          <w:rFonts w:hint="eastAsia" w:asciiTheme="minorEastAsia" w:hAnsiTheme="minorEastAsia" w:eastAsiaTheme="minorEastAsia" w:cstheme="minorEastAsia"/>
          <w:sz w:val="21"/>
          <w:szCs w:val="21"/>
        </w:rPr>
        <w:t>可以汇款、履约保函等形式进行递交。对于因中标供应商原因提前解除合同的、或造成养护受到较大损失的，或在服务期发现原投标材料有虚假证明的，报经政府采购管理部门认定属实后，依法进行处罚。</w:t>
      </w:r>
    </w:p>
    <w:p>
      <w:pPr>
        <w:pStyle w:val="22"/>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8"/>
          <w:sz w:val="21"/>
          <w:szCs w:val="21"/>
        </w:rPr>
        <w:t>中标供应商应按照《中华人民共和国劳动法》的相关规定发放工资，</w:t>
      </w:r>
      <w:r>
        <w:rPr>
          <w:rFonts w:hint="eastAsia" w:asciiTheme="minorEastAsia" w:hAnsiTheme="minorEastAsia" w:eastAsiaTheme="minorEastAsia" w:cstheme="minorEastAsia"/>
          <w:sz w:val="21"/>
          <w:szCs w:val="21"/>
        </w:rPr>
        <w:t>服务人员工资不得低于</w:t>
      </w:r>
      <w:r>
        <w:rPr>
          <w:rFonts w:hint="eastAsia" w:asciiTheme="minorEastAsia" w:hAnsiTheme="minorEastAsia" w:eastAsiaTheme="minorEastAsia" w:cstheme="minorEastAsia"/>
          <w:kern w:val="28"/>
          <w:sz w:val="21"/>
          <w:szCs w:val="21"/>
        </w:rPr>
        <w:t>广州市</w:t>
      </w:r>
      <w:r>
        <w:rPr>
          <w:rFonts w:hint="eastAsia" w:asciiTheme="minorEastAsia" w:hAnsiTheme="minorEastAsia" w:eastAsiaTheme="minorEastAsia" w:cstheme="minorEastAsia"/>
          <w:sz w:val="21"/>
          <w:szCs w:val="21"/>
        </w:rPr>
        <w:t>企业职工最低工资标准</w:t>
      </w:r>
      <w:r>
        <w:rPr>
          <w:rFonts w:hint="eastAsia" w:asciiTheme="minorEastAsia" w:hAnsiTheme="minorEastAsia" w:eastAsiaTheme="minorEastAsia" w:cstheme="minorEastAsia"/>
          <w:bCs/>
          <w:sz w:val="21"/>
          <w:szCs w:val="21"/>
        </w:rPr>
        <w:t>（工资不含</w:t>
      </w:r>
      <w:r>
        <w:rPr>
          <w:rFonts w:hint="eastAsia" w:asciiTheme="minorEastAsia" w:hAnsiTheme="minorEastAsia" w:eastAsiaTheme="minorEastAsia" w:cstheme="minorEastAsia"/>
          <w:sz w:val="21"/>
          <w:szCs w:val="21"/>
        </w:rPr>
        <w:t>按国家规定供应商必须支付的社会保险及其他应付费用</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sz w:val="21"/>
          <w:szCs w:val="21"/>
        </w:rPr>
        <w:t>。</w:t>
      </w:r>
    </w:p>
    <w:p>
      <w:pPr>
        <w:pStyle w:val="22"/>
        <w:spacing w:line="360" w:lineRule="auto"/>
        <w:ind w:firstLine="420" w:firstLineChars="20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kern w:val="28"/>
          <w:sz w:val="21"/>
          <w:szCs w:val="21"/>
        </w:rPr>
        <w:t>中标供应商应</w:t>
      </w:r>
      <w:r>
        <w:rPr>
          <w:rFonts w:hint="eastAsia" w:asciiTheme="minorEastAsia" w:hAnsiTheme="minorEastAsia" w:eastAsiaTheme="minorEastAsia" w:cstheme="minorEastAsia"/>
          <w:sz w:val="21"/>
          <w:szCs w:val="21"/>
        </w:rPr>
        <w:t>按照《</w:t>
      </w:r>
      <w:r>
        <w:rPr>
          <w:rFonts w:hint="eastAsia" w:asciiTheme="minorEastAsia" w:hAnsiTheme="minorEastAsia" w:eastAsiaTheme="minorEastAsia" w:cstheme="minorEastAsia"/>
          <w:bCs/>
          <w:sz w:val="21"/>
          <w:szCs w:val="21"/>
        </w:rPr>
        <w:t>中</w:t>
      </w:r>
      <w:r>
        <w:rPr>
          <w:rFonts w:hint="eastAsia" w:asciiTheme="minorEastAsia" w:hAnsiTheme="minorEastAsia" w:eastAsiaTheme="minorEastAsia" w:cstheme="minorEastAsia"/>
          <w:sz w:val="21"/>
          <w:szCs w:val="21"/>
        </w:rPr>
        <w:t>华人民共和国社会保险法》和《住房公积金管理条例》的相关规定，支付国家规定必须购买的社会保险费用和缴存住房公积金。</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服务期间（项目服务期限）</w:t>
      </w:r>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color w:val="FF0000"/>
          <w:szCs w:val="21"/>
        </w:rPr>
      </w:pPr>
      <w:bookmarkStart w:id="37" w:name="_Toc435540763"/>
      <w:r>
        <w:rPr>
          <w:rFonts w:hint="eastAsia" w:ascii="宋体" w:hAnsi="宋体"/>
          <w:b/>
          <w:color w:val="FF0000"/>
          <w:szCs w:val="21"/>
        </w:rPr>
        <w:t>付款方式</w:t>
      </w:r>
      <w:bookmarkEnd w:id="37"/>
    </w:p>
    <w:p>
      <w:pPr>
        <w:pStyle w:val="22"/>
        <w:spacing w:line="360" w:lineRule="auto"/>
        <w:ind w:firstLine="420" w:firstLineChars="200"/>
        <w:rPr>
          <w:rFonts w:hint="eastAsia" w:asciiTheme="minorEastAsia" w:hAnsiTheme="minorEastAsia" w:eastAsiaTheme="minorEastAsia" w:cstheme="minorEastAsia"/>
          <w:sz w:val="21"/>
          <w:szCs w:val="21"/>
        </w:rPr>
      </w:pPr>
      <w:bookmarkStart w:id="38" w:name="_Toc435540767"/>
      <w:r>
        <w:rPr>
          <w:rFonts w:hint="eastAsia" w:asciiTheme="minorEastAsia" w:hAnsiTheme="minorEastAsia" w:eastAsiaTheme="minorEastAsia" w:cstheme="minorEastAsia"/>
          <w:sz w:val="21"/>
          <w:szCs w:val="21"/>
        </w:rPr>
        <w:t>服务费按月结算，中标供应商须于下一个月10号前向采购人申请支付服务费，如中标供应商提供服务不足一个月时按日计算。中标供应商须依照程序办理请款手续，并提供等额的正式发票，以便采购人及时向财政部门办理划拨支付手续。</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争端的解决</w:t>
      </w:r>
      <w:bookmarkEnd w:id="38"/>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39" w:name="_Toc435540768"/>
      <w:r>
        <w:rPr>
          <w:rFonts w:hint="eastAsia" w:ascii="宋体" w:hAnsi="宋体"/>
          <w:b/>
          <w:szCs w:val="21"/>
        </w:rPr>
        <w:t>不可抗力</w:t>
      </w:r>
      <w:bookmarkEnd w:id="39"/>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40" w:name="_Toc435540769"/>
      <w:r>
        <w:rPr>
          <w:rFonts w:hint="eastAsia" w:ascii="宋体" w:hAnsi="宋体"/>
          <w:b/>
          <w:szCs w:val="21"/>
        </w:rPr>
        <w:t>税费</w:t>
      </w:r>
      <w:bookmarkEnd w:id="40"/>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41" w:name="_Toc435540770"/>
      <w:r>
        <w:rPr>
          <w:rFonts w:hint="eastAsia" w:ascii="宋体" w:hAnsi="宋体"/>
          <w:b/>
          <w:szCs w:val="21"/>
        </w:rPr>
        <w:t>其它</w:t>
      </w:r>
      <w:bookmarkEnd w:id="41"/>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numPr>
          <w:ilvl w:val="0"/>
          <w:numId w:val="21"/>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42" w:name="_Toc435540771"/>
      <w:r>
        <w:rPr>
          <w:rFonts w:hint="eastAsia" w:ascii="宋体" w:hAnsi="宋体"/>
          <w:b/>
          <w:szCs w:val="21"/>
        </w:rPr>
        <w:t>合同生效</w:t>
      </w:r>
      <w:bookmarkEnd w:id="42"/>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w:t>
      </w:r>
      <w:r>
        <w:rPr>
          <w:rFonts w:hint="eastAsia" w:ascii="宋体" w:hAnsi="宋体" w:cs="宋体"/>
          <w:szCs w:val="21"/>
          <w:u w:val="single"/>
        </w:rPr>
        <w:t xml:space="preserve">    </w:t>
      </w:r>
      <w:r>
        <w:rPr>
          <w:rFonts w:hint="eastAsia" w:ascii="宋体" w:hAnsi="宋体" w:cs="宋体"/>
          <w:szCs w:val="21"/>
        </w:rPr>
        <w:t>份，其中甲乙双方各执</w:t>
      </w:r>
      <w:r>
        <w:rPr>
          <w:rFonts w:hint="eastAsia" w:ascii="宋体" w:hAnsi="宋体" w:cs="宋体"/>
          <w:szCs w:val="21"/>
          <w:u w:val="single"/>
        </w:rPr>
        <w:t xml:space="preserve">    </w:t>
      </w:r>
      <w:r>
        <w:rPr>
          <w:rFonts w:hint="eastAsia" w:ascii="宋体" w:hAnsi="宋体" w:cs="宋体"/>
          <w:szCs w:val="21"/>
        </w:rPr>
        <w:t>份，采购代理机构执壹份，政府采购监督管理部门</w:t>
      </w:r>
      <w:r>
        <w:rPr>
          <w:rFonts w:hint="eastAsia" w:ascii="宋体" w:hAnsi="宋体" w:cs="宋体"/>
          <w:szCs w:val="21"/>
          <w:u w:val="single"/>
        </w:rPr>
        <w:t xml:space="preserve">    </w:t>
      </w:r>
      <w:r>
        <w:rPr>
          <w:rFonts w:hint="eastAsia" w:ascii="宋体" w:hAnsi="宋体" w:cs="宋体"/>
          <w:szCs w:val="21"/>
        </w:rPr>
        <w:t>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hAnsi="宋体"/>
          <w:b/>
          <w:bCs/>
          <w:sz w:val="28"/>
          <w:szCs w:val="28"/>
        </w:rPr>
      </w:pPr>
      <w:r>
        <w:rPr>
          <w:rFonts w:ascii="宋体" w:hAnsi="宋体"/>
          <w:b/>
          <w:bCs/>
          <w:sz w:val="28"/>
          <w:szCs w:val="28"/>
        </w:rPr>
        <w:br w:type="page"/>
      </w:r>
      <w:bookmarkStart w:id="43" w:name="_Toc492302254"/>
      <w:r>
        <w:rPr>
          <w:rFonts w:hint="eastAsia" w:ascii="宋体" w:hAnsi="宋体"/>
          <w:b/>
          <w:bCs/>
          <w:sz w:val="28"/>
          <w:szCs w:val="28"/>
        </w:rPr>
        <w:t>第六章  投标文件格式</w:t>
      </w:r>
      <w:bookmarkEnd w:id="43"/>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15"/>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项目编号：</w:t>
            </w:r>
            <w:r>
              <w:rPr>
                <w:rFonts w:hint="eastAsia" w:ascii="宋体" w:hAnsi="宋体"/>
                <w:b/>
                <w:kern w:val="2"/>
                <w:sz w:val="28"/>
                <w:szCs w:val="28"/>
                <w:lang w:eastAsia="zh-CN"/>
              </w:rPr>
              <w:t>GZBC18FG05008</w:t>
            </w:r>
          </w:p>
          <w:p>
            <w:pPr>
              <w:pStyle w:val="4"/>
              <w:spacing w:line="400" w:lineRule="exact"/>
              <w:ind w:left="2287" w:leftChars="420" w:hanging="1405" w:hangingChars="500"/>
              <w:rPr>
                <w:rFonts w:ascii="宋体" w:hAnsi="宋体"/>
                <w:b/>
                <w:kern w:val="2"/>
                <w:sz w:val="28"/>
                <w:szCs w:val="28"/>
              </w:rPr>
            </w:pPr>
            <w:r>
              <w:rPr>
                <w:rFonts w:hint="eastAsia" w:ascii="宋体" w:hAnsi="宋体"/>
                <w:b/>
                <w:kern w:val="2"/>
                <w:sz w:val="28"/>
                <w:szCs w:val="28"/>
              </w:rPr>
              <w:t>项目名称：</w:t>
            </w:r>
            <w:r>
              <w:rPr>
                <w:rFonts w:hint="eastAsia" w:ascii="宋体" w:hAnsi="宋体"/>
                <w:b/>
                <w:kern w:val="2"/>
                <w:sz w:val="28"/>
                <w:szCs w:val="28"/>
                <w:lang w:eastAsia="zh-CN"/>
              </w:rPr>
              <w:t>市桥街北片联合执法队购买安保服务采购项目</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4"/>
              <w:spacing w:line="400" w:lineRule="exact"/>
              <w:ind w:firstLine="900" w:firstLineChars="320"/>
              <w:rPr>
                <w:rFonts w:hint="eastAsia" w:ascii="宋体" w:hAns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4"/>
              <w:spacing w:line="400" w:lineRule="exact"/>
              <w:ind w:firstLine="900" w:firstLineChars="320"/>
              <w:rPr>
                <w:rFonts w:hint="eastAsia" w:ascii="宋体" w:hAnsi="宋体"/>
                <w:b/>
                <w:kern w:val="2"/>
                <w:sz w:val="28"/>
                <w:szCs w:val="28"/>
              </w:rPr>
            </w:pPr>
          </w:p>
          <w:p>
            <w:pPr>
              <w:pStyle w:val="4"/>
              <w:spacing w:line="400" w:lineRule="exact"/>
              <w:ind w:firstLine="900" w:firstLineChars="320"/>
              <w:rPr>
                <w:rFonts w:hint="eastAsia" w:ascii="宋体" w:hAnsi="宋体"/>
                <w:b/>
                <w:kern w:val="2"/>
                <w:sz w:val="28"/>
                <w:szCs w:val="28"/>
              </w:rPr>
            </w:pPr>
          </w:p>
          <w:p>
            <w:pPr>
              <w:pStyle w:val="4"/>
              <w:spacing w:line="400" w:lineRule="exact"/>
              <w:rPr>
                <w:rFonts w:hint="eastAsia" w:ascii="宋体" w:hAnsi="宋体"/>
                <w:b/>
                <w:kern w:val="2"/>
                <w:sz w:val="28"/>
                <w:szCs w:val="28"/>
              </w:rPr>
            </w:pPr>
          </w:p>
        </w:tc>
      </w:tr>
    </w:tbl>
    <w:p>
      <w:pPr>
        <w:rPr>
          <w:rFonts w:hint="eastAsia"/>
          <w:color w:val="FF0000"/>
          <w:sz w:val="21"/>
          <w:szCs w:val="21"/>
          <w:lang w:val="en-US" w:eastAsia="zh-CN"/>
        </w:rPr>
      </w:pPr>
      <w:r>
        <w:rPr>
          <w:rFonts w:hint="eastAsia"/>
          <w:color w:val="FF0000"/>
          <w:sz w:val="21"/>
          <w:szCs w:val="21"/>
          <w:lang w:val="en-US" w:eastAsia="zh-CN"/>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w:t>
      </w:r>
      <w:r>
        <w:rPr>
          <w:rFonts w:hint="eastAsia" w:ascii="宋体" w:hAnsi="宋体"/>
          <w:lang w:eastAsia="zh-CN"/>
        </w:rPr>
        <w:t>市桥街北片联合执法队购买安保服务采购项目</w:t>
      </w:r>
    </w:p>
    <w:p>
      <w:pPr>
        <w:ind w:firstLine="210" w:firstLineChars="100"/>
        <w:rPr>
          <w:rFonts w:ascii="宋体" w:hAnsi="宋体"/>
        </w:rPr>
      </w:pPr>
      <w:r>
        <w:rPr>
          <w:rFonts w:hint="eastAsia" w:ascii="宋体" w:hAnsi="宋体"/>
        </w:rPr>
        <w:t>项目编号：</w:t>
      </w:r>
      <w:r>
        <w:rPr>
          <w:rFonts w:hint="eastAsia" w:ascii="宋体" w:hAnsi="宋体"/>
          <w:lang w:eastAsia="zh-CN"/>
        </w:rPr>
        <w:t>GZBC18FG05008</w:t>
      </w:r>
      <w:r>
        <w:rPr>
          <w:rFonts w:hint="eastAsia" w:ascii="宋体" w:hAnsi="宋体"/>
        </w:rPr>
        <w:t xml:space="preserve"> </w:t>
      </w:r>
    </w:p>
    <w:p>
      <w:pPr>
        <w:jc w:val="center"/>
        <w:rPr>
          <w:rFonts w:ascii="宋体" w:hAnsi="宋体"/>
          <w:b/>
          <w:sz w:val="24"/>
        </w:rPr>
      </w:pPr>
      <w:r>
        <w:rPr>
          <w:rFonts w:hint="eastAsia" w:ascii="宋体" w:hAnsi="宋体"/>
          <w:b/>
          <w:sz w:val="24"/>
        </w:rPr>
        <w:t>自 查 表</w:t>
      </w:r>
    </w:p>
    <w:p>
      <w:pPr>
        <w:adjustRightInd w:val="0"/>
        <w:snapToGrid w:val="0"/>
        <w:jc w:val="center"/>
        <w:rPr>
          <w:rFonts w:ascii="宋体" w:hAnsi="宋体"/>
          <w:b/>
          <w:sz w:val="24"/>
        </w:rPr>
      </w:pPr>
      <w:r>
        <w:rPr>
          <w:rFonts w:hint="eastAsia" w:ascii="宋体" w:hAnsi="宋体"/>
          <w:b/>
          <w:sz w:val="24"/>
        </w:rPr>
        <w:t>资格性/符合性自查表</w:t>
      </w:r>
    </w:p>
    <w:tbl>
      <w:tblPr>
        <w:tblStyle w:val="15"/>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Style w:val="11"/>
                <w:rFonts w:hint="eastAsia" w:ascii="宋体" w:hAnsi="宋体"/>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3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0"/>
              <w:adjustRightInd w:val="0"/>
              <w:snapToGrid w:val="0"/>
              <w:spacing w:before="0" w:beforeAutospacing="0" w:after="0" w:afterAutospacing="0"/>
              <w:jc w:val="center"/>
              <w:rPr>
                <w:rFonts w:hint="eastAsia"/>
                <w:b/>
                <w:sz w:val="21"/>
                <w:szCs w:val="21"/>
              </w:rPr>
            </w:pPr>
            <w:r>
              <w:rPr>
                <w:rFonts w:hint="eastAsia"/>
                <w:b/>
                <w:sz w:val="21"/>
                <w:szCs w:val="21"/>
                <w:lang w:eastAsia="zh-CN"/>
              </w:rPr>
              <w:t>初步</w:t>
            </w:r>
            <w:r>
              <w:rPr>
                <w:rFonts w:hint="eastAsia"/>
                <w:b/>
                <w:sz w:val="21"/>
                <w:szCs w:val="21"/>
              </w:rPr>
              <w:t>审查</w:t>
            </w:r>
          </w:p>
          <w:p>
            <w:pPr>
              <w:pStyle w:val="20"/>
              <w:adjustRightInd w:val="0"/>
              <w:snapToGrid w:val="0"/>
              <w:spacing w:before="0" w:beforeAutospacing="0" w:after="0" w:afterAutospacing="0"/>
              <w:jc w:val="both"/>
              <w:rPr>
                <w:rFonts w:hint="eastAsia"/>
                <w:b/>
                <w:bCs/>
                <w:sz w:val="21"/>
                <w:szCs w:val="21"/>
              </w:rPr>
            </w:pPr>
          </w:p>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numPr>
                <w:ilvl w:val="0"/>
                <w:numId w:val="0"/>
              </w:numPr>
              <w:adjustRightInd w:val="0"/>
              <w:snapToGrid w:val="0"/>
              <w:spacing w:line="240" w:lineRule="auto"/>
              <w:ind w:leftChars="0"/>
              <w:rPr>
                <w:rFonts w:ascii="宋体" w:hAnsi="宋体" w:cs="宋体"/>
                <w:szCs w:val="21"/>
              </w:rPr>
            </w:pPr>
            <w:r>
              <w:rPr>
                <w:rFonts w:hint="eastAsia" w:ascii="宋体" w:hAnsi="宋体" w:cs="宋体"/>
                <w:b/>
                <w:bCs w:val="0"/>
                <w:color w:val="auto"/>
                <w:kern w:val="0"/>
                <w:szCs w:val="21"/>
                <w:lang w:val="en-US" w:eastAsia="zh-CN"/>
              </w:rPr>
              <w:t>1.</w:t>
            </w:r>
            <w:r>
              <w:rPr>
                <w:rFonts w:hint="eastAsia" w:ascii="宋体" w:hAnsi="宋体"/>
                <w:kern w:val="28"/>
                <w:sz w:val="21"/>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2.</w:t>
            </w: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0"/>
                <w:lang w:val="en-US" w:eastAsia="zh-CN"/>
              </w:rPr>
              <w:t>3.</w:t>
            </w: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0"/>
                <w:lang w:val="en-US" w:eastAsia="zh-CN"/>
              </w:rPr>
              <w:t>4.</w:t>
            </w: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5.</w:t>
            </w:r>
            <w:r>
              <w:rPr>
                <w:rFonts w:hint="eastAsia" w:ascii="宋体" w:hAnsi="宋体"/>
                <w:bCs/>
                <w:color w:val="auto"/>
                <w:szCs w:val="21"/>
              </w:rPr>
              <w:t>《公平竞争承诺书》复印件；人民检察院出具的《无行贿犯罪档案记录证明》复印件（原件备查）</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Theme="minorEastAsia" w:hAnsiTheme="minorEastAsia" w:eastAsiaTheme="minorEastAsia" w:cstheme="minorEastAsia"/>
                <w:b/>
                <w:bCs w:val="0"/>
                <w:color w:val="auto"/>
                <w:sz w:val="21"/>
                <w:szCs w:val="21"/>
                <w:lang w:val="en-US" w:eastAsia="zh-CN"/>
              </w:rPr>
              <w:t>6.</w:t>
            </w:r>
            <w:r>
              <w:rPr>
                <w:rFonts w:hint="eastAsia" w:asciiTheme="minorEastAsia" w:hAnsiTheme="minorEastAsia" w:eastAsiaTheme="minorEastAsia" w:cstheme="minorEastAsia"/>
                <w:bCs/>
                <w:color w:val="auto"/>
                <w:sz w:val="21"/>
                <w:szCs w:val="21"/>
              </w:rPr>
              <w:t>法定代表人</w:t>
            </w:r>
            <w:r>
              <w:rPr>
                <w:rFonts w:hint="eastAsia"/>
                <w:bCs/>
                <w:color w:val="auto"/>
                <w:sz w:val="21"/>
                <w:szCs w:val="21"/>
              </w:rPr>
              <w:t>证明书</w:t>
            </w:r>
            <w:r>
              <w:rPr>
                <w:rFonts w:hint="eastAsia"/>
                <w:bCs/>
                <w:color w:val="auto"/>
                <w:sz w:val="21"/>
                <w:szCs w:val="21"/>
                <w:lang w:eastAsia="zh-CN"/>
              </w:rPr>
              <w:t>或</w:t>
            </w:r>
            <w:r>
              <w:rPr>
                <w:rFonts w:hint="eastAsia"/>
                <w:bCs/>
                <w:color w:val="auto"/>
                <w:sz w:val="21"/>
                <w:szCs w:val="21"/>
              </w:rPr>
              <w:t>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7.</w:t>
            </w:r>
            <w:r>
              <w:rPr>
                <w:rFonts w:hint="eastAsia" w:ascii="宋体" w:hAnsi="宋体"/>
                <w:bCs/>
                <w:color w:val="auto"/>
                <w:szCs w:val="21"/>
              </w:rPr>
              <w:t>提供</w:t>
            </w:r>
            <w:r>
              <w:rPr>
                <w:rFonts w:ascii="宋体" w:hAnsi="宋体"/>
                <w:bCs/>
                <w:color w:val="auto"/>
                <w:szCs w:val="21"/>
              </w:rPr>
              <w:t>“信用中国”（www.creditchina.gov.cn）、中国政府采购网（www.ccgp.gov.cn）</w:t>
            </w:r>
            <w:r>
              <w:rPr>
                <w:rFonts w:hint="eastAsia" w:ascii="宋体" w:hAnsi="宋体"/>
                <w:bCs/>
                <w:color w:val="auto"/>
                <w:szCs w:val="21"/>
              </w:rPr>
              <w:t>供应商信用记录网页截图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b/>
                <w:bCs/>
                <w:szCs w:val="21"/>
                <w:lang w:val="en-US" w:eastAsia="zh-CN"/>
              </w:rPr>
              <w:t>8.</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szCs w:val="21"/>
                <w:lang w:val="en-US" w:eastAsia="zh-CN"/>
              </w:rPr>
            </w:pPr>
            <w:r>
              <w:rPr>
                <w:rFonts w:hint="eastAsia" w:ascii="宋体" w:hAnsi="宋体" w:cs="宋体"/>
                <w:b/>
                <w:bCs/>
                <w:szCs w:val="21"/>
                <w:lang w:val="en-US" w:eastAsia="zh-CN"/>
              </w:rPr>
              <w:t>9.</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bl>
    <w:p>
      <w:pPr>
        <w:rPr>
          <w:rFonts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hint="eastAsia" w:ascii="宋体" w:hAnsi="宋体"/>
          <w:b/>
          <w:szCs w:val="21"/>
        </w:rPr>
      </w:pPr>
      <w:r>
        <w:rPr>
          <w:rFonts w:hint="eastAsia" w:ascii="宋体" w:hAnsi="宋体"/>
          <w:b/>
          <w:szCs w:val="21"/>
        </w:rPr>
        <w:br w:type="page"/>
      </w:r>
    </w:p>
    <w:p>
      <w:pPr>
        <w:adjustRightInd w:val="0"/>
        <w:snapToGrid w:val="0"/>
        <w:rPr>
          <w:rFonts w:hint="eastAsia"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r>
        <w:rPr>
          <w:rFonts w:hint="eastAsia" w:ascii="宋体" w:hAnsi="宋体"/>
          <w:b/>
          <w:szCs w:val="21"/>
        </w:rPr>
        <w:t>价格评审自查表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Courier New"/>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开标一览表(报价表)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szCs w:val="21"/>
              </w:rPr>
              <w:t>投标分项报价表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top w:val="single" w:color="auto" w:sz="4" w:space="0"/>
              <w:left w:val="single" w:color="auto" w:sz="12" w:space="0"/>
              <w:right w:val="single" w:color="auto" w:sz="4" w:space="0"/>
            </w:tcBorders>
            <w:vAlign w:val="center"/>
          </w:tcPr>
          <w:p>
            <w:pPr>
              <w:numPr>
                <w:ilvl w:val="0"/>
                <w:numId w:val="22"/>
              </w:numPr>
              <w:adjustRightInd w:val="0"/>
              <w:snapToGrid w:val="0"/>
              <w:rPr>
                <w:rFonts w:ascii="宋体" w:hAnsi="宋体"/>
                <w:szCs w:val="21"/>
              </w:rPr>
            </w:pPr>
          </w:p>
        </w:tc>
        <w:tc>
          <w:tcPr>
            <w:tcW w:w="3142" w:type="dxa"/>
            <w:vMerge w:val="restart"/>
            <w:tcBorders>
              <w:top w:val="single" w:color="auto" w:sz="4" w:space="0"/>
              <w:left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小、微型企业价格扣除</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中小企业声明函（可选）</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right w:val="single" w:color="auto" w:sz="4" w:space="0"/>
            </w:tcBorders>
            <w:vAlign w:val="center"/>
          </w:tcPr>
          <w:p>
            <w:pPr>
              <w:numPr>
                <w:ilvl w:val="0"/>
                <w:numId w:val="22"/>
              </w:numPr>
              <w:adjustRightInd w:val="0"/>
              <w:snapToGrid w:val="0"/>
              <w:rPr>
                <w:rFonts w:ascii="宋体" w:hAnsi="宋体"/>
                <w:szCs w:val="21"/>
              </w:rPr>
            </w:pPr>
          </w:p>
        </w:tc>
        <w:tc>
          <w:tcPr>
            <w:tcW w:w="3142" w:type="dxa"/>
            <w:vMerge w:val="continue"/>
            <w:tcBorders>
              <w:left w:val="single" w:color="auto" w:sz="4" w:space="0"/>
              <w:bottom w:val="single" w:color="auto" w:sz="12" w:space="0"/>
              <w:right w:val="single" w:color="auto" w:sz="4" w:space="0"/>
            </w:tcBorders>
            <w:vAlign w:val="center"/>
          </w:tcPr>
          <w:p>
            <w:pPr>
              <w:snapToGrid w:val="0"/>
              <w:jc w:val="center"/>
              <w:rPr>
                <w:rFonts w:ascii="宋体" w:hAnsi="宋体"/>
                <w:szCs w:val="21"/>
              </w:rPr>
            </w:pPr>
          </w:p>
        </w:tc>
        <w:tc>
          <w:tcPr>
            <w:tcW w:w="2674"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left"/>
              <w:rPr>
                <w:rFonts w:ascii="宋体" w:hAnsi="宋体" w:cs="Courier New"/>
              </w:rPr>
            </w:pPr>
            <w:r>
              <w:rPr>
                <w:rFonts w:hint="eastAsia" w:ascii="宋体" w:hAnsi="宋体" w:cs="Courier New"/>
              </w:rPr>
              <w:t>政策适用性说明（如有）</w:t>
            </w:r>
          </w:p>
        </w:tc>
        <w:tc>
          <w:tcPr>
            <w:tcW w:w="3346" w:type="dxa"/>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技术评审自查表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Cs/>
                <w:szCs w:val="21"/>
              </w:rPr>
            </w:pPr>
            <w:r>
              <w:rPr>
                <w:rFonts w:hint="eastAsia" w:asciiTheme="minorEastAsia" w:hAnsiTheme="minorEastAsia" w:eastAsiaTheme="minorEastAsia" w:cstheme="minorEastAsia"/>
                <w:color w:val="auto"/>
                <w:kern w:val="2"/>
                <w:sz w:val="21"/>
                <w:szCs w:val="21"/>
                <w:highlight w:val="none"/>
                <w:rtl w:val="0"/>
                <w:lang w:val="en-US" w:eastAsia="zh-CN" w:bidi="ar-SA"/>
              </w:rPr>
              <w:t>对采购人需求的响应程度（投标服务方案）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Theme="minorEastAsia" w:hAnsiTheme="minorEastAsia" w:eastAsiaTheme="minorEastAsia" w:cstheme="minorEastAsia"/>
                <w:color w:val="auto"/>
                <w:kern w:val="2"/>
                <w:sz w:val="21"/>
                <w:szCs w:val="21"/>
                <w:highlight w:val="none"/>
                <w:rtl w:val="0"/>
                <w:lang w:val="en-US" w:eastAsia="zh-CN" w:bidi="ar-SA"/>
              </w:rPr>
              <w:t>服务工作目标及管理方案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Theme="minorEastAsia" w:hAnsiTheme="minorEastAsia" w:eastAsiaTheme="minorEastAsia" w:cstheme="minorEastAsia"/>
                <w:color w:val="auto"/>
                <w:kern w:val="2"/>
                <w:sz w:val="21"/>
                <w:szCs w:val="21"/>
                <w:highlight w:val="none"/>
                <w:rtl w:val="0"/>
                <w:lang w:val="en-US" w:eastAsia="zh-CN" w:bidi="ar-SA"/>
              </w:rPr>
              <w:t>机构设立、运作流程、管理计划</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color w:val="auto"/>
                <w:kern w:val="2"/>
                <w:sz w:val="21"/>
                <w:szCs w:val="21"/>
                <w:highlight w:val="none"/>
                <w:rtl w:val="0"/>
                <w:lang w:val="en-US" w:eastAsia="zh-CN" w:bidi="ar-SA"/>
              </w:rPr>
            </w:pPr>
            <w:r>
              <w:rPr>
                <w:rFonts w:hint="eastAsia" w:asciiTheme="minorEastAsia" w:hAnsiTheme="minorEastAsia" w:eastAsiaTheme="minorEastAsia" w:cstheme="minorEastAsia"/>
                <w:color w:val="auto"/>
                <w:kern w:val="2"/>
                <w:sz w:val="21"/>
                <w:szCs w:val="21"/>
                <w:highlight w:val="none"/>
                <w:rtl w:val="0"/>
                <w:lang w:val="en-US" w:eastAsia="zh-CN" w:bidi="ar-SA"/>
              </w:rPr>
              <w:t>工作人员培训及管理力量</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adjustRightInd w:val="0"/>
        <w:snapToGrid w:val="0"/>
        <w:jc w:val="center"/>
        <w:rPr>
          <w:rFonts w:hint="eastAsia" w:ascii="宋体" w:hAnsi="宋体"/>
          <w:b/>
          <w:szCs w:val="21"/>
        </w:rPr>
      </w:pPr>
    </w:p>
    <w:p>
      <w:pPr>
        <w:adjustRightInd w:val="0"/>
        <w:snapToGrid w:val="0"/>
        <w:jc w:val="center"/>
        <w:rPr>
          <w:rFonts w:ascii="宋体" w:hAnsi="宋体"/>
          <w:b/>
          <w:szCs w:val="21"/>
        </w:rPr>
      </w:pPr>
      <w:r>
        <w:rPr>
          <w:rFonts w:hint="eastAsia" w:ascii="宋体" w:hAnsi="宋体"/>
          <w:b/>
          <w:szCs w:val="21"/>
        </w:rPr>
        <w:t>商务评审自查表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4"/>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Theme="minorEastAsia" w:hAnsiTheme="minorEastAsia" w:eastAsiaTheme="minorEastAsia" w:cstheme="minorEastAsia"/>
                <w:kern w:val="2"/>
                <w:sz w:val="21"/>
                <w:szCs w:val="21"/>
                <w:rtl w:val="0"/>
                <w:lang w:val="en-US" w:eastAsia="zh-CN" w:bidi="ar-SA"/>
              </w:rPr>
              <w:t>同类项目经验</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4"/>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Theme="minorEastAsia" w:hAnsiTheme="minorEastAsia" w:eastAsiaTheme="minorEastAsia" w:cstheme="minorEastAsia"/>
                <w:kern w:val="2"/>
                <w:sz w:val="21"/>
                <w:szCs w:val="21"/>
                <w:rtl w:val="0"/>
                <w:lang w:val="en-US" w:eastAsia="zh-CN" w:bidi="ar-SA"/>
              </w:rPr>
              <w:t>在有效期内的质量管理体系、环境管理体系、职业健康安全管理体系认证、信息安全管理体系</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4"/>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Theme="minorEastAsia" w:hAnsiTheme="minorEastAsia" w:eastAsiaTheme="minorEastAsia" w:cstheme="minorEastAsia"/>
                <w:kern w:val="2"/>
                <w:sz w:val="21"/>
                <w:szCs w:val="21"/>
                <w:rtl w:val="0"/>
                <w:lang w:val="en-US" w:eastAsia="zh-CN" w:bidi="ar-SA"/>
              </w:rPr>
              <w:t>2015-2016年财务报告权威性</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widowControl w:val="0"/>
              <w:numPr>
                <w:ilvl w:val="0"/>
                <w:numId w:val="0"/>
              </w:numPr>
              <w:adjustRightInd w:val="0"/>
              <w:snapToGrid w:val="0"/>
              <w:jc w:val="both"/>
              <w:rPr>
                <w:rFonts w:hint="eastAsia" w:ascii="宋体" w:hAnsi="宋体" w:eastAsia="宋体"/>
                <w:szCs w:val="21"/>
                <w:lang w:val="en-US" w:eastAsia="zh-CN"/>
              </w:rPr>
            </w:pPr>
            <w:r>
              <w:rPr>
                <w:rFonts w:hint="eastAsia" w:ascii="宋体" w:hAnsi="宋体"/>
                <w:szCs w:val="21"/>
                <w:lang w:val="en-US" w:eastAsia="zh-CN"/>
              </w:rPr>
              <w:t>4.</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Theme="minorEastAsia" w:hAnsiTheme="minorEastAsia" w:eastAsiaTheme="minorEastAsia" w:cstheme="minorEastAsia"/>
                <w:kern w:val="2"/>
                <w:sz w:val="21"/>
                <w:szCs w:val="21"/>
                <w:rtl w:val="0"/>
                <w:lang w:val="en-US" w:eastAsia="zh-CN" w:bidi="ar-SA"/>
              </w:rPr>
              <w:t>获得国家有关部门或行业协会颁发的资质等级或奖项</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adjustRightInd w:val="0"/>
        <w:snapToGrid w:val="0"/>
        <w:jc w:val="center"/>
        <w:rPr>
          <w:rFonts w:ascii="宋体" w:hAnsi="宋体"/>
        </w:rPr>
      </w:pP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szCs w:val="21"/>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Courier New"/>
                <w:kern w:val="0"/>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bCs/>
                <w:szCs w:val="21"/>
              </w:rPr>
              <w:t>退投标保证金说明</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投标保证金递交证明文件/</w:t>
            </w:r>
            <w:r>
              <w:rPr>
                <w:rFonts w:hint="eastAsia" w:ascii="宋体" w:hAnsi="宋体"/>
                <w:bCs/>
                <w:szCs w:val="21"/>
              </w:rPr>
              <w:t>政府采购投标担保函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rPr>
          <w:rFonts w:hint="eastAsia" w:ascii="宋体" w:hAnsi="宋体"/>
          <w:b/>
          <w:szCs w:val="21"/>
          <w:lang w:val="en-US" w:eastAsia="zh-CN"/>
        </w:rPr>
      </w:pPr>
      <w:r>
        <w:rPr>
          <w:rFonts w:hint="eastAsia" w:ascii="宋体" w:hAnsi="宋体"/>
          <w:b/>
          <w:szCs w:val="21"/>
          <w:lang w:val="en-US" w:eastAsia="zh-CN"/>
        </w:rPr>
        <w:br w:type="page"/>
      </w:r>
    </w:p>
    <w:p>
      <w:pPr>
        <w:numPr>
          <w:ilvl w:val="0"/>
          <w:numId w:val="26"/>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w:t>
      </w:r>
      <w:r>
        <w:rPr>
          <w:rFonts w:hint="eastAsia" w:ascii="宋体" w:hAnsi="宋体"/>
          <w:b/>
          <w:lang w:eastAsia="zh-CN"/>
        </w:rPr>
        <w:t>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 xml:space="preserve">  </w:t>
      </w:r>
      <w:r>
        <w:rPr>
          <w:rFonts w:hint="eastAsia" w:ascii="宋体" w:hAnsi="宋体"/>
          <w:kern w:val="28"/>
          <w:u w:val="single"/>
          <w:lang w:eastAsia="zh-CN"/>
        </w:rPr>
        <w:t>市桥街北片联合执法队购买安保服务采购项目</w:t>
      </w:r>
      <w:r>
        <w:rPr>
          <w:rFonts w:hint="eastAsia"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GZBC18FG05008</w:t>
      </w:r>
      <w:r>
        <w:rPr>
          <w:rFonts w:hint="eastAsia" w:ascii="宋体" w:hAnsi="宋体"/>
        </w:rPr>
        <w:t>），</w:t>
      </w:r>
      <w:r>
        <w:rPr>
          <w:rFonts w:hint="eastAsia" w:ascii="宋体" w:hAnsi="宋体"/>
          <w:u w:val="single"/>
        </w:rPr>
        <w:t>(投标人名称、地址)</w:t>
      </w:r>
      <w:r>
        <w:rPr>
          <w:rFonts w:hint="eastAsia" w:ascii="宋体" w:hAnsi="宋体"/>
          <w:kern w:val="28"/>
          <w:u w:val="single"/>
        </w:rPr>
        <w:t xml:space="preserve">     </w:t>
      </w:r>
      <w:r>
        <w:rPr>
          <w:rFonts w:hint="eastAsia" w:ascii="宋体" w:hAnsi="宋体"/>
        </w:rPr>
        <w:t>作为投标人已正式授权</w:t>
      </w:r>
      <w:r>
        <w:rPr>
          <w:rFonts w:hint="eastAsia" w:ascii="宋体" w:hAnsi="宋体"/>
          <w:kern w:val="28"/>
          <w:u w:val="single"/>
        </w:rPr>
        <w:t xml:space="preserve">  </w:t>
      </w:r>
      <w:r>
        <w:rPr>
          <w:rFonts w:hint="eastAsia" w:ascii="宋体" w:hAnsi="宋体"/>
          <w:u w:val="single"/>
        </w:rPr>
        <w:t xml:space="preserve"> (被投标人授权代表全名、职务)</w:t>
      </w:r>
      <w:r>
        <w:rPr>
          <w:rFonts w:hint="eastAsia" w:ascii="宋体" w:hAnsi="宋体"/>
          <w:kern w:val="28"/>
          <w:u w:val="single"/>
        </w:rPr>
        <w:t xml:space="preserve">  </w:t>
      </w:r>
      <w:r>
        <w:rPr>
          <w:rFonts w:hint="eastAsia" w:ascii="宋体" w:hAnsi="宋体"/>
        </w:rPr>
        <w:t>为我方签名代表，签名代表在此声明并同意：</w:t>
      </w:r>
    </w:p>
    <w:p>
      <w:pPr>
        <w:numPr>
          <w:ilvl w:val="0"/>
          <w:numId w:val="27"/>
        </w:numPr>
        <w:snapToGrid w:val="0"/>
        <w:spacing w:line="360" w:lineRule="auto"/>
        <w:rPr>
          <w:rFonts w:ascii="宋体" w:hAns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7"/>
        </w:numPr>
        <w:snapToGrid w:val="0"/>
        <w:spacing w:line="360" w:lineRule="auto"/>
        <w:rPr>
          <w:rFonts w:ascii="宋体" w:hAnsi="宋体"/>
          <w:b/>
          <w:sz w:val="20"/>
          <w:szCs w:val="20"/>
        </w:rPr>
      </w:pPr>
      <w:r>
        <w:rPr>
          <w:rFonts w:hint="eastAsia" w:ascii="宋体" w:hAnsi="宋体"/>
          <w:b/>
          <w:sz w:val="20"/>
          <w:szCs w:val="20"/>
        </w:rPr>
        <w:t>我们同意本投标自投标截止之日起</w:t>
      </w:r>
      <w:r>
        <w:rPr>
          <w:rFonts w:hint="eastAsia"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7"/>
        </w:numPr>
        <w:snapToGrid w:val="0"/>
        <w:spacing w:line="360" w:lineRule="auto"/>
        <w:rPr>
          <w:rFonts w:ascii="宋体" w:hAns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7"/>
        </w:numPr>
        <w:snapToGrid w:val="0"/>
        <w:spacing w:line="360" w:lineRule="auto"/>
        <w:rPr>
          <w:rFonts w:ascii="宋体" w:hAns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7"/>
        </w:numPr>
        <w:snapToGrid w:val="0"/>
        <w:spacing w:line="360" w:lineRule="auto"/>
        <w:rPr>
          <w:rFonts w:ascii="宋体" w:hAns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7"/>
        </w:numPr>
        <w:snapToGrid w:val="0"/>
        <w:spacing w:line="360" w:lineRule="auto"/>
        <w:rPr>
          <w:rFonts w:ascii="宋体" w:hAnsi="宋体"/>
          <w:b/>
          <w:sz w:val="20"/>
          <w:szCs w:val="20"/>
        </w:rPr>
      </w:pPr>
      <w:r>
        <w:rPr>
          <w:rFonts w:hint="eastAsia" w:ascii="宋体" w:hAnsi="宋体"/>
          <w:b/>
          <w:sz w:val="20"/>
          <w:szCs w:val="20"/>
        </w:rPr>
        <w:t xml:space="preserve">如果我们未对招标文件全部要求作出实质性响应，则完全同意并接受按无效投标处理。 </w:t>
      </w:r>
    </w:p>
    <w:p>
      <w:pPr>
        <w:numPr>
          <w:ilvl w:val="0"/>
          <w:numId w:val="27"/>
        </w:numPr>
        <w:snapToGrid w:val="0"/>
        <w:spacing w:line="360" w:lineRule="auto"/>
        <w:rPr>
          <w:rFonts w:ascii="宋体" w:hAns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7"/>
        </w:numPr>
        <w:snapToGrid w:val="0"/>
        <w:spacing w:line="360" w:lineRule="auto"/>
        <w:rPr>
          <w:rFonts w:ascii="宋体" w:hAns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7"/>
        </w:numPr>
        <w:snapToGrid w:val="0"/>
        <w:spacing w:line="360" w:lineRule="auto"/>
        <w:rPr>
          <w:rFonts w:ascii="宋体" w:hAns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7"/>
        </w:numPr>
        <w:snapToGrid w:val="0"/>
        <w:spacing w:line="360" w:lineRule="auto"/>
        <w:rPr>
          <w:rFonts w:ascii="宋体" w:hAns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 xml:space="preserve">  （投标人地址）   </w:t>
      </w:r>
      <w:r>
        <w:rPr>
          <w:rFonts w:hint="eastAsia" w:ascii="宋体" w:hAnsi="宋体"/>
          <w:b/>
          <w:sz w:val="20"/>
          <w:szCs w:val="20"/>
        </w:rPr>
        <w:t xml:space="preserve">  </w:t>
      </w:r>
    </w:p>
    <w:p>
      <w:pPr>
        <w:autoSpaceDE w:val="0"/>
        <w:autoSpaceDN w:val="0"/>
        <w:adjustRightInd w:val="0"/>
        <w:spacing w:line="360" w:lineRule="auto"/>
        <w:ind w:left="420" w:firstLine="310"/>
        <w:rPr>
          <w:rFonts w:ascii="宋体" w:hAnsi="宋体"/>
          <w:b/>
          <w:sz w:val="20"/>
          <w:szCs w:val="20"/>
        </w:rPr>
      </w:pPr>
      <w:r>
        <w:rPr>
          <w:rFonts w:hint="eastAsia" w:ascii="宋体" w:hAnsi="宋体"/>
          <w:b/>
          <w:sz w:val="20"/>
          <w:szCs w:val="20"/>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r>
        <w:rPr>
          <w:rFonts w:hint="eastAsia" w:ascii="宋体" w:hAnsi="宋体"/>
          <w:spacing w:val="4"/>
          <w:u w:val="single"/>
        </w:rPr>
        <w:t xml:space="preserve">                             </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u w:val="single"/>
        </w:rPr>
        <w:t xml:space="preserve">     </w:t>
      </w:r>
      <w:r>
        <w:rPr>
          <w:rFonts w:ascii="宋体" w:hAnsi="宋体"/>
          <w:spacing w:val="4"/>
          <w:u w:val="single"/>
        </w:rPr>
        <w:t xml:space="preserve"> </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26"/>
        </w:numPr>
        <w:spacing w:line="440" w:lineRule="exact"/>
        <w:rPr>
          <w:rFonts w:ascii="宋体" w:hAnsi="宋体"/>
          <w:bCs/>
          <w:sz w:val="28"/>
        </w:rPr>
      </w:pPr>
      <w:r>
        <w:rPr>
          <w:rFonts w:ascii="宋体" w:hAnsi="宋体"/>
          <w:bCs/>
          <w:sz w:val="28"/>
        </w:rPr>
        <w:t xml:space="preserve"> </w:t>
      </w:r>
    </w:p>
    <w:p>
      <w:pPr>
        <w:jc w:val="center"/>
        <w:outlineLvl w:val="2"/>
        <w:rPr>
          <w:rFonts w:ascii="宋体" w:hAnsi="宋体"/>
          <w:b/>
          <w:sz w:val="28"/>
          <w:szCs w:val="28"/>
        </w:rPr>
      </w:pPr>
      <w:bookmarkStart w:id="44" w:name="_Toc275865606"/>
      <w:r>
        <w:rPr>
          <w:rFonts w:hint="eastAsia" w:ascii="宋体" w:hAnsi="宋体"/>
          <w:b/>
          <w:sz w:val="28"/>
          <w:szCs w:val="28"/>
        </w:rPr>
        <w:t>投标人资格声明函</w:t>
      </w:r>
      <w:bookmarkEnd w:id="44"/>
    </w:p>
    <w:p>
      <w:pPr>
        <w:rPr>
          <w:rFonts w:ascii="宋体" w:hAnsi="宋体"/>
          <w:b/>
        </w:rPr>
      </w:pPr>
      <w:r>
        <w:rPr>
          <w:rFonts w:hint="eastAsia" w:ascii="宋体" w:hAnsi="宋体"/>
          <w:b/>
          <w:lang w:eastAsia="zh-CN"/>
        </w:rPr>
        <w:t>广州宝诚招标代理咨询有限公司</w:t>
      </w:r>
      <w:r>
        <w:rPr>
          <w:rFonts w:hint="eastAsia" w:ascii="宋体" w:hAnsi="宋体"/>
          <w:b/>
        </w:rPr>
        <w:t>：</w:t>
      </w:r>
    </w:p>
    <w:p>
      <w:pPr>
        <w:snapToGrid w:val="0"/>
        <w:spacing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市桥街北片联合执法队购买安保服务采购项目</w:t>
      </w:r>
      <w:r>
        <w:rPr>
          <w:rFonts w:ascii="宋体" w:hAnsi="宋体"/>
          <w:u w:val="single"/>
        </w:rPr>
        <w:t xml:space="preserve">  </w:t>
      </w:r>
      <w:r>
        <w:rPr>
          <w:rFonts w:hint="eastAsia" w:ascii="宋体" w:hAnsi="宋体"/>
        </w:rPr>
        <w:t>项目（项目编号：</w:t>
      </w:r>
      <w:r>
        <w:rPr>
          <w:rFonts w:hint="eastAsia" w:ascii="宋体" w:hAnsi="宋体"/>
          <w:lang w:eastAsia="zh-CN"/>
        </w:rPr>
        <w:t>GZBC18FG05008</w:t>
      </w:r>
      <w:r>
        <w:rPr>
          <w:rFonts w:hint="eastAsia" w:ascii="宋体" w:hAnsi="宋体"/>
        </w:rPr>
        <w:t>）的采购公告，本公司（企业）愿意参加投标，并声明：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tabs>
          <w:tab w:val="left" w:pos="567"/>
        </w:tabs>
        <w:adjustRightInd w:val="0"/>
        <w:snapToGrid w:val="0"/>
        <w:spacing w:line="360" w:lineRule="auto"/>
        <w:rPr>
          <w:rFonts w:ascii="宋体" w:hAnsi="宋体"/>
          <w:b/>
        </w:rPr>
      </w:pPr>
      <w:r>
        <w:rPr>
          <w:rFonts w:hint="eastAsia" w:ascii="宋体" w:hAnsi="宋体"/>
          <w:b/>
        </w:rPr>
        <w:t>附件：</w:t>
      </w:r>
    </w:p>
    <w:p>
      <w:pPr>
        <w:numPr>
          <w:ilvl w:val="0"/>
          <w:numId w:val="28"/>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7</w:t>
      </w:r>
      <w:r>
        <w:rPr>
          <w:rFonts w:hint="eastAsia" w:ascii="宋体" w:hAnsi="宋体"/>
          <w:bCs/>
          <w:szCs w:val="20"/>
        </w:rPr>
        <w:t>年财务状况报告复印件，其他组织或投标人新成立不足一年，提供银行出具的资信证明材料复印件；</w:t>
      </w:r>
    </w:p>
    <w:p>
      <w:pPr>
        <w:numPr>
          <w:ilvl w:val="0"/>
          <w:numId w:val="28"/>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8</w:t>
      </w:r>
      <w:r>
        <w:rPr>
          <w:rFonts w:hint="eastAsia" w:ascii="宋体" w:hAnsi="宋体"/>
          <w:bCs/>
          <w:szCs w:val="20"/>
        </w:rPr>
        <w:t>年开具的缴纳税收的凭据证明材料复印件；如依法免税的，应提供相应文件证明其依法免税；</w:t>
      </w:r>
    </w:p>
    <w:p>
      <w:pPr>
        <w:numPr>
          <w:ilvl w:val="0"/>
          <w:numId w:val="28"/>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8</w:t>
      </w:r>
      <w:r>
        <w:rPr>
          <w:rFonts w:hint="eastAsia" w:ascii="宋体" w:hAnsi="宋体"/>
          <w:bCs/>
          <w:szCs w:val="20"/>
        </w:rPr>
        <w:t>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rPr>
          <w:rFonts w:hint="eastAsia" w:ascii="宋体" w:hAns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hint="eastAsia" w:ascii="宋体" w:hAnsi="宋体"/>
          <w:spacing w:val="4"/>
        </w:rPr>
      </w:pPr>
      <w:r>
        <w:rPr>
          <w:rFonts w:hint="eastAsia" w:ascii="宋体" w:hAnsi="宋体"/>
          <w:spacing w:val="4"/>
        </w:rPr>
        <w:br w:type="page"/>
      </w:r>
    </w:p>
    <w:p>
      <w:pPr>
        <w:numPr>
          <w:ilvl w:val="0"/>
          <w:numId w:val="26"/>
        </w:numPr>
        <w:spacing w:line="440" w:lineRule="exact"/>
        <w:rPr>
          <w:rFonts w:ascii="宋体" w:hAnsi="宋体"/>
          <w:szCs w:val="21"/>
        </w:rPr>
      </w:pPr>
    </w:p>
    <w:p>
      <w:pPr>
        <w:jc w:val="center"/>
        <w:outlineLvl w:val="2"/>
        <w:rPr>
          <w:rFonts w:ascii="宋体" w:hAnsi="宋体"/>
          <w:b/>
          <w:sz w:val="28"/>
          <w:szCs w:val="28"/>
        </w:rPr>
      </w:pPr>
      <w:bookmarkStart w:id="45" w:name="_Toc50736477"/>
      <w:bookmarkStart w:id="46" w:name="_Toc52165081"/>
      <w:bookmarkStart w:id="47" w:name="_Toc275865607"/>
      <w:bookmarkStart w:id="48" w:name="_Toc50737329"/>
      <w:bookmarkStart w:id="49" w:name="_Toc50737297"/>
      <w:r>
        <w:rPr>
          <w:rFonts w:hint="eastAsia" w:ascii="宋体" w:hAnsi="宋体"/>
          <w:b/>
          <w:sz w:val="28"/>
          <w:szCs w:val="28"/>
        </w:rPr>
        <w:t>法定代表人授权委托书</w:t>
      </w:r>
      <w:bookmarkEnd w:id="45"/>
      <w:bookmarkEnd w:id="46"/>
      <w:bookmarkEnd w:id="47"/>
      <w:bookmarkEnd w:id="48"/>
      <w:bookmarkEnd w:id="49"/>
    </w:p>
    <w:p>
      <w:pPr>
        <w:pStyle w:val="5"/>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5"/>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b/>
          <w:szCs w:val="21"/>
        </w:rPr>
      </w:pPr>
      <w:r>
        <w:rPr>
          <w:rFonts w:hint="eastAsia" w:ascii="宋体" w:hAnsi="宋体"/>
          <w:b/>
          <w:szCs w:val="21"/>
        </w:rPr>
        <w:t>随附《法定代表人证明》</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rPr>
      </w:pPr>
    </w:p>
    <w:p>
      <w:pPr>
        <w:spacing w:line="360" w:lineRule="auto"/>
        <w:rPr>
          <w:rFonts w:ascii="宋体" w:hAnsi="宋体"/>
        </w:rPr>
      </w:pPr>
      <w:r>
        <w:rPr>
          <w:rFonts w:ascii="宋体" w:hAnsi="宋体"/>
          <w:sz w:val="20"/>
        </w:rPr>
        <mc:AlternateContent>
          <mc:Choice Requires="wpg">
            <w:drawing>
              <wp:anchor distT="0" distB="0" distL="114300" distR="114300" simplePos="0" relativeHeight="251657216" behindDoc="0" locked="0" layoutInCell="1" allowOverlap="1">
                <wp:simplePos x="0" y="0"/>
                <wp:positionH relativeFrom="column">
                  <wp:posOffset>476250</wp:posOffset>
                </wp:positionH>
                <wp:positionV relativeFrom="paragraph">
                  <wp:posOffset>169545</wp:posOffset>
                </wp:positionV>
                <wp:extent cx="5584190" cy="1487805"/>
                <wp:effectExtent l="4445" t="4445" r="12065" b="12700"/>
                <wp:wrapNone/>
                <wp:docPr id="11" name="组合 2"/>
                <wp:cNvGraphicFramePr/>
                <a:graphic xmlns:a="http://schemas.openxmlformats.org/drawingml/2006/main">
                  <a:graphicData uri="http://schemas.microsoft.com/office/word/2010/wordprocessingGroup">
                    <wpg:wgp>
                      <wpg:cNvGrpSpPr/>
                      <wpg:grpSpPr>
                        <a:xfrm>
                          <a:off x="0" y="0"/>
                          <a:ext cx="5584190" cy="1487805"/>
                          <a:chOff x="1410" y="9240"/>
                          <a:chExt cx="8794" cy="2343"/>
                        </a:xfrm>
                        <a:effectLst/>
                      </wpg:grpSpPr>
                      <wps:wsp>
                        <wps:cNvPr id="12" name="矩形 3"/>
                        <wps:cNvSpPr>
                          <a:spLocks noChangeArrowheads="1"/>
                        </wps:cNvSpPr>
                        <wps:spPr bwMode="auto">
                          <a:xfrm>
                            <a:off x="1410"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3" name="矩形 4"/>
                        <wps:cNvSpPr>
                          <a:spLocks noChangeArrowheads="1"/>
                        </wps:cNvSpPr>
                        <wps:spPr bwMode="auto">
                          <a:xfrm>
                            <a:off x="5867"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2" o:spid="_x0000_s1026" o:spt="203" style="position:absolute;left:0pt;margin-left:37.5pt;margin-top:13.35pt;height:117.15pt;width:439.7pt;z-index:251657216;mso-width-relative:page;mso-height-relative:page;" coordorigin="1410,9240" coordsize="8794,2343" o:gfxdata="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WqAQG2gAAAAkBAAAPAAAAAAAAAAEAIAAA&#10;ACIAAABkcnMvZG93bnJldi54bWxQSwECFAAUAAAACACHTuJAqRzoEbUCAAAoCAAADgAAAAAAAAAB&#10;ACAAAAApAQAAZHJzL2Uyb0RvYy54bWxQSwUGAAAAAAYABgBZAQAAUAYAAAAA&#10;">
                <o:lock v:ext="edit" aspectratio="f"/>
                <v:rect id="矩形 3" o:spid="_x0000_s1026" o:spt="1" style="position:absolute;left:1410;top:9240;height:2343;width:4337;" fillcolor="#FFFFFF" filled="t" stroked="t" coordsize="21600,21600" o:gfxdata="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Ilf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4" o:spid="_x0000_s1026" o:spt="1" style="position:absolute;left:5867;top:9240;height:2343;width:4337;"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6"/>
        </w:numPr>
        <w:spacing w:line="440" w:lineRule="exact"/>
        <w:rPr>
          <w:rFonts w:ascii="宋体" w:hAnsi="宋体"/>
        </w:rPr>
      </w:pPr>
    </w:p>
    <w:p>
      <w:pPr>
        <w:jc w:val="center"/>
        <w:outlineLvl w:val="2"/>
        <w:rPr>
          <w:rFonts w:ascii="宋体" w:hAnsi="宋体"/>
          <w:b/>
          <w:sz w:val="28"/>
          <w:szCs w:val="28"/>
        </w:rPr>
      </w:pPr>
      <w:bookmarkStart w:id="50" w:name="_Toc275865608"/>
      <w:r>
        <w:rPr>
          <w:rFonts w:hint="eastAsia" w:ascii="宋体" w:hAnsi="宋体"/>
          <w:b/>
          <w:sz w:val="28"/>
          <w:szCs w:val="28"/>
        </w:rPr>
        <w:t>法定代表人证明书</w:t>
      </w:r>
      <w:bookmarkEnd w:id="50"/>
    </w:p>
    <w:p>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p>
      <w:pPr>
        <w:spacing w:line="360" w:lineRule="auto"/>
        <w:rPr>
          <w:rFonts w:ascii="宋体" w:hAnsi="宋体"/>
        </w:rPr>
      </w:pPr>
      <w:r>
        <w:rPr>
          <w:rFonts w:ascii="宋体" w:hAnsi="宋体"/>
          <w:sz w:val="20"/>
        </w:rPr>
        <mc:AlternateContent>
          <mc:Choice Requires="wpg">
            <w:drawing>
              <wp:anchor distT="0" distB="0" distL="114300" distR="114300" simplePos="0" relativeHeight="251658240" behindDoc="0" locked="0" layoutInCell="1" allowOverlap="1">
                <wp:simplePos x="0" y="0"/>
                <wp:positionH relativeFrom="column">
                  <wp:posOffset>390525</wp:posOffset>
                </wp:positionH>
                <wp:positionV relativeFrom="paragraph">
                  <wp:posOffset>169545</wp:posOffset>
                </wp:positionV>
                <wp:extent cx="5746115" cy="1497330"/>
                <wp:effectExtent l="4445" t="4445" r="21590" b="22225"/>
                <wp:wrapNone/>
                <wp:docPr id="8" name="组合 5"/>
                <wp:cNvGraphicFramePr/>
                <a:graphic xmlns:a="http://schemas.openxmlformats.org/drawingml/2006/main">
                  <a:graphicData uri="http://schemas.microsoft.com/office/word/2010/wordprocessingGroup">
                    <wpg:wgp>
                      <wpg:cNvGrpSpPr/>
                      <wpg:grpSpPr>
                        <a:xfrm>
                          <a:off x="0" y="0"/>
                          <a:ext cx="5746115" cy="1497330"/>
                          <a:chOff x="1845" y="9210"/>
                          <a:chExt cx="9049" cy="2358"/>
                        </a:xfrm>
                        <a:effectLst/>
                      </wpg:grpSpPr>
                      <wps:wsp>
                        <wps:cNvPr id="9" name="矩形 6"/>
                        <wps:cNvSpPr>
                          <a:spLocks noChangeArrowheads="1"/>
                        </wps:cNvSpPr>
                        <wps:spPr bwMode="auto">
                          <a:xfrm>
                            <a:off x="1845" y="9225"/>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0" name="矩形 7"/>
                        <wps:cNvSpPr>
                          <a:spLocks noChangeArrowheads="1"/>
                        </wps:cNvSpPr>
                        <wps:spPr bwMode="auto">
                          <a:xfrm>
                            <a:off x="6557" y="921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5" o:spid="_x0000_s1026" o:spt="203" style="position:absolute;left:0pt;margin-left:30.75pt;margin-top:13.35pt;height:117.9pt;width:452.45pt;z-index:251658240;mso-width-relative:page;mso-height-relative:page;" coordorigin="1845,9210" coordsize="9049,2358" o:gfxdata="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4R/6GNkAAAAJAQAADwAAAAAAAAAB&#10;ACAAAAAiAAAAZHJzL2Rvd25yZXYueG1sUEsBAhQAFAAAAAgAh07iQIMe5oq6AgAAJggAAA4AAAAA&#10;AAAAAQAgAAAAKAEAAGRycy9lMm9Eb2MueG1sUEsFBgAAAAAGAAYAWQEAAFQGAAAAAA==&#10;">
                <o:lock v:ext="edit" aspectratio="f"/>
                <v:rect id="矩形 6" o:spid="_x0000_s1026" o:spt="1" style="position:absolute;left:1845;top:9225;height:2343;width:4337;"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7" o:spid="_x0000_s1026" o:spt="1" style="position:absolute;left:6557;top:9210;height:2343;width:4337;"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500" w:lineRule="exact"/>
        <w:rPr>
          <w:rFonts w:ascii="宋体" w:hAnsi="宋体"/>
          <w:b/>
          <w:bCs/>
        </w:rPr>
      </w:pPr>
    </w:p>
    <w:p>
      <w:pPr>
        <w:spacing w:line="500" w:lineRule="exact"/>
        <w:rPr>
          <w:rFonts w:ascii="宋体" w:hAnsi="宋体"/>
          <w:b/>
          <w:bCs/>
        </w:rPr>
      </w:pPr>
      <w:r>
        <w:rPr>
          <w:rFonts w:hint="eastAsia" w:ascii="宋体" w:hAnsi="宋体"/>
          <w:b/>
          <w:bCs/>
        </w:rPr>
        <w:t xml:space="preserve">                         </w:t>
      </w:r>
    </w:p>
    <w:p>
      <w:pPr>
        <w:spacing w:line="500" w:lineRule="exact"/>
        <w:rPr>
          <w:rFonts w:ascii="宋体" w:hAnsi="宋体"/>
          <w:b/>
          <w:bCs/>
        </w:rPr>
      </w:pPr>
    </w:p>
    <w:p>
      <w:pPr>
        <w:spacing w:line="500" w:lineRule="exact"/>
        <w:rPr>
          <w:rFonts w:ascii="宋体" w:hAnsi="宋体"/>
          <w:u w:val="single"/>
        </w:rPr>
      </w:pPr>
      <w:r>
        <w:rPr>
          <w:rFonts w:hint="eastAsia"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hint="eastAsia" w:ascii="宋体" w:hAnsi="宋体"/>
          <w:u w:val="single"/>
        </w:rPr>
        <w:t xml:space="preserve">           </w:t>
      </w:r>
    </w:p>
    <w:p>
      <w:pPr>
        <w:spacing w:line="500" w:lineRule="exact"/>
        <w:rPr>
          <w:rFonts w:ascii="宋体" w:hAnsi="宋体"/>
        </w:rPr>
      </w:pPr>
      <w:r>
        <w:rPr>
          <w:rFonts w:hint="eastAsia" w:ascii="宋体" w:hAnsi="宋体"/>
        </w:rPr>
        <w:t xml:space="preserve">                                           地址：</w:t>
      </w:r>
      <w:r>
        <w:rPr>
          <w:rFonts w:hint="eastAsia" w:ascii="宋体" w:hAnsi="宋体"/>
          <w:u w:val="single"/>
        </w:rPr>
        <w:t xml:space="preserve">           </w:t>
      </w:r>
    </w:p>
    <w:p>
      <w:pPr>
        <w:spacing w:line="500" w:lineRule="exact"/>
        <w:rPr>
          <w:rFonts w:ascii="宋体" w:hAnsi="宋体"/>
          <w:u w:val="single"/>
        </w:rPr>
      </w:pPr>
      <w:r>
        <w:rPr>
          <w:rFonts w:hint="eastAsia" w:ascii="宋体" w:hAnsi="宋体"/>
        </w:rPr>
        <w:t xml:space="preserve">                                           签发日期：</w:t>
      </w:r>
      <w:r>
        <w:rPr>
          <w:rFonts w:hint="eastAsia" w:ascii="宋体" w:hAnsi="宋体"/>
          <w:u w:val="single"/>
        </w:rPr>
        <w:t xml:space="preserve">           </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26"/>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u w:val="single"/>
        </w:rPr>
        <w:t xml:space="preserve">  </w:t>
      </w:r>
      <w:r>
        <w:rPr>
          <w:rFonts w:hint="eastAsia" w:ascii="宋体" w:hAnsi="宋体"/>
          <w:kern w:val="28"/>
          <w:u w:val="single"/>
          <w:lang w:eastAsia="zh-CN"/>
        </w:rPr>
        <w:t>市桥街北片联合执法队购买安保服务采购项目</w:t>
      </w:r>
      <w:r>
        <w:rPr>
          <w:rFonts w:hint="eastAsia" w:ascii="宋体" w:hAnsi="宋体"/>
          <w:u w:val="single"/>
        </w:rPr>
        <w:t xml:space="preserve">    </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r>
        <w:rPr>
          <w:rFonts w:hint="eastAsia" w:ascii="宋体" w:hAnsi="宋体"/>
          <w:spacing w:val="4"/>
          <w:u w:val="single"/>
        </w:rPr>
        <w:t xml:space="preserve">                       </w:t>
      </w:r>
    </w:p>
    <w:p>
      <w:pPr>
        <w:adjustRightInd w:val="0"/>
        <w:snapToGrid w:val="0"/>
        <w:spacing w:line="360" w:lineRule="auto"/>
        <w:jc w:val="center"/>
        <w:rPr>
          <w:rFonts w:ascii="宋体" w:hAnsi="宋体"/>
          <w:spacing w:val="4"/>
        </w:rPr>
      </w:pPr>
      <w:r>
        <w:rPr>
          <w:rFonts w:hint="eastAsia" w:ascii="宋体" w:hAnsi="宋体"/>
          <w:spacing w:val="4"/>
        </w:rPr>
        <w:t xml:space="preserve"> 日期：</w:t>
      </w:r>
      <w:r>
        <w:rPr>
          <w:rFonts w:hint="eastAsia" w:ascii="宋体" w:hAnsi="宋体"/>
          <w:spacing w:val="4"/>
          <w:u w:val="single"/>
        </w:rPr>
        <w:t xml:space="preserve">   </w:t>
      </w:r>
      <w:r>
        <w:rPr>
          <w:rFonts w:hint="eastAsia" w:ascii="宋体" w:hAnsi="宋体"/>
          <w:spacing w:val="4"/>
        </w:rPr>
        <w:t>年</w:t>
      </w:r>
      <w:r>
        <w:rPr>
          <w:rFonts w:hint="eastAsia" w:ascii="宋体" w:hAnsi="宋体"/>
          <w:spacing w:val="4"/>
          <w:u w:val="single"/>
        </w:rPr>
        <w:t xml:space="preserve">   </w:t>
      </w:r>
      <w:r>
        <w:rPr>
          <w:rFonts w:hint="eastAsia" w:ascii="宋体" w:hAnsi="宋体"/>
          <w:spacing w:val="4"/>
        </w:rPr>
        <w:t>月</w:t>
      </w:r>
      <w:r>
        <w:rPr>
          <w:rFonts w:hint="eastAsia" w:ascii="宋体" w:hAnsi="宋体"/>
          <w:spacing w:val="4"/>
          <w:u w:val="single"/>
        </w:rPr>
        <w:t xml:space="preserve">   </w:t>
      </w:r>
      <w:r>
        <w:rPr>
          <w:rFonts w:hint="eastAsia" w:ascii="宋体" w:hAnsi="宋体"/>
          <w:spacing w:val="4"/>
        </w:rPr>
        <w:t>日</w:t>
      </w:r>
    </w:p>
    <w:p>
      <w:pPr>
        <w:spacing w:line="440" w:lineRule="exact"/>
        <w:rPr>
          <w:rFonts w:ascii="宋体" w:hAnsi="宋体"/>
        </w:rPr>
      </w:pPr>
      <w:r>
        <w:rPr>
          <w:rFonts w:ascii="宋体" w:hAnsi="宋体"/>
        </w:rPr>
        <w:br w:type="page"/>
      </w:r>
    </w:p>
    <w:p>
      <w:pPr>
        <w:numPr>
          <w:ilvl w:val="0"/>
          <w:numId w:val="26"/>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开标一览表(报价表)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GZBC18FG05008</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eastAsia="宋体"/>
                <w:b/>
                <w:szCs w:val="21"/>
                <w:lang w:eastAsia="zh-CN"/>
              </w:rPr>
            </w:pPr>
            <w:r>
              <w:rPr>
                <w:rFonts w:hint="eastAsia" w:ascii="宋体" w:hAnsi="宋体"/>
                <w:b/>
                <w:szCs w:val="21"/>
                <w:lang w:eastAsia="zh-CN"/>
              </w:rPr>
              <w:t>投标报价（元）</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3307" w:type="dxa"/>
            <w:tcBorders>
              <w:top w:val="single" w:color="auto" w:sz="4" w:space="0"/>
            </w:tcBorders>
            <w:vAlign w:val="center"/>
          </w:tcPr>
          <w:p>
            <w:pPr>
              <w:jc w:val="center"/>
              <w:rPr>
                <w:rFonts w:ascii="宋体" w:hAnsi="宋体"/>
                <w:bCs/>
                <w:szCs w:val="21"/>
              </w:rPr>
            </w:pPr>
            <w:r>
              <w:rPr>
                <w:rFonts w:hint="eastAsia" w:ascii="宋体" w:hAnsi="宋体"/>
                <w:color w:val="000000"/>
                <w:szCs w:val="21"/>
                <w:lang w:eastAsia="zh-CN"/>
              </w:rPr>
              <w:t>协助配合巡查、防火、防盗、安全隐患消除、乱摆乱卖等违规行为处理，安全保卫和公共秩序管理、应急事件现场处置以及交办工作等</w:t>
            </w:r>
          </w:p>
        </w:tc>
        <w:tc>
          <w:tcPr>
            <w:tcW w:w="3899" w:type="dxa"/>
            <w:tcBorders>
              <w:top w:val="single" w:color="auto" w:sz="4" w:space="0"/>
            </w:tcBorders>
            <w:vAlign w:val="center"/>
          </w:tcPr>
          <w:p>
            <w:pPr>
              <w:spacing w:line="360" w:lineRule="auto"/>
              <w:ind w:left="-2" w:leftChars="-1" w:firstLine="2" w:firstLineChars="1"/>
              <w:rPr>
                <w:rFonts w:hint="eastAsia" w:ascii="宋体" w:hAnsi="宋体"/>
                <w:sz w:val="21"/>
                <w:szCs w:val="21"/>
              </w:rPr>
            </w:pPr>
            <w:r>
              <w:rPr>
                <w:rFonts w:hint="eastAsia" w:ascii="宋体" w:hAnsi="宋体"/>
                <w:sz w:val="21"/>
                <w:szCs w:val="21"/>
              </w:rPr>
              <w:t>小写：</w:t>
            </w:r>
            <w:r>
              <w:rPr>
                <w:rFonts w:hint="eastAsia" w:ascii="宋体" w:hAnsi="宋体"/>
                <w:sz w:val="21"/>
                <w:szCs w:val="21"/>
                <w:u w:val="single"/>
              </w:rPr>
              <w:t xml:space="preserve">RMB                       </w:t>
            </w:r>
          </w:p>
          <w:p>
            <w:pPr>
              <w:adjustRightInd w:val="0"/>
              <w:snapToGrid w:val="0"/>
              <w:rPr>
                <w:rFonts w:hint="eastAsia" w:ascii="宋体" w:hAnsi="宋体" w:eastAsia="宋体"/>
                <w:bCs/>
                <w:szCs w:val="21"/>
                <w:u w:val="single"/>
                <w:lang w:val="en-US" w:eastAsia="zh-CN"/>
              </w:rPr>
            </w:pPr>
            <w:r>
              <w:rPr>
                <w:rFonts w:hint="eastAsia" w:ascii="宋体" w:hAnsi="宋体"/>
                <w:sz w:val="21"/>
                <w:szCs w:val="21"/>
              </w:rPr>
              <w:t>大写：</w:t>
            </w:r>
            <w:r>
              <w:rPr>
                <w:rFonts w:hint="eastAsia" w:ascii="宋体" w:hAnsi="宋体"/>
                <w:sz w:val="21"/>
                <w:szCs w:val="21"/>
                <w:u w:val="single"/>
              </w:rPr>
              <w:t xml:space="preserve">                          </w:t>
            </w:r>
          </w:p>
        </w:tc>
        <w:tc>
          <w:tcPr>
            <w:tcW w:w="2756" w:type="dxa"/>
            <w:tcBorders>
              <w:top w:val="single" w:color="auto" w:sz="4" w:space="0"/>
            </w:tcBorders>
            <w:vAlign w:val="center"/>
          </w:tcPr>
          <w:p>
            <w:pPr>
              <w:jc w:val="center"/>
              <w:rPr>
                <w:rFonts w:hint="eastAsia" w:ascii="宋体" w:hAnsi="宋体" w:eastAsia="宋体"/>
                <w:bCs/>
                <w:szCs w:val="21"/>
                <w:lang w:eastAsia="zh-CN"/>
              </w:rPr>
            </w:pPr>
            <w:r>
              <w:rPr>
                <w:rFonts w:hint="eastAsia" w:ascii="宋体" w:hAnsi="宋体"/>
                <w:color w:val="000000"/>
                <w:szCs w:val="21"/>
                <w:lang w:eastAsia="zh-CN"/>
              </w:rPr>
              <w:t>自合同签订之日起为期一年</w:t>
            </w:r>
          </w:p>
        </w:tc>
      </w:tr>
    </w:tbl>
    <w:p>
      <w:pPr>
        <w:spacing w:line="500" w:lineRule="exact"/>
        <w:ind w:firstLine="436" w:firstLineChars="200"/>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00" w:lineRule="exact"/>
        <w:rPr>
          <w:rFonts w:ascii="宋体" w:hAnsi="宋体"/>
          <w:b/>
          <w:bCs/>
          <w:szCs w:val="21"/>
        </w:rPr>
      </w:pPr>
      <w:r>
        <w:rPr>
          <w:rFonts w:hint="eastAsia" w:ascii="宋体" w:hAnsi="宋体"/>
          <w:b/>
          <w:bCs/>
          <w:szCs w:val="21"/>
        </w:rPr>
        <w:t>备注：</w:t>
      </w:r>
    </w:p>
    <w:p>
      <w:pPr>
        <w:adjustRightInd w:val="0"/>
        <w:spacing w:line="360" w:lineRule="auto"/>
        <w:ind w:left="315" w:hanging="315" w:hangingChars="150"/>
        <w:rPr>
          <w:rFonts w:hint="eastAsia" w:ascii="宋体" w:hAnsi="宋体"/>
          <w:szCs w:val="21"/>
        </w:rPr>
      </w:pPr>
      <w:r>
        <w:rPr>
          <w:rFonts w:hint="eastAsia" w:ascii="宋体" w:hAnsi="宋体"/>
          <w:szCs w:val="21"/>
        </w:rPr>
        <w:t>1. 报价要求投标货币为人民币报价，报价应包括：人工费、管理费用、相关用具的使用费用、各项税费及合同实施过程中不可预见费等完成本招标内容所需的一切费用。</w:t>
      </w:r>
    </w:p>
    <w:p>
      <w:pPr>
        <w:spacing w:line="360" w:lineRule="auto"/>
        <w:ind w:left="315" w:hanging="315" w:hangingChars="150"/>
        <w:rPr>
          <w:rFonts w:hint="eastAsia" w:ascii="宋体" w:hAnsi="宋体"/>
          <w:szCs w:val="21"/>
        </w:rPr>
      </w:pPr>
      <w:r>
        <w:rPr>
          <w:rFonts w:hint="eastAsia" w:ascii="宋体" w:hAnsi="宋体"/>
          <w:szCs w:val="21"/>
        </w:rPr>
        <w:t>2. 此表除装订于投标文件中外，还应将此表复印一份置于开标信封中。</w:t>
      </w:r>
    </w:p>
    <w:p>
      <w:pPr>
        <w:numPr>
          <w:ilvl w:val="0"/>
          <w:numId w:val="26"/>
        </w:numPr>
        <w:spacing w:line="440" w:lineRule="exact"/>
        <w:rPr>
          <w:rFonts w:ascii="宋体" w:hAnsi="宋体"/>
          <w:spacing w:val="4"/>
        </w:rPr>
      </w:pPr>
      <w:r>
        <w:rPr>
          <w:rFonts w:ascii="宋体" w:hAnsi="宋体"/>
          <w:spacing w:val="4"/>
        </w:rPr>
        <w:br w:type="page"/>
      </w:r>
    </w:p>
    <w:p>
      <w:pPr>
        <w:numPr>
          <w:ilvl w:val="0"/>
          <w:numId w:val="26"/>
        </w:numPr>
        <w:spacing w:line="440" w:lineRule="exact"/>
        <w:rPr>
          <w:rFonts w:ascii="宋体" w:hAnsi="宋体"/>
          <w:spacing w:val="4"/>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hAnsi="宋体"/>
        </w:rPr>
      </w:pPr>
      <w:r>
        <w:rPr>
          <w:rFonts w:hint="eastAsia" w:ascii="宋体" w:hAnsi="宋体"/>
        </w:rPr>
        <w:t>本公司郑重声明，根据《政府采购促进中小企业发展暂行办法》（财库[2011]181号）的规定，本公司为</w:t>
      </w:r>
      <w:r>
        <w:rPr>
          <w:rFonts w:hint="eastAsia" w:ascii="宋体" w:hAnsi="宋体"/>
          <w:u w:val="single"/>
        </w:rPr>
        <w:t xml:space="preserve">         </w:t>
      </w:r>
      <w:r>
        <w:rPr>
          <w:rFonts w:hint="eastAsia" w:ascii="宋体" w:hAnsi="宋体"/>
        </w:rPr>
        <w:t>（请填写：中型、小型、微型）企业。即，本公司同时满足以下条件：</w:t>
      </w:r>
    </w:p>
    <w:p>
      <w:pPr>
        <w:numPr>
          <w:ilvl w:val="0"/>
          <w:numId w:val="29"/>
        </w:numPr>
        <w:adjustRightInd w:val="0"/>
        <w:snapToGrid w:val="0"/>
        <w:spacing w:line="360" w:lineRule="auto"/>
        <w:rPr>
          <w:rFonts w:ascii="宋体" w:hAnsi="宋体"/>
        </w:rPr>
      </w:pPr>
      <w:r>
        <w:rPr>
          <w:rFonts w:hint="eastAsia" w:ascii="宋体" w:hAnsi="宋体"/>
        </w:rPr>
        <w:t>根据《工业和信息化部、国家统计局、国家发展和改革委员会、财政部关于印发中小企业划型标准规定的通知》（工信部联企业[2011]300号）规定的划分标准，本公司为</w:t>
      </w:r>
      <w:r>
        <w:rPr>
          <w:rFonts w:hint="eastAsia" w:ascii="宋体" w:hAnsi="宋体"/>
          <w:u w:val="single"/>
        </w:rPr>
        <w:t xml:space="preserve">             </w:t>
      </w:r>
      <w:r>
        <w:rPr>
          <w:rFonts w:hint="eastAsia" w:ascii="宋体" w:hAnsi="宋体"/>
        </w:rPr>
        <w:t>（请填写：中型、小型、微型）企业。</w:t>
      </w:r>
    </w:p>
    <w:p>
      <w:pPr>
        <w:numPr>
          <w:ilvl w:val="0"/>
          <w:numId w:val="29"/>
        </w:numPr>
        <w:adjustRightInd w:val="0"/>
        <w:snapToGrid w:val="0"/>
        <w:spacing w:line="360" w:lineRule="auto"/>
        <w:rPr>
          <w:rFonts w:ascii="宋体" w:hAnsi="宋体"/>
        </w:rPr>
      </w:pPr>
      <w:r>
        <w:rPr>
          <w:rFonts w:hint="eastAsia" w:ascii="宋体" w:hAnsi="宋体"/>
        </w:rPr>
        <w:t>本公司参加</w:t>
      </w:r>
      <w:r>
        <w:rPr>
          <w:rFonts w:hint="eastAsia" w:ascii="宋体" w:hAnsi="宋体"/>
          <w:u w:val="single"/>
        </w:rPr>
        <w:t xml:space="preserve">     (采购人单位名称)    </w:t>
      </w:r>
      <w:r>
        <w:rPr>
          <w:rFonts w:hint="eastAsia" w:ascii="宋体" w:hAnsi="宋体"/>
        </w:rPr>
        <w:t>的</w:t>
      </w:r>
      <w:r>
        <w:rPr>
          <w:rFonts w:hint="eastAsia" w:ascii="宋体" w:hAnsi="宋体"/>
          <w:u w:val="single"/>
        </w:rPr>
        <w:t xml:space="preserve">   (项目名称) </w:t>
      </w:r>
      <w:r>
        <w:rPr>
          <w:rFonts w:hint="eastAsia" w:ascii="宋体" w:hAnsi="宋体"/>
        </w:rPr>
        <w:t>采购活动提供本企业制造的货物，由本企业承担工程、提供服务，或者提供其他</w:t>
      </w:r>
      <w:r>
        <w:rPr>
          <w:rFonts w:hint="eastAsia" w:ascii="宋体" w:hAnsi="宋体"/>
          <w:u w:val="single"/>
        </w:rPr>
        <w:t xml:space="preserve">           </w:t>
      </w:r>
      <w:r>
        <w:rPr>
          <w:rFonts w:hint="eastAsia" w:ascii="宋体" w:hAnsi="宋体"/>
        </w:rPr>
        <w:t>（请填写：中型、小型、微型）企业制造的货物。本条所称货物不包括使用大型企业注册商标的货物。</w:t>
      </w:r>
    </w:p>
    <w:p>
      <w:pPr>
        <w:adjustRightInd w:val="0"/>
        <w:snapToGrid w:val="0"/>
        <w:spacing w:line="360" w:lineRule="auto"/>
        <w:ind w:left="420"/>
        <w:rPr>
          <w:rFonts w:ascii="宋体" w:hAns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hAnsi="宋体"/>
        </w:rPr>
      </w:pPr>
      <w:r>
        <w:rPr>
          <w:rFonts w:hint="eastAsia" w:ascii="宋体" w:hAnsi="宋体"/>
        </w:rPr>
        <w:t xml:space="preserve">                            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hAnsi="宋体"/>
        </w:rPr>
      </w:pPr>
      <w:r>
        <w:rPr>
          <w:rFonts w:hint="eastAsia" w:ascii="宋体" w:hAnsi="宋体"/>
        </w:rPr>
        <w:t xml:space="preserve">                         日 期：  年   月  日</w:t>
      </w:r>
    </w:p>
    <w:p>
      <w:pPr>
        <w:adjustRightInd w:val="0"/>
        <w:snapToGrid w:val="0"/>
        <w:spacing w:line="360" w:lineRule="auto"/>
        <w:ind w:left="315" w:leftChars="150"/>
        <w:rPr>
          <w:rFonts w:ascii="宋体" w:hAnsi="宋体"/>
          <w:szCs w:val="21"/>
          <w:lang w:val="en-GB"/>
        </w:rPr>
      </w:pPr>
      <w:bookmarkStart w:id="51" w:name="_Toc435515316"/>
      <w:bookmarkStart w:id="52" w:name="_Toc435514876"/>
      <w:r>
        <w:rPr>
          <w:rFonts w:hint="eastAsia" w:ascii="宋体" w:hAnsi="宋体"/>
          <w:szCs w:val="21"/>
          <w:lang w:val="en-GB"/>
        </w:rPr>
        <w:t>备注：</w:t>
      </w:r>
    </w:p>
    <w:p>
      <w:pPr>
        <w:numPr>
          <w:ilvl w:val="0"/>
          <w:numId w:val="30"/>
        </w:numPr>
        <w:adjustRightInd w:val="0"/>
        <w:snapToGrid w:val="0"/>
        <w:spacing w:line="360" w:lineRule="auto"/>
        <w:rPr>
          <w:rFonts w:ascii="宋体" w:hAnsi="宋体"/>
          <w:szCs w:val="21"/>
          <w:lang w:val="en-GB"/>
        </w:rPr>
      </w:pPr>
      <w:r>
        <w:rPr>
          <w:rFonts w:hint="eastAsia" w:ascii="宋体" w:hAnsi="宋体"/>
          <w:szCs w:val="21"/>
          <w:lang w:val="en-GB"/>
        </w:rPr>
        <w:t>本声明函对中小企业参与政府采购活动时适用。</w:t>
      </w:r>
    </w:p>
    <w:p>
      <w:pPr>
        <w:numPr>
          <w:ilvl w:val="0"/>
          <w:numId w:val="30"/>
        </w:numPr>
        <w:adjustRightInd w:val="0"/>
        <w:snapToGrid w:val="0"/>
        <w:spacing w:line="360" w:lineRule="auto"/>
        <w:rPr>
          <w:rFonts w:ascii="宋体" w:hAnsi="宋体"/>
          <w:szCs w:val="21"/>
          <w:lang w:val="en-GB"/>
        </w:rPr>
      </w:pPr>
      <w:r>
        <w:rPr>
          <w:rFonts w:hint="eastAsia" w:ascii="宋体" w:hAnsi="宋体"/>
          <w:szCs w:val="21"/>
          <w:lang w:val="en-GB"/>
        </w:rPr>
        <w:t>如果投标人不是中小企业的，可不提供该中小企业声明函。</w:t>
      </w:r>
      <w:bookmarkEnd w:id="51"/>
      <w:bookmarkEnd w:id="52"/>
    </w:p>
    <w:p>
      <w:pPr>
        <w:spacing w:line="440" w:lineRule="exact"/>
        <w:rPr>
          <w:rFonts w:ascii="宋体" w:hAnsi="宋体"/>
        </w:rPr>
      </w:pPr>
      <w:r>
        <w:rPr>
          <w:rFonts w:ascii="宋体" w:hAnsi="宋体"/>
        </w:rPr>
        <w:br w:type="page"/>
      </w:r>
    </w:p>
    <w:p>
      <w:pPr>
        <w:numPr>
          <w:ilvl w:val="0"/>
          <w:numId w:val="26"/>
        </w:numPr>
        <w:spacing w:line="440" w:lineRule="exact"/>
        <w:rPr>
          <w:rFonts w:ascii="宋体" w:hAnsi="宋体"/>
          <w:b/>
          <w:sz w:val="28"/>
          <w:szCs w:val="28"/>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GZBC18FG05008</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31"/>
              </w:numPr>
              <w:spacing w:line="400" w:lineRule="exact"/>
              <w:jc w:val="center"/>
              <w:rPr>
                <w:rFonts w:ascii="宋体" w:hAnsi="宋体"/>
                <w:szCs w:val="21"/>
              </w:rPr>
            </w:pPr>
          </w:p>
        </w:tc>
        <w:tc>
          <w:tcPr>
            <w:tcW w:w="3599" w:type="dxa"/>
            <w:tcBorders>
              <w:top w:val="double" w:color="auto" w:sz="4" w:space="0"/>
            </w:tcBorders>
            <w:vAlign w:val="center"/>
          </w:tcPr>
          <w:p>
            <w:pPr>
              <w:widowControl/>
              <w:numPr>
                <w:numId w:val="0"/>
              </w:numPr>
              <w:spacing w:line="360" w:lineRule="auto"/>
              <w:jc w:val="left"/>
              <w:rPr>
                <w:rFonts w:ascii="宋体" w:hAnsi="宋体"/>
              </w:rPr>
            </w:pPr>
            <w:r>
              <w:rPr>
                <w:rFonts w:hint="eastAsia" w:asciiTheme="minorEastAsia" w:hAnsiTheme="minorEastAsia" w:eastAsiaTheme="minorEastAsia" w:cstheme="minorEastAsia"/>
                <w:kern w:val="0"/>
                <w:sz w:val="21"/>
                <w:szCs w:val="21"/>
              </w:rPr>
              <w:t>项目概况</w:t>
            </w:r>
          </w:p>
        </w:tc>
        <w:tc>
          <w:tcPr>
            <w:tcW w:w="1897" w:type="dxa"/>
            <w:tcBorders>
              <w:top w:val="double" w:color="auto" w:sz="4" w:space="0"/>
            </w:tcBorders>
            <w:vAlign w:val="center"/>
          </w:tcPr>
          <w:p>
            <w:pPr>
              <w:jc w:val="center"/>
              <w:rPr>
                <w:rFonts w:ascii="宋体" w:hAnsi="宋体"/>
              </w:rPr>
            </w:pPr>
          </w:p>
        </w:tc>
        <w:tc>
          <w:tcPr>
            <w:tcW w:w="2196" w:type="dxa"/>
            <w:tcBorders>
              <w:top w:val="double" w:color="auto" w:sz="4" w:space="0"/>
              <w:right w:val="single" w:color="auto" w:sz="2" w:space="0"/>
            </w:tcBorders>
            <w:vAlign w:val="center"/>
          </w:tcPr>
          <w:p>
            <w:pPr>
              <w:jc w:val="center"/>
              <w:rPr>
                <w:rFonts w:ascii="宋体" w:hAnsi="宋体"/>
              </w:rPr>
            </w:pPr>
          </w:p>
        </w:tc>
        <w:tc>
          <w:tcPr>
            <w:tcW w:w="1639"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rPr>
                <w:rFonts w:ascii="宋体" w:hAnsi="宋体"/>
              </w:rPr>
            </w:pPr>
            <w:r>
              <w:rPr>
                <w:rFonts w:hint="eastAsia" w:asciiTheme="minorEastAsia" w:hAnsiTheme="minorEastAsia" w:eastAsiaTheme="minorEastAsia" w:cstheme="minorEastAsia"/>
                <w:kern w:val="0"/>
                <w:sz w:val="21"/>
                <w:szCs w:val="21"/>
              </w:rPr>
              <w:t>总体要求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rPr>
                <w:rFonts w:hint="eastAsia" w:ascii="宋体" w:hAnsi="宋体"/>
                <w:b/>
                <w:bCs/>
                <w:sz w:val="21"/>
                <w:szCs w:val="21"/>
                <w:lang w:eastAsia="zh-CN"/>
              </w:rPr>
            </w:pPr>
            <w:r>
              <w:rPr>
                <w:rFonts w:hint="eastAsia" w:asciiTheme="minorEastAsia" w:hAnsiTheme="minorEastAsia" w:eastAsiaTheme="minorEastAsia" w:cstheme="minorEastAsia"/>
                <w:kern w:val="0"/>
                <w:sz w:val="21"/>
                <w:szCs w:val="21"/>
              </w:rPr>
              <w:t>保安服务内容及要求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rPr>
                <w:rFonts w:ascii="宋体" w:hAnsi="宋体"/>
              </w:rPr>
            </w:pPr>
            <w:r>
              <w:rPr>
                <w:rFonts w:hint="eastAsia" w:asciiTheme="minorEastAsia" w:hAnsiTheme="minorEastAsia" w:eastAsiaTheme="minorEastAsia" w:cstheme="minorEastAsia"/>
                <w:kern w:val="0"/>
                <w:sz w:val="21"/>
                <w:szCs w:val="21"/>
              </w:rPr>
              <w:t>人员配置</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widowControl/>
              <w:numPr>
                <w:numId w:val="0"/>
              </w:numPr>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服务费内容</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bCs/>
                <w:sz w:val="21"/>
                <w:szCs w:val="21"/>
              </w:rPr>
              <w:t>服务质量监控</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质量检查与处罚</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sz w:val="21"/>
                <w:szCs w:val="21"/>
              </w:rPr>
              <w:t>其他要求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付款方式</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sz w:val="21"/>
                <w:szCs w:val="21"/>
              </w:rPr>
              <w:t>履约保证金</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6"/>
        </w:numPr>
        <w:spacing w:line="440" w:lineRule="exact"/>
        <w:rPr>
          <w:rFonts w:ascii="宋体" w:hAnsi="宋体"/>
          <w:bCs/>
          <w:sz w:val="28"/>
        </w:rPr>
      </w:pPr>
    </w:p>
    <w:p>
      <w:pPr>
        <w:adjustRightInd w:val="0"/>
        <w:snapToGrid w:val="0"/>
        <w:spacing w:afterLines="50"/>
        <w:jc w:val="center"/>
        <w:outlineLvl w:val="2"/>
        <w:rPr>
          <w:rFonts w:ascii="宋体" w:hAnsi="宋体"/>
          <w:b/>
          <w:sz w:val="28"/>
          <w:szCs w:val="28"/>
        </w:rPr>
      </w:pPr>
      <w:bookmarkStart w:id="53" w:name="_Toc275865614"/>
      <w:r>
        <w:rPr>
          <w:rFonts w:hint="eastAsia" w:ascii="宋体" w:hAnsi="宋体"/>
          <w:b/>
          <w:sz w:val="28"/>
          <w:szCs w:val="28"/>
        </w:rPr>
        <w:t>投标服务方案</w:t>
      </w:r>
      <w:bookmarkEnd w:id="53"/>
    </w:p>
    <w:p>
      <w:pPr>
        <w:spacing w:line="360" w:lineRule="auto"/>
        <w:rPr>
          <w:rFonts w:ascii="宋体" w:hAnsi="宋体"/>
          <w:b/>
          <w:bCs/>
          <w:u w:val="single"/>
        </w:rPr>
      </w:pPr>
      <w:r>
        <w:rPr>
          <w:rFonts w:hint="eastAsia" w:ascii="宋体" w:hAnsi="宋体"/>
        </w:rPr>
        <w:t>项目编号：</w:t>
      </w:r>
      <w:r>
        <w:rPr>
          <w:rFonts w:hint="eastAsia" w:ascii="宋体" w:hAnsi="宋体"/>
          <w:lang w:eastAsia="zh-CN"/>
        </w:rPr>
        <w:t>GZBC18FG05008</w:t>
      </w:r>
      <w:r>
        <w:rPr>
          <w:rFonts w:hint="eastAsia" w:ascii="宋体" w:hAnsi="宋体"/>
        </w:rPr>
        <w:t xml:space="preserve">                                   </w:t>
      </w:r>
    </w:p>
    <w:p>
      <w:pPr>
        <w:adjustRightInd w:val="0"/>
        <w:snapToGrid w:val="0"/>
        <w:spacing w:line="360" w:lineRule="auto"/>
        <w:rPr>
          <w:rFonts w:hint="eastAsia" w:ascii="宋体" w:hAnsi="宋体"/>
          <w:b/>
        </w:rPr>
      </w:pPr>
      <w:r>
        <w:rPr>
          <w:rFonts w:hint="eastAsia" w:ascii="宋体" w:hAnsi="宋体"/>
          <w:b/>
        </w:rPr>
        <w:t>主要内容应包括但不限于以下内容（格式自定）：</w:t>
      </w:r>
    </w:p>
    <w:p>
      <w:pPr>
        <w:numPr>
          <w:ilvl w:val="0"/>
          <w:numId w:val="32"/>
        </w:numPr>
        <w:adjustRightInd w:val="0"/>
        <w:snapToGrid w:val="0"/>
        <w:spacing w:line="360" w:lineRule="auto"/>
        <w:rPr>
          <w:rFonts w:hint="eastAsia" w:ascii="宋体" w:hAnsi="宋体" w:eastAsia="宋体"/>
          <w:b/>
          <w:lang w:val="en-US" w:eastAsia="zh-CN"/>
        </w:rPr>
      </w:pPr>
      <w:r>
        <w:rPr>
          <w:rFonts w:hint="eastAsia" w:asciiTheme="minorEastAsia" w:hAnsiTheme="minorEastAsia" w:eastAsiaTheme="minorEastAsia" w:cstheme="minorEastAsia"/>
          <w:color w:val="auto"/>
          <w:kern w:val="2"/>
          <w:sz w:val="21"/>
          <w:szCs w:val="21"/>
          <w:highlight w:val="none"/>
          <w:rtl w:val="0"/>
          <w:lang w:val="en-US" w:eastAsia="zh-CN" w:bidi="ar-SA"/>
        </w:rPr>
        <w:t>对采购人需求的响应程度（投标服务方案）</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numPr>
          <w:ilvl w:val="0"/>
          <w:numId w:val="32"/>
        </w:numPr>
        <w:adjustRightInd w:val="0"/>
        <w:snapToGrid w:val="0"/>
        <w:spacing w:line="360" w:lineRule="auto"/>
        <w:ind w:left="0" w:leftChars="0" w:firstLine="0" w:firstLineChars="0"/>
        <w:rPr>
          <w:rFonts w:hint="eastAsia" w:ascii="宋体" w:hAnsi="宋体" w:eastAsia="宋体"/>
          <w:b/>
          <w:lang w:val="en-US" w:eastAsia="zh-CN"/>
        </w:rPr>
      </w:pPr>
      <w:r>
        <w:rPr>
          <w:rFonts w:hint="eastAsia" w:asciiTheme="minorEastAsia" w:hAnsiTheme="minorEastAsia" w:eastAsiaTheme="minorEastAsia" w:cstheme="minorEastAsia"/>
          <w:color w:val="auto"/>
          <w:kern w:val="2"/>
          <w:sz w:val="21"/>
          <w:szCs w:val="21"/>
          <w:highlight w:val="none"/>
          <w:rtl w:val="0"/>
          <w:lang w:val="en-US" w:eastAsia="zh-CN" w:bidi="ar-SA"/>
        </w:rPr>
        <w:t>服务工作目标及管理方案</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numPr>
          <w:ilvl w:val="0"/>
          <w:numId w:val="32"/>
        </w:numPr>
        <w:adjustRightInd w:val="0"/>
        <w:snapToGrid w:val="0"/>
        <w:spacing w:line="360" w:lineRule="auto"/>
        <w:ind w:left="0" w:leftChars="0" w:firstLine="0" w:firstLineChars="0"/>
        <w:rPr>
          <w:rFonts w:hint="eastAsia" w:ascii="宋体" w:hAnsi="宋体" w:eastAsia="宋体"/>
          <w:b/>
          <w:lang w:val="en-US" w:eastAsia="zh-CN"/>
        </w:rPr>
      </w:pPr>
      <w:r>
        <w:rPr>
          <w:rFonts w:hint="eastAsia" w:asciiTheme="minorEastAsia" w:hAnsiTheme="minorEastAsia" w:eastAsiaTheme="minorEastAsia" w:cstheme="minorEastAsia"/>
          <w:color w:val="auto"/>
          <w:kern w:val="2"/>
          <w:sz w:val="21"/>
          <w:szCs w:val="21"/>
          <w:highlight w:val="none"/>
          <w:rtl w:val="0"/>
          <w:lang w:val="en-US" w:eastAsia="zh-CN" w:bidi="ar-SA"/>
        </w:rPr>
        <w:t>机构设立、运作流程、管理计划</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numPr>
          <w:ilvl w:val="0"/>
          <w:numId w:val="32"/>
        </w:numPr>
        <w:adjustRightInd w:val="0"/>
        <w:snapToGrid w:val="0"/>
        <w:spacing w:line="360" w:lineRule="auto"/>
        <w:ind w:left="0" w:leftChars="0" w:firstLine="0" w:firstLineChars="0"/>
        <w:rPr>
          <w:rFonts w:hint="eastAsia" w:ascii="宋体" w:hAnsi="宋体" w:eastAsia="宋体"/>
          <w:b/>
          <w:lang w:val="en-US" w:eastAsia="zh-CN"/>
        </w:rPr>
      </w:pPr>
      <w:r>
        <w:rPr>
          <w:rFonts w:hint="eastAsia" w:asciiTheme="minorEastAsia" w:hAnsiTheme="minorEastAsia" w:eastAsiaTheme="minorEastAsia" w:cstheme="minorEastAsia"/>
          <w:color w:val="auto"/>
          <w:kern w:val="2"/>
          <w:sz w:val="21"/>
          <w:szCs w:val="21"/>
          <w:highlight w:val="none"/>
          <w:rtl w:val="0"/>
          <w:lang w:val="en-US" w:eastAsia="zh-CN" w:bidi="ar-SA"/>
        </w:rPr>
        <w:t>工作人员培训及管理力量</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adjustRightInd w:val="0"/>
        <w:snapToGrid w:val="0"/>
        <w:spacing w:line="360" w:lineRule="auto"/>
        <w:rPr>
          <w:rFonts w:hint="eastAsia" w:ascii="宋体" w:hAnsi="宋体"/>
          <w:b/>
        </w:rPr>
      </w:pPr>
    </w:p>
    <w:p>
      <w:pPr>
        <w:adjustRightInd w:val="0"/>
        <w:snapToGrid w:val="0"/>
        <w:spacing w:line="360" w:lineRule="auto"/>
        <w:rPr>
          <w:rFonts w:hint="eastAsia" w:ascii="宋体" w:hAnsi="宋体"/>
          <w:b/>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adjustRightInd w:val="0"/>
        <w:snapToGrid w:val="0"/>
        <w:spacing w:line="360" w:lineRule="auto"/>
        <w:rPr>
          <w:rFonts w:ascii="宋体" w:hAnsi="宋体"/>
          <w:spacing w:val="4"/>
          <w:u w:val="single"/>
        </w:rPr>
      </w:pPr>
    </w:p>
    <w:p>
      <w:pPr>
        <w:spacing w:line="440" w:lineRule="exact"/>
        <w:rPr>
          <w:rFonts w:ascii="宋体" w:hAnsi="宋体"/>
        </w:rPr>
      </w:pPr>
      <w:r>
        <w:rPr>
          <w:rFonts w:ascii="宋体" w:hAnsi="宋体"/>
        </w:rPr>
        <w:br w:type="page"/>
      </w:r>
    </w:p>
    <w:p>
      <w:pPr>
        <w:numPr>
          <w:ilvl w:val="0"/>
          <w:numId w:val="26"/>
        </w:numPr>
        <w:spacing w:line="440" w:lineRule="exact"/>
        <w:rPr>
          <w:rFonts w:ascii="宋体" w:hAnsi="宋体"/>
          <w:bCs/>
          <w:sz w:val="28"/>
        </w:rPr>
      </w:pPr>
    </w:p>
    <w:p>
      <w:pPr>
        <w:jc w:val="center"/>
        <w:outlineLvl w:val="2"/>
        <w:rPr>
          <w:rFonts w:ascii="宋体" w:hAnsi="宋体"/>
          <w:b/>
          <w:sz w:val="28"/>
          <w:szCs w:val="28"/>
        </w:rPr>
      </w:pPr>
      <w:bookmarkStart w:id="54" w:name="_Toc275865616"/>
      <w:bookmarkStart w:id="55" w:name="_Toc173553182"/>
      <w:r>
        <w:rPr>
          <w:rFonts w:hint="eastAsia" w:ascii="宋体" w:hAnsi="宋体"/>
          <w:b/>
          <w:sz w:val="28"/>
          <w:szCs w:val="28"/>
        </w:rPr>
        <w:t>投标人基本情况表</w:t>
      </w:r>
      <w:bookmarkEnd w:id="54"/>
      <w:bookmarkEnd w:id="55"/>
    </w:p>
    <w:p>
      <w:pPr>
        <w:numPr>
          <w:ilvl w:val="0"/>
          <w:numId w:val="33"/>
        </w:numPr>
        <w:spacing w:line="360" w:lineRule="auto"/>
        <w:rPr>
          <w:rFonts w:ascii="宋体" w:hAnsi="宋体" w:cs="Arial"/>
          <w:szCs w:val="21"/>
        </w:rPr>
      </w:pPr>
      <w:r>
        <w:rPr>
          <w:rFonts w:ascii="宋体" w:hAnsi="宋体" w:cs="Arial"/>
          <w:szCs w:val="21"/>
        </w:rPr>
        <w:t>公司基本情况</w:t>
      </w:r>
    </w:p>
    <w:p>
      <w:pPr>
        <w:numPr>
          <w:ilvl w:val="1"/>
          <w:numId w:val="33"/>
        </w:numPr>
        <w:tabs>
          <w:tab w:val="left" w:pos="420"/>
          <w:tab w:val="clear" w:pos="840"/>
        </w:tabs>
        <w:spacing w:line="360" w:lineRule="auto"/>
        <w:ind w:left="420"/>
        <w:rPr>
          <w:rFonts w:ascii="宋体" w:hAnsi="宋体" w:cs="Arial"/>
          <w:szCs w:val="21"/>
        </w:rPr>
      </w:pPr>
      <w:r>
        <w:rPr>
          <w:rFonts w:ascii="宋体" w:hAnsi="宋体" w:cs="Arial"/>
          <w:szCs w:val="21"/>
        </w:rPr>
        <w:t>公司名称：</w:t>
      </w:r>
      <w:r>
        <w:rPr>
          <w:rFonts w:ascii="宋体" w:hAnsi="宋体" w:cs="Arial"/>
          <w:szCs w:val="21"/>
          <w:u w:val="single"/>
        </w:rPr>
        <w:t xml:space="preserve">                              </w:t>
      </w:r>
      <w:r>
        <w:rPr>
          <w:rFonts w:ascii="宋体" w:hAnsi="宋体" w:cs="Arial"/>
          <w:szCs w:val="21"/>
        </w:rPr>
        <w:t xml:space="preserve">  电话号码：</w:t>
      </w:r>
      <w:r>
        <w:rPr>
          <w:rFonts w:ascii="宋体" w:hAnsi="宋体" w:cs="Arial"/>
          <w:szCs w:val="21"/>
          <w:u w:val="single"/>
        </w:rPr>
        <w:t xml:space="preserve">          </w:t>
      </w:r>
      <w:r>
        <w:rPr>
          <w:rFonts w:ascii="宋体" w:hAnsi="宋体" w:cs="Arial"/>
          <w:szCs w:val="21"/>
        </w:rPr>
        <w:t xml:space="preserve">                  </w:t>
      </w:r>
    </w:p>
    <w:p>
      <w:pPr>
        <w:numPr>
          <w:ilvl w:val="1"/>
          <w:numId w:val="33"/>
        </w:numPr>
        <w:tabs>
          <w:tab w:val="left" w:pos="420"/>
          <w:tab w:val="clear" w:pos="840"/>
        </w:tabs>
        <w:spacing w:line="360" w:lineRule="auto"/>
        <w:ind w:left="420"/>
        <w:rPr>
          <w:rFonts w:ascii="宋体" w:hAnsi="宋体" w:cs="Arial"/>
          <w:szCs w:val="21"/>
        </w:rPr>
      </w:pPr>
      <w:r>
        <w:rPr>
          <w:rFonts w:ascii="宋体" w:hAnsi="宋体" w:cs="Arial"/>
          <w:szCs w:val="21"/>
        </w:rPr>
        <w:t>地    址：</w:t>
      </w:r>
      <w:r>
        <w:rPr>
          <w:rFonts w:ascii="宋体" w:hAnsi="宋体" w:cs="Arial"/>
          <w:szCs w:val="21"/>
          <w:u w:val="single"/>
        </w:rPr>
        <w:t xml:space="preserve">                              </w:t>
      </w:r>
      <w:r>
        <w:rPr>
          <w:rFonts w:ascii="宋体" w:hAnsi="宋体" w:cs="Arial"/>
          <w:szCs w:val="21"/>
        </w:rPr>
        <w:t xml:space="preserve">  传    真：</w:t>
      </w:r>
      <w:r>
        <w:rPr>
          <w:rFonts w:ascii="宋体" w:hAnsi="宋体" w:cs="Arial"/>
          <w:szCs w:val="21"/>
          <w:u w:val="single"/>
        </w:rPr>
        <w:t xml:space="preserve">           </w:t>
      </w:r>
      <w:r>
        <w:rPr>
          <w:rFonts w:ascii="宋体" w:hAnsi="宋体" w:cs="Arial"/>
          <w:szCs w:val="21"/>
        </w:rPr>
        <w:t xml:space="preserve">                  </w:t>
      </w:r>
    </w:p>
    <w:p>
      <w:pPr>
        <w:numPr>
          <w:ilvl w:val="1"/>
          <w:numId w:val="33"/>
        </w:numPr>
        <w:tabs>
          <w:tab w:val="left" w:pos="420"/>
          <w:tab w:val="clear" w:pos="840"/>
        </w:tabs>
        <w:spacing w:line="360" w:lineRule="auto"/>
        <w:ind w:left="420"/>
        <w:rPr>
          <w:rFonts w:ascii="宋体" w:hAnsi="宋体" w:cs="Arial"/>
          <w:szCs w:val="21"/>
          <w:u w:val="single"/>
        </w:rPr>
      </w:pPr>
      <w:r>
        <w:rPr>
          <w:rFonts w:ascii="宋体" w:hAnsi="宋体" w:cs="Arial"/>
          <w:szCs w:val="21"/>
        </w:rPr>
        <w:t>注册资金：</w:t>
      </w:r>
      <w:r>
        <w:rPr>
          <w:rFonts w:ascii="宋体" w:hAnsi="宋体" w:cs="Arial"/>
          <w:szCs w:val="21"/>
          <w:u w:val="single"/>
        </w:rPr>
        <w:t xml:space="preserve">                              </w:t>
      </w:r>
      <w:r>
        <w:rPr>
          <w:rFonts w:ascii="宋体" w:hAnsi="宋体" w:cs="Arial"/>
          <w:szCs w:val="21"/>
        </w:rPr>
        <w:t xml:space="preserve">  经济性质：</w:t>
      </w:r>
      <w:r>
        <w:rPr>
          <w:rFonts w:ascii="宋体" w:hAnsi="宋体" w:cs="Arial"/>
          <w:szCs w:val="21"/>
          <w:u w:val="single"/>
        </w:rPr>
        <w:t xml:space="preserve">          </w:t>
      </w:r>
    </w:p>
    <w:p>
      <w:pPr>
        <w:numPr>
          <w:ilvl w:val="1"/>
          <w:numId w:val="33"/>
        </w:numPr>
        <w:tabs>
          <w:tab w:val="left" w:pos="420"/>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33"/>
        </w:numPr>
        <w:tabs>
          <w:tab w:val="left" w:pos="420"/>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33"/>
        </w:numPr>
        <w:tabs>
          <w:tab w:val="left" w:pos="420"/>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33"/>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33"/>
        </w:numPr>
        <w:spacing w:line="360" w:lineRule="auto"/>
        <w:rPr>
          <w:rFonts w:ascii="宋体" w:hAns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hAnsi="宋体" w:cs="Arial"/>
          <w:szCs w:val="21"/>
        </w:rPr>
      </w:pPr>
      <w:bookmarkStart w:id="56"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56"/>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26"/>
        </w:numPr>
        <w:spacing w:line="440" w:lineRule="exact"/>
        <w:rPr>
          <w:rFonts w:ascii="宋体" w:hAnsi="宋体"/>
          <w:bCs/>
        </w:rPr>
      </w:pPr>
    </w:p>
    <w:p>
      <w:pPr>
        <w:jc w:val="center"/>
        <w:outlineLvl w:val="2"/>
        <w:rPr>
          <w:rFonts w:ascii="宋体" w:hAnsi="宋体"/>
          <w:b/>
          <w:sz w:val="28"/>
          <w:szCs w:val="28"/>
        </w:rPr>
      </w:pPr>
      <w:bookmarkStart w:id="57" w:name="_Toc52165085"/>
      <w:bookmarkStart w:id="58" w:name="_Toc50691044"/>
      <w:bookmarkStart w:id="59" w:name="_Toc50737333"/>
      <w:bookmarkStart w:id="60" w:name="_Toc50737301"/>
      <w:bookmarkStart w:id="61" w:name="_Toc275865617"/>
      <w:bookmarkStart w:id="62" w:name="_Toc50736481"/>
      <w:r>
        <w:rPr>
          <w:rFonts w:hint="eastAsia" w:ascii="宋体" w:hAnsi="宋体"/>
          <w:b/>
          <w:sz w:val="28"/>
          <w:szCs w:val="28"/>
        </w:rPr>
        <w:t>合同经验情况一览表</w:t>
      </w:r>
      <w:bookmarkEnd w:id="57"/>
      <w:bookmarkEnd w:id="58"/>
      <w:bookmarkEnd w:id="59"/>
      <w:bookmarkEnd w:id="60"/>
      <w:bookmarkEnd w:id="61"/>
      <w:bookmarkEnd w:id="62"/>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GZBC18FG05008</w:t>
      </w:r>
      <w:r>
        <w:rPr>
          <w:rFonts w:hint="eastAsia" w:ascii="宋体" w:hAnsi="宋体"/>
        </w:rPr>
        <w:t xml:space="preserve">                                   </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34"/>
              </w:numPr>
              <w:jc w:val="center"/>
              <w:rPr>
                <w:rFonts w:ascii="宋体" w:hAnsi="宋体"/>
              </w:rPr>
            </w:pP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rPr>
                <w:rFonts w:ascii="宋体" w:hAnsi="宋体"/>
              </w:rPr>
            </w:pPr>
            <w:r>
              <w:rPr>
                <w:rFonts w:ascii="宋体" w:hAnsi="宋体"/>
              </w:rPr>
              <w:t>…</w:t>
            </w: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ind w:left="425"/>
        <w:jc w:val="center"/>
        <w:outlineLvl w:val="2"/>
        <w:rPr>
          <w:rFonts w:ascii="宋体" w:hAnsi="宋体"/>
          <w:b/>
          <w:sz w:val="28"/>
          <w:szCs w:val="28"/>
        </w:rPr>
      </w:pPr>
    </w:p>
    <w:p>
      <w:pPr>
        <w:ind w:left="425"/>
        <w:jc w:val="center"/>
        <w:outlineLvl w:val="2"/>
        <w:rPr>
          <w:rFonts w:ascii="宋体" w:hAnsi="宋体"/>
          <w:b/>
          <w:sz w:val="28"/>
          <w:szCs w:val="28"/>
        </w:rPr>
      </w:pPr>
    </w:p>
    <w:p>
      <w:pPr>
        <w:numPr>
          <w:ilvl w:val="0"/>
          <w:numId w:val="26"/>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拟投入本项目的团队人员情况</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GZBC18FG05008</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21"/>
              <w:keepNext w:val="0"/>
              <w:snapToGrid w:val="0"/>
              <w:spacing w:before="0" w:after="0" w:line="240" w:lineRule="auto"/>
              <w:ind w:left="-84" w:leftChars="-40" w:right="-107" w:rightChars="-51"/>
              <w:textAlignment w:val="auto"/>
              <w:rPr>
                <w:rFonts w:ascii="宋体" w:hAnsi="宋体"/>
                <w:snapToGrid/>
                <w:spacing w:val="0"/>
                <w:kern w:val="2"/>
                <w:sz w:val="21"/>
                <w:szCs w:val="24"/>
              </w:rPr>
            </w:pPr>
            <w:r>
              <w:rPr>
                <w:rFonts w:hint="eastAsia" w:ascii="宋体" w:hAnsi="宋体"/>
                <w:snapToGrid/>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5"/>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5"/>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5"/>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5"/>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rPr>
                <w:rFonts w:ascii="宋体" w:hAnsi="宋体"/>
              </w:rPr>
            </w:pPr>
            <w:r>
              <w:rPr>
                <w:rFonts w:hint="eastAsia" w:ascii="宋体" w:hAnsi="宋体"/>
              </w:rPr>
              <w:t>...</w:t>
            </w: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6"/>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rPr>
          <w:rFonts w:ascii="宋体" w:hAnsi="宋体"/>
          <w:b/>
        </w:rPr>
      </w:pPr>
      <w:r>
        <w:rPr>
          <w:rFonts w:hint="eastAsia" w:ascii="宋体" w:hAnsi="宋体"/>
          <w:b/>
          <w:lang w:eastAsia="zh-CN"/>
        </w:rPr>
        <w:t>广州市番禺区市桥建设开发公司</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GZBC18FG05008</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w:t>
      </w:r>
      <w:r>
        <w:rPr>
          <w:rFonts w:hint="eastAsia" w:ascii="宋体" w:hAnsi="宋体" w:cs="宋体"/>
          <w:szCs w:val="21"/>
          <w:lang w:eastAsia="zh-CN"/>
        </w:rPr>
        <w:t>广州宝诚招标代理咨询有限公司</w:t>
      </w:r>
      <w:r>
        <w:rPr>
          <w:rFonts w:hint="eastAsia" w:ascii="宋体" w:hAnsi="宋体" w:cs="宋体"/>
          <w:szCs w:val="21"/>
        </w:rPr>
        <w:t>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r>
        <w:rPr>
          <w:rFonts w:hint="eastAsia" w:ascii="宋体" w:hAnsi="宋体"/>
          <w:u w:val="single"/>
        </w:rPr>
        <w:t xml:space="preserve">             </w:t>
      </w:r>
    </w:p>
    <w:p>
      <w:pPr>
        <w:adjustRightInd w:val="0"/>
        <w:snapToGrid w:val="0"/>
        <w:spacing w:line="520" w:lineRule="exact"/>
        <w:ind w:firstLine="3465" w:firstLineChars="1650"/>
        <w:rPr>
          <w:rFonts w:ascii="宋体" w:hAnsi="宋体"/>
        </w:rPr>
      </w:pPr>
      <w:r>
        <w:rPr>
          <w:rFonts w:hint="eastAsia" w:ascii="宋体" w:hAnsi="宋体"/>
        </w:rPr>
        <w:t>投标人地址：</w:t>
      </w:r>
      <w:r>
        <w:rPr>
          <w:rFonts w:hint="eastAsia" w:ascii="宋体" w:hAnsi="宋体"/>
          <w:u w:val="single"/>
        </w:rPr>
        <w:t xml:space="preserve">             </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r>
        <w:rPr>
          <w:rFonts w:hint="eastAsia" w:ascii="宋体" w:hAnsi="宋体"/>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1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hint="eastAsia" w:ascii="宋体" w:hAnsi="宋体" w:eastAsia="宋体"/>
                <w:szCs w:val="21"/>
                <w:lang w:eastAsia="zh-CN"/>
              </w:rPr>
            </w:pPr>
            <w:r>
              <w:rPr>
                <w:rFonts w:hint="eastAsia" w:ascii="宋体" w:hAnsi="宋体"/>
                <w:szCs w:val="21"/>
                <w:lang w:eastAsia="zh-CN"/>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color w:val="000000"/>
                <w:sz w:val="21"/>
                <w:szCs w:val="21"/>
              </w:rPr>
              <w:t>中国民生银行股份有限公司广州华南支行</w:t>
            </w:r>
            <w:r>
              <w:rPr>
                <w:rFonts w:ascii="宋体" w:hAnsi="宋体"/>
                <w:color w:val="000000"/>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color w:val="000000"/>
                <w:sz w:val="21"/>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26"/>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GZBC18FG05008</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单位名称</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szCs w:val="21"/>
              </w:rPr>
              <w:t>纳税人识别号</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地址</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账    号</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w:t>
      </w:r>
      <w:r>
        <w:rPr>
          <w:rFonts w:hint="eastAsia" w:ascii="宋体" w:hAnsi="宋体"/>
          <w:lang w:eastAsia="zh-CN"/>
        </w:rPr>
        <w:t>广州宝诚招标代理咨询有限公司</w:t>
      </w:r>
      <w:r>
        <w:rPr>
          <w:rFonts w:hint="eastAsia" w:ascii="宋体" w:hAnsi="宋体"/>
        </w:rPr>
        <w:t>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r>
        <w:rPr>
          <w:rFonts w:hint="eastAsia" w:ascii="宋体" w:hAnsi="宋体"/>
          <w:u w:val="single"/>
        </w:rPr>
        <w:t xml:space="preserve">             </w:t>
      </w:r>
    </w:p>
    <w:p>
      <w:pPr>
        <w:spacing w:line="360" w:lineRule="auto"/>
        <w:ind w:left="4725"/>
        <w:rPr>
          <w:rFonts w:ascii="宋体" w:hAnsi="宋体"/>
          <w:szCs w:val="21"/>
        </w:rPr>
      </w:pPr>
      <w:r>
        <w:rPr>
          <w:rFonts w:hint="eastAsia" w:ascii="宋体" w:hAnsi="宋体"/>
          <w:szCs w:val="21"/>
        </w:rPr>
        <w:t>投标人地址：</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szCs w:val="21"/>
        </w:rPr>
        <w:t>法定代表人或投标人授权代表（签署本人姓名或印盖本人姓名章）：</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u w:val="single"/>
        </w:rPr>
        <w:br w:type="page"/>
      </w:r>
    </w:p>
    <w:p>
      <w:pPr>
        <w:numPr>
          <w:ilvl w:val="0"/>
          <w:numId w:val="26"/>
        </w:numPr>
        <w:spacing w:line="440" w:lineRule="exact"/>
        <w:rPr>
          <w:rFonts w:ascii="宋体" w:hAnsi="宋体"/>
          <w:bCs/>
          <w:sz w:val="28"/>
        </w:rPr>
      </w:pPr>
      <w:bookmarkStart w:id="63" w:name="_Toc173553195"/>
      <w:bookmarkStart w:id="64" w:name="_Toc275865626"/>
    </w:p>
    <w:p>
      <w:pPr>
        <w:ind w:left="425"/>
        <w:jc w:val="center"/>
        <w:outlineLvl w:val="2"/>
        <w:rPr>
          <w:rFonts w:ascii="宋体" w:hAnsi="宋体"/>
          <w:b/>
          <w:sz w:val="28"/>
          <w:szCs w:val="28"/>
        </w:rPr>
      </w:pPr>
      <w:r>
        <w:rPr>
          <w:rFonts w:hint="eastAsia" w:ascii="宋体" w:hAnsi="宋体"/>
          <w:b/>
          <w:sz w:val="28"/>
          <w:szCs w:val="28"/>
        </w:rPr>
        <w:t>退投标保证金说明</w:t>
      </w:r>
      <w:bookmarkEnd w:id="63"/>
      <w:bookmarkEnd w:id="64"/>
    </w:p>
    <w:p>
      <w:pPr>
        <w:spacing w:line="360" w:lineRule="auto"/>
        <w:rPr>
          <w:rFonts w:ascii="宋体" w:hAnsi="宋体"/>
          <w:b/>
        </w:rPr>
      </w:pPr>
      <w:r>
        <w:rPr>
          <w:rFonts w:hint="eastAsia" w:ascii="宋体" w:hAnsi="宋体"/>
          <w:b/>
        </w:rPr>
        <w:t>特别提醒：</w:t>
      </w:r>
    </w:p>
    <w:p>
      <w:pPr>
        <w:spacing w:line="360" w:lineRule="auto"/>
        <w:ind w:firstLine="413" w:firstLineChars="196"/>
        <w:rPr>
          <w:rFonts w:ascii="宋体" w:hAns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hAnsi="宋体"/>
        </w:rPr>
      </w:pPr>
      <w:r>
        <w:rPr>
          <w:rFonts w:hint="eastAsia" w:ascii="宋体" w:hAnsi="宋体"/>
        </w:rPr>
        <w:t>我方为</w:t>
      </w:r>
      <w:r>
        <w:rPr>
          <w:rFonts w:hint="eastAsia" w:ascii="宋体" w:hAnsi="宋体"/>
          <w:u w:val="single"/>
          <w:lang w:eastAsia="zh-CN"/>
        </w:rPr>
        <w:t>市桥街北片联合执法队购买安保服务采购项目</w:t>
      </w:r>
      <w:r>
        <w:rPr>
          <w:rFonts w:hint="eastAsia" w:ascii="宋体" w:hAnsi="宋体"/>
        </w:rPr>
        <w:t>的投标（项目编号为：</w:t>
      </w:r>
      <w:r>
        <w:rPr>
          <w:rFonts w:hint="eastAsia" w:ascii="宋体" w:hAnsi="宋体"/>
          <w:lang w:eastAsia="zh-CN"/>
        </w:rPr>
        <w:t>GZBC18FG05008</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 xml:space="preserve">  （小写金额）  </w:t>
      </w:r>
      <w:r>
        <w:rPr>
          <w:rFonts w:hint="eastAsia" w:ascii="宋体" w:hAnsi="宋体"/>
        </w:rPr>
        <w:t>元，请划到以下账户：</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收款人名称</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收款人地址</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u w:val="single"/>
              </w:rPr>
              <w:t>（具体到XX银行XX支行）</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账    号</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bl>
    <w:p>
      <w:pPr>
        <w:spacing w:line="360" w:lineRule="auto"/>
        <w:ind w:firstLine="420" w:firstLineChars="200"/>
        <w:rPr>
          <w:rFonts w:ascii="宋体" w:hAnsi="宋体"/>
        </w:rPr>
      </w:pPr>
      <w:r>
        <w:rPr>
          <w:rFonts w:hint="eastAsia" w:ascii="宋体" w:hAnsi="宋体"/>
        </w:rPr>
        <w:t>备注：</w:t>
      </w:r>
      <w:r>
        <w:rPr>
          <w:rFonts w:ascii="宋体" w:hAnsi="宋体"/>
        </w:rPr>
        <w:t>此表须附在开标小信封中</w:t>
      </w:r>
      <w:r>
        <w:rPr>
          <w:rFonts w:hint="eastAsia" w:ascii="宋体" w:hAnsi="宋体"/>
        </w:rPr>
        <w:t>。当投标人收到中标通知书或招标结果通知书，申请退还投标保证金时，招标采购单位按其提供的“退投标保证金说明”，按规定退还投标人的投标保证金。</w:t>
      </w:r>
    </w:p>
    <w:p>
      <w:pPr>
        <w:rPr>
          <w:rFonts w:ascii="宋体" w:hAnsi="宋体"/>
          <w:u w:val="dash"/>
        </w:rPr>
      </w:pPr>
      <w:r>
        <w:rPr>
          <w:rFonts w:hint="eastAsia" w:ascii="宋体" w:hAnsi="宋体"/>
          <w:u w:val="dash"/>
        </w:rPr>
        <w:t xml:space="preserve">                                                                                       </w:t>
      </w:r>
    </w:p>
    <w:p>
      <w:pPr>
        <w:spacing w:line="360" w:lineRule="auto"/>
        <w:ind w:firstLine="413" w:firstLineChars="196"/>
        <w:rPr>
          <w:rFonts w:ascii="宋体" w:hAnsi="宋体"/>
          <w:b/>
        </w:rPr>
      </w:pPr>
      <w:r>
        <w:rPr>
          <w:rFonts w:hint="eastAsia" w:ascii="宋体" w:hAnsi="宋体"/>
          <w:b/>
        </w:rPr>
        <w:t>为及时退还投标人的投标保证金，若存在以下三种情形的，则按以下规定执行：</w:t>
      </w:r>
    </w:p>
    <w:p>
      <w:pPr>
        <w:pStyle w:val="17"/>
        <w:numPr>
          <w:ilvl w:val="0"/>
          <w:numId w:val="36"/>
        </w:numPr>
        <w:spacing w:line="360" w:lineRule="auto"/>
        <w:ind w:firstLineChars="0"/>
        <w:rPr>
          <w:rFonts w:ascii="宋体" w:hAnsi="宋体"/>
          <w:b/>
        </w:rPr>
      </w:pPr>
      <w:r>
        <w:rPr>
          <w:rFonts w:hint="eastAsia" w:ascii="宋体" w:hAnsi="宋体"/>
          <w:b/>
        </w:rPr>
        <w:t>单位名称变更</w:t>
      </w:r>
    </w:p>
    <w:p>
      <w:pPr>
        <w:pStyle w:val="17"/>
        <w:spacing w:line="360" w:lineRule="auto"/>
        <w:ind w:left="420" w:firstLine="0" w:firstLineChars="0"/>
        <w:rPr>
          <w:rFonts w:ascii="宋体" w:hAnsi="宋体"/>
        </w:rPr>
      </w:pPr>
      <w:r>
        <w:rPr>
          <w:rFonts w:hint="eastAsia" w:ascii="宋体" w:hAnsi="宋体"/>
        </w:rPr>
        <w:t>A. 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17"/>
        <w:spacing w:line="360" w:lineRule="auto"/>
        <w:ind w:left="420" w:firstLine="0" w:firstLineChars="0"/>
        <w:rPr>
          <w:rFonts w:ascii="宋体" w:hAnsi="宋体"/>
          <w:b/>
        </w:rPr>
      </w:pPr>
      <w:r>
        <w:rPr>
          <w:rFonts w:hint="eastAsia" w:ascii="宋体" w:hAnsi="宋体"/>
        </w:rPr>
        <w:t>B. 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17"/>
        <w:numPr>
          <w:ilvl w:val="0"/>
          <w:numId w:val="36"/>
        </w:numPr>
        <w:spacing w:line="360" w:lineRule="auto"/>
        <w:ind w:firstLineChars="0"/>
        <w:rPr>
          <w:rFonts w:ascii="宋体" w:hAnsi="宋体"/>
          <w:b/>
        </w:rPr>
      </w:pPr>
      <w:r>
        <w:rPr>
          <w:rFonts w:hint="eastAsia" w:ascii="宋体" w:hAnsi="宋体"/>
          <w:b/>
        </w:rPr>
        <w:t>收支两条线</w:t>
      </w:r>
    </w:p>
    <w:p>
      <w:pPr>
        <w:pStyle w:val="17"/>
        <w:spacing w:line="360" w:lineRule="auto"/>
        <w:ind w:left="462" w:firstLine="0" w:firstLineChars="0"/>
        <w:rPr>
          <w:rFonts w:ascii="宋体" w:hAns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17"/>
        <w:numPr>
          <w:ilvl w:val="0"/>
          <w:numId w:val="36"/>
        </w:numPr>
        <w:spacing w:line="360" w:lineRule="auto"/>
        <w:ind w:firstLineChars="0"/>
        <w:rPr>
          <w:rFonts w:ascii="宋体" w:hAnsi="宋体"/>
          <w:b/>
        </w:rPr>
      </w:pPr>
      <w:r>
        <w:rPr>
          <w:rFonts w:hint="eastAsia" w:ascii="宋体" w:hAnsi="宋体"/>
          <w:b/>
        </w:rPr>
        <w:t>标前确定不参加投标</w:t>
      </w:r>
    </w:p>
    <w:p>
      <w:pPr>
        <w:spacing w:line="360" w:lineRule="auto"/>
        <w:ind w:firstLine="420" w:firstLineChars="200"/>
        <w:rPr>
          <w:rFonts w:ascii="宋体" w:hAnsi="宋体"/>
        </w:rPr>
      </w:pPr>
      <w:r>
        <w:rPr>
          <w:rFonts w:ascii="宋体" w:hAnsi="宋体"/>
        </w:rPr>
        <w:t>若投标人已汇入投标保证金，但不参加投标时，请务必在项目开标前将该《退投标保证金说明》按规定填写完整盖章后，传真至</w:t>
      </w:r>
      <w:r>
        <w:rPr>
          <w:rFonts w:hint="eastAsia" w:ascii="宋体" w:hAnsi="宋体"/>
          <w:lang w:eastAsia="zh-CN"/>
        </w:rPr>
        <w:t>020-37887429</w:t>
      </w:r>
      <w:r>
        <w:rPr>
          <w:rFonts w:ascii="宋体" w:hAnsi="宋体"/>
        </w:rPr>
        <w:t>或扫描发至</w:t>
      </w:r>
      <w:r>
        <w:rPr>
          <w:rFonts w:hint="eastAsia" w:ascii="宋体" w:hAnsi="宋体"/>
          <w:lang w:eastAsia="zh-CN"/>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hAnsi="宋体"/>
        </w:rPr>
      </w:pPr>
      <w:r>
        <w:rPr>
          <w:rFonts w:hint="eastAsia" w:ascii="宋体" w:hAnsi="宋体"/>
        </w:rPr>
        <w:t>投标人（公章）：</w:t>
      </w:r>
      <w:r>
        <w:rPr>
          <w:rFonts w:hint="eastAsia" w:ascii="宋体" w:hAnsi="宋体"/>
          <w:u w:val="single"/>
        </w:rPr>
        <w:t xml:space="preserve">             </w:t>
      </w:r>
    </w:p>
    <w:p>
      <w:pPr>
        <w:pStyle w:val="5"/>
        <w:ind w:left="4679" w:leftChars="2228"/>
        <w:rPr>
          <w:rFonts w:hAnsi="宋体"/>
        </w:rPr>
      </w:pPr>
      <w:r>
        <w:rPr>
          <w:rFonts w:hint="eastAsia" w:hAnsi="宋体"/>
        </w:rPr>
        <w:t>日期</w:t>
      </w:r>
      <w:r>
        <w:rPr>
          <w:rFonts w:hAnsi="宋体"/>
        </w:rPr>
        <w:t>：</w:t>
      </w:r>
      <w:r>
        <w:rPr>
          <w:rFonts w:hint="eastAsia" w:hAnsi="宋体"/>
          <w:u w:val="single"/>
        </w:rPr>
        <w:t xml:space="preserve">             </w:t>
      </w:r>
    </w:p>
    <w:p>
      <w:pPr>
        <w:numPr>
          <w:ilvl w:val="0"/>
          <w:numId w:val="26"/>
        </w:numPr>
        <w:spacing w:line="440" w:lineRule="exact"/>
        <w:rPr>
          <w:rFonts w:ascii="宋体" w:hAnsi="宋体"/>
        </w:rPr>
        <w:sectPr>
          <w:pgSz w:w="11906" w:h="16838"/>
          <w:pgMar w:top="1440" w:right="1080" w:bottom="1440" w:left="1080" w:header="851" w:footer="992" w:gutter="0"/>
          <w:cols w:space="720" w:num="1"/>
          <w:docGrid w:type="lines" w:linePitch="312" w:charSpace="0"/>
        </w:sectPr>
      </w:pPr>
    </w:p>
    <w:p>
      <w:pPr>
        <w:numPr>
          <w:ilvl w:val="0"/>
          <w:numId w:val="26"/>
        </w:numPr>
        <w:spacing w:line="440" w:lineRule="exact"/>
        <w:rPr>
          <w:rFonts w:ascii="宋体" w:hAnsi="宋体"/>
          <w:b/>
          <w:sz w:val="36"/>
          <w:szCs w:val="36"/>
        </w:rPr>
      </w:pPr>
    </w:p>
    <w:p>
      <w:pPr>
        <w:adjustRightInd w:val="0"/>
        <w:snapToGrid w:val="0"/>
        <w:jc w:val="center"/>
        <w:outlineLvl w:val="2"/>
        <w:rPr>
          <w:rFonts w:ascii="宋体" w:hAnsi="宋体"/>
          <w:b/>
          <w:sz w:val="28"/>
          <w:szCs w:val="28"/>
        </w:rPr>
      </w:pPr>
      <w:r>
        <w:rPr>
          <w:rFonts w:hint="eastAsia" w:ascii="宋体" w:hAnsi="宋体"/>
          <w:b/>
          <w:sz w:val="28"/>
          <w:szCs w:val="28"/>
        </w:rPr>
        <w:t>政府采购投标担保函（可选）</w:t>
      </w:r>
    </w:p>
    <w:p>
      <w:pPr>
        <w:adjustRightInd w:val="0"/>
        <w:snapToGrid w:val="0"/>
        <w:jc w:val="center"/>
        <w:rPr>
          <w:rFonts w:ascii="宋体" w:hAnsi="宋体"/>
          <w:b/>
        </w:rPr>
      </w:pPr>
      <w:r>
        <w:rPr>
          <w:rFonts w:hint="eastAsia" w:ascii="宋体" w:hAnsi="宋体"/>
          <w:b/>
        </w:rPr>
        <w:t>（若用电汇方式缴纳投标保证金，可不递交该投标担保函）</w:t>
      </w:r>
    </w:p>
    <w:p>
      <w:pPr>
        <w:adjustRightInd w:val="0"/>
        <w:snapToGrid w:val="0"/>
        <w:spacing w:line="320" w:lineRule="exact"/>
        <w:rPr>
          <w:rFonts w:ascii="宋体" w:hAnsi="宋体"/>
        </w:rPr>
      </w:pPr>
      <w:r>
        <w:rPr>
          <w:rFonts w:hint="eastAsia" w:ascii="宋体" w:hAnsi="宋体"/>
          <w:u w:val="single"/>
        </w:rPr>
        <w:t xml:space="preserve">                  </w:t>
      </w:r>
      <w:r>
        <w:rPr>
          <w:rFonts w:hint="eastAsia" w:ascii="宋体" w:hAnsi="宋体"/>
        </w:rPr>
        <w:t>（采购人或采购代理机构）：</w:t>
      </w:r>
    </w:p>
    <w:p>
      <w:pPr>
        <w:adjustRightInd w:val="0"/>
        <w:snapToGrid w:val="0"/>
        <w:spacing w:line="300" w:lineRule="exact"/>
        <w:ind w:firstLine="420" w:firstLineChars="200"/>
        <w:rPr>
          <w:rFonts w:ascii="宋体" w:hAnsi="宋体"/>
        </w:rPr>
      </w:pPr>
      <w:r>
        <w:rPr>
          <w:rFonts w:hint="eastAsia" w:ascii="宋体" w:hAnsi="宋体"/>
        </w:rPr>
        <w:t>鉴于</w:t>
      </w:r>
      <w:r>
        <w:rPr>
          <w:rFonts w:hint="eastAsia" w:ascii="宋体" w:hAnsi="宋体"/>
          <w:u w:val="single"/>
        </w:rPr>
        <w:t xml:space="preserve">             </w:t>
      </w:r>
      <w:r>
        <w:rPr>
          <w:rFonts w:hint="eastAsia" w:ascii="宋体" w:hAnsi="宋体"/>
        </w:rPr>
        <w:t>（以下简称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市桥街北片联合执法队购买安保服务采购项目</w:t>
      </w:r>
      <w:r>
        <w:rPr>
          <w:rFonts w:hint="eastAsia" w:ascii="宋体" w:hAnsi="宋体"/>
          <w:u w:val="single"/>
        </w:rPr>
        <w:t>（</w:t>
      </w:r>
      <w:r>
        <w:rPr>
          <w:rFonts w:hint="eastAsia" w:ascii="宋体" w:hAnsi="宋体"/>
        </w:rPr>
        <w:t>项目编号：</w:t>
      </w:r>
      <w:r>
        <w:rPr>
          <w:rFonts w:hint="eastAsia" w:ascii="宋体" w:hAnsi="宋体"/>
          <w:lang w:eastAsia="zh-CN"/>
        </w:rPr>
        <w:t>GZBC18FG05008</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hAnsi="宋体"/>
        </w:rPr>
      </w:pPr>
      <w:r>
        <w:rPr>
          <w:rFonts w:hint="eastAsia" w:ascii="宋体" w:hAnsi="宋体"/>
        </w:rPr>
        <w:t>一、保证责任的情形及保证金额</w:t>
      </w:r>
    </w:p>
    <w:p>
      <w:pPr>
        <w:adjustRightInd w:val="0"/>
        <w:snapToGrid w:val="0"/>
        <w:spacing w:line="300" w:lineRule="exact"/>
        <w:ind w:firstLine="210" w:firstLineChars="100"/>
        <w:rPr>
          <w:rFonts w:ascii="宋体" w:hAns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hAnsi="宋体"/>
        </w:rPr>
      </w:pPr>
      <w:r>
        <w:rPr>
          <w:rFonts w:hint="eastAsia" w:ascii="宋体" w:hAnsi="宋体"/>
        </w:rPr>
        <w:t>1．中标后投标人无正当理由不与采购人或者采购代理机构签订《政府采购合同》；</w:t>
      </w:r>
    </w:p>
    <w:p>
      <w:pPr>
        <w:adjustRightInd w:val="0"/>
        <w:snapToGrid w:val="0"/>
        <w:spacing w:line="300" w:lineRule="exact"/>
        <w:ind w:firstLine="420" w:firstLineChars="200"/>
        <w:rPr>
          <w:rFonts w:ascii="宋体" w:hAnsi="宋体"/>
        </w:rPr>
      </w:pPr>
      <w:r>
        <w:rPr>
          <w:rFonts w:hint="eastAsia" w:ascii="宋体" w:hAnsi="宋体"/>
        </w:rPr>
        <w:t>2．招标文件规定的投标人应当缴纳保证金的其他情形。</w:t>
      </w:r>
    </w:p>
    <w:p>
      <w:pPr>
        <w:adjustRightInd w:val="0"/>
        <w:snapToGrid w:val="0"/>
        <w:spacing w:line="300" w:lineRule="exact"/>
        <w:ind w:firstLine="210" w:firstLineChars="100"/>
        <w:rPr>
          <w:rFonts w:ascii="宋体" w:hAnsi="宋体"/>
        </w:rPr>
      </w:pPr>
      <w:r>
        <w:rPr>
          <w:rFonts w:hint="eastAsia" w:ascii="宋体" w:hAnsi="宋体"/>
        </w:rPr>
        <w:t>（二）我方承担保证责任的最高金额为人民币</w:t>
      </w:r>
      <w:r>
        <w:rPr>
          <w:rFonts w:hint="eastAsia" w:ascii="宋体" w:hAnsi="宋体"/>
          <w:u w:val="single"/>
        </w:rPr>
        <w:t xml:space="preserve">   </w:t>
      </w:r>
      <w:r>
        <w:rPr>
          <w:rFonts w:hint="eastAsia" w:ascii="宋体" w:hAnsi="宋体"/>
        </w:rPr>
        <w:t>元（大写</w:t>
      </w:r>
      <w:r>
        <w:rPr>
          <w:rFonts w:hint="eastAsia" w:ascii="宋体" w:hAnsi="宋体"/>
          <w:u w:val="single"/>
        </w:rPr>
        <w:t xml:space="preserve">      </w:t>
      </w:r>
      <w:r>
        <w:rPr>
          <w:rFonts w:hint="eastAsia" w:ascii="宋体" w:hAnsi="宋体"/>
        </w:rPr>
        <w:t>），即本项目的投标保证金金额。</w:t>
      </w:r>
    </w:p>
    <w:p>
      <w:pPr>
        <w:adjustRightInd w:val="0"/>
        <w:snapToGrid w:val="0"/>
        <w:spacing w:line="300" w:lineRule="exact"/>
        <w:ind w:firstLine="420" w:firstLineChars="200"/>
        <w:rPr>
          <w:rFonts w:ascii="宋体" w:hAnsi="宋体"/>
        </w:rPr>
      </w:pPr>
      <w:r>
        <w:rPr>
          <w:rFonts w:hint="eastAsia" w:ascii="宋体" w:hAnsi="宋体"/>
        </w:rPr>
        <w:t>二、保证的方式及保证期间</w:t>
      </w:r>
    </w:p>
    <w:p>
      <w:pPr>
        <w:adjustRightInd w:val="0"/>
        <w:snapToGrid w:val="0"/>
        <w:spacing w:line="300" w:lineRule="exact"/>
        <w:ind w:firstLine="420" w:firstLineChars="200"/>
        <w:rPr>
          <w:rFonts w:ascii="宋体" w:hAnsi="宋体"/>
        </w:rPr>
      </w:pPr>
      <w:r>
        <w:rPr>
          <w:rFonts w:hint="eastAsia" w:ascii="宋体" w:hAnsi="宋体"/>
        </w:rPr>
        <w:t>我方保证的方式为：连带责任保证。</w:t>
      </w:r>
    </w:p>
    <w:p>
      <w:pPr>
        <w:adjustRightInd w:val="0"/>
        <w:snapToGrid w:val="0"/>
        <w:spacing w:line="300" w:lineRule="exact"/>
        <w:ind w:firstLine="420" w:firstLineChars="200"/>
        <w:rPr>
          <w:rFonts w:ascii="宋体" w:hAnsi="宋体"/>
        </w:rPr>
      </w:pPr>
      <w:r>
        <w:rPr>
          <w:rFonts w:hint="eastAsia" w:ascii="宋体" w:hAnsi="宋体"/>
        </w:rPr>
        <w:t>我方的保证期间为：自本保函生效之日起</w:t>
      </w:r>
      <w:r>
        <w:rPr>
          <w:rFonts w:hint="eastAsia" w:ascii="宋体" w:hAnsi="宋体"/>
          <w:u w:val="single"/>
        </w:rPr>
        <w:t xml:space="preserve">    </w:t>
      </w:r>
      <w:r>
        <w:rPr>
          <w:rFonts w:hint="eastAsia" w:ascii="宋体" w:hAnsi="宋体"/>
        </w:rPr>
        <w:t>个月止。</w:t>
      </w:r>
    </w:p>
    <w:p>
      <w:pPr>
        <w:adjustRightInd w:val="0"/>
        <w:snapToGrid w:val="0"/>
        <w:spacing w:line="300" w:lineRule="exact"/>
        <w:ind w:firstLine="420" w:firstLineChars="200"/>
        <w:rPr>
          <w:rFonts w:ascii="宋体" w:hAnsi="宋体"/>
        </w:rPr>
      </w:pPr>
      <w:r>
        <w:rPr>
          <w:rFonts w:hint="eastAsia" w:ascii="宋体" w:hAnsi="宋体"/>
        </w:rPr>
        <w:t>三、承担保证责任的程序</w:t>
      </w:r>
    </w:p>
    <w:p>
      <w:pPr>
        <w:adjustRightInd w:val="0"/>
        <w:snapToGrid w:val="0"/>
        <w:spacing w:line="300" w:lineRule="exact"/>
        <w:ind w:firstLine="420" w:firstLineChars="200"/>
        <w:rPr>
          <w:rFonts w:ascii="宋体" w:hAnsi="宋体"/>
        </w:rPr>
      </w:pPr>
      <w:r>
        <w:rPr>
          <w:rFonts w:hint="eastAsia" w:ascii="宋体" w:hAnsi="宋体"/>
        </w:rPr>
        <w:t>1．你方要求我方承担保证责任的，应在本保函保证期间内向我方发出书面索赔通知。索赔通知应写明要求索赔的金额，支付款项应到达的账号，并附有证明投标人发生我方应承担保证责任情形的事实材料。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hAnsi="宋体"/>
        </w:rPr>
      </w:pPr>
      <w:r>
        <w:rPr>
          <w:rFonts w:hint="eastAsia" w:ascii="宋体" w:hAnsi="宋体"/>
        </w:rPr>
        <w:t>2．我方在收到索赔通知及相关证明材料后，在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hAnsi="宋体"/>
        </w:rPr>
      </w:pPr>
      <w:r>
        <w:rPr>
          <w:rFonts w:hint="eastAsia" w:ascii="宋体" w:hAnsi="宋体"/>
        </w:rPr>
        <w:t>四、保证责任的终止</w:t>
      </w:r>
    </w:p>
    <w:p>
      <w:pPr>
        <w:adjustRightInd w:val="0"/>
        <w:snapToGrid w:val="0"/>
        <w:spacing w:line="300" w:lineRule="exact"/>
        <w:ind w:firstLine="420" w:firstLineChars="200"/>
        <w:rPr>
          <w:rFonts w:ascii="宋体" w:hAnsi="宋体"/>
        </w:rPr>
      </w:pPr>
      <w:r>
        <w:rPr>
          <w:rFonts w:hint="eastAsia" w:ascii="宋体" w:hAnsi="宋体"/>
        </w:rPr>
        <w:t>1．保证期间届满你方未向我方书面主张保证责任的，自保证期间届满次日起，我方保证责任自动终止。</w:t>
      </w:r>
    </w:p>
    <w:p>
      <w:pPr>
        <w:adjustRightInd w:val="0"/>
        <w:snapToGrid w:val="0"/>
        <w:spacing w:line="300" w:lineRule="exact"/>
        <w:ind w:firstLine="420" w:firstLineChars="200"/>
        <w:rPr>
          <w:rFonts w:ascii="宋体" w:hAnsi="宋体"/>
        </w:rPr>
      </w:pPr>
      <w:r>
        <w:rPr>
          <w:rFonts w:hint="eastAsia" w:ascii="宋体" w:hAnsi="宋体"/>
        </w:rPr>
        <w:t>2．我方按照本保函向你贵方履行了保证责任后，自我方向你贵方支付款项（支付款项从我方账户划出）之日起，保证责任终止。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hAnsi="宋体"/>
        </w:rPr>
      </w:pPr>
      <w:r>
        <w:rPr>
          <w:rFonts w:hint="eastAsia" w:ascii="宋体" w:hAnsi="宋体"/>
        </w:rPr>
        <w:t>3．按照法律法规的规定或出现我方保证责任终止的其它情形的，我方在本保函项下的保证责任亦终止。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hAnsi="宋体"/>
        </w:rPr>
      </w:pPr>
      <w:r>
        <w:rPr>
          <w:rFonts w:hint="eastAsia" w:ascii="宋体" w:hAnsi="宋体"/>
        </w:rPr>
        <w:t>五、免责条款</w:t>
      </w:r>
    </w:p>
    <w:p>
      <w:pPr>
        <w:adjustRightInd w:val="0"/>
        <w:snapToGrid w:val="0"/>
        <w:spacing w:line="300" w:lineRule="exact"/>
        <w:ind w:firstLine="420" w:firstLineChars="200"/>
        <w:rPr>
          <w:rFonts w:ascii="宋体" w:hAnsi="宋体"/>
        </w:rPr>
      </w:pPr>
      <w:r>
        <w:rPr>
          <w:rFonts w:hint="eastAsia" w:ascii="宋体" w:hAnsi="宋体"/>
        </w:rPr>
        <w:t>1．依照法律规定或你方与投标人的另行约定，全部或者部分免除投标人投标保证金义务时，我方亦免除相应的保证责任。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hAnsi="宋体"/>
        </w:rPr>
      </w:pPr>
      <w:r>
        <w:rPr>
          <w:rFonts w:hint="eastAsia" w:ascii="宋体" w:hAnsi="宋体"/>
        </w:rPr>
        <w:t>2．因你方原因致使投标人发生本保函第一条第（一）款约定情形的，我方不承担保证责任。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3．因不可抗力造成投标人发生本保函第一条约定情形的，我方不承担保证责任。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4．你方或其他有权机关对招标文件进行任何澄清或修改，加重我方保证责任的，我方对加重部分不承担保证责任，但该澄清或修改经我方事先书面同意的除外。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hAnsi="宋体"/>
        </w:rPr>
      </w:pPr>
      <w:r>
        <w:rPr>
          <w:rFonts w:hint="eastAsia" w:ascii="宋体" w:hAnsi="宋体"/>
        </w:rPr>
        <w:t>六、争议的解决</w:t>
      </w:r>
    </w:p>
    <w:p>
      <w:pPr>
        <w:adjustRightInd w:val="0"/>
        <w:snapToGrid w:val="0"/>
        <w:spacing w:line="300" w:lineRule="exact"/>
        <w:ind w:firstLine="420" w:firstLineChars="200"/>
        <w:rPr>
          <w:rFonts w:ascii="宋体" w:hAnsi="宋体"/>
        </w:rPr>
      </w:pPr>
      <w:r>
        <w:rPr>
          <w:rFonts w:hint="eastAsia" w:ascii="宋体" w:hAnsi="宋体"/>
        </w:rPr>
        <w:t>因本保函发生的纠纷，由你我双方协商解决，协商不成的，通过诉讼程序解决，诉讼管辖地法院为</w:t>
      </w:r>
      <w:r>
        <w:rPr>
          <w:rFonts w:hint="eastAsia" w:ascii="宋体" w:hAnsi="宋体"/>
          <w:u w:val="single"/>
        </w:rPr>
        <w:t xml:space="preserve">          </w:t>
      </w:r>
      <w:r>
        <w:rPr>
          <w:rFonts w:hint="eastAsia" w:ascii="宋体" w:hAnsi="宋体"/>
        </w:rPr>
        <w:t>法院。</w:t>
      </w:r>
    </w:p>
    <w:p>
      <w:pPr>
        <w:adjustRightInd w:val="0"/>
        <w:snapToGrid w:val="0"/>
        <w:spacing w:line="300" w:lineRule="exact"/>
        <w:ind w:firstLine="420" w:firstLineChars="200"/>
        <w:rPr>
          <w:rFonts w:ascii="宋体" w:hAnsi="宋体"/>
        </w:rPr>
      </w:pPr>
      <w:r>
        <w:rPr>
          <w:rFonts w:hint="eastAsia" w:ascii="宋体" w:hAnsi="宋体"/>
        </w:rPr>
        <w:t>七、保函的生效:本保函自我方加盖公章之日起生效。</w:t>
      </w:r>
    </w:p>
    <w:p>
      <w:pPr>
        <w:adjustRightInd w:val="0"/>
        <w:snapToGrid w:val="0"/>
        <w:spacing w:line="300" w:lineRule="exact"/>
        <w:ind w:firstLine="5565" w:firstLineChars="2650"/>
        <w:rPr>
          <w:rFonts w:ascii="宋体" w:hAnsi="宋体"/>
        </w:rPr>
      </w:pPr>
      <w:r>
        <w:rPr>
          <w:rFonts w:hint="eastAsia" w:ascii="宋体" w:hAnsi="宋体"/>
        </w:rPr>
        <w:t>保证人：（公章）</w:t>
      </w:r>
    </w:p>
    <w:p>
      <w:pPr>
        <w:adjustRightInd w:val="0"/>
        <w:snapToGrid w:val="0"/>
        <w:spacing w:line="300" w:lineRule="exact"/>
        <w:ind w:right="840" w:firstLine="5460" w:firstLineChars="2600"/>
        <w:rPr>
          <w:rFonts w:hint="eastAsia" w:ascii="宋体" w:hAnsi="宋体"/>
        </w:rPr>
      </w:pPr>
      <w:r>
        <w:rPr>
          <w:rFonts w:hint="eastAsia" w:ascii="宋体" w:hAnsi="宋体"/>
        </w:rPr>
        <w:t>年     月      日</w:t>
      </w:r>
    </w:p>
    <w:p>
      <w:pPr>
        <w:spacing w:line="360" w:lineRule="auto"/>
        <w:jc w:val="both"/>
        <w:rPr>
          <w:rFonts w:hint="eastAsia" w:ascii="宋体" w:hAnsi="宋体"/>
          <w:b/>
          <w:bCs/>
          <w:sz w:val="28"/>
          <w:szCs w:val="28"/>
        </w:rPr>
      </w:pPr>
      <w:bookmarkStart w:id="65" w:name="_Toc492302255"/>
      <w:bookmarkStart w:id="66" w:name="_Toc438223019"/>
      <w:bookmarkStart w:id="67" w:name="_Toc435174932"/>
      <w:bookmarkStart w:id="68" w:name="_Toc435542344"/>
      <w:bookmarkStart w:id="69" w:name="_Toc480529443"/>
      <w:bookmarkStart w:id="70" w:name="_Toc435516649"/>
      <w:r>
        <w:rPr>
          <w:rFonts w:hint="eastAsia" w:ascii="宋体" w:hAnsi="宋体"/>
          <w:b/>
          <w:bCs/>
          <w:sz w:val="28"/>
          <w:szCs w:val="28"/>
        </w:rPr>
        <w:br w:type="page"/>
      </w:r>
    </w:p>
    <w:p>
      <w:pPr>
        <w:spacing w:line="240" w:lineRule="auto"/>
        <w:ind w:firstLine="281" w:firstLineChars="100"/>
        <w:jc w:val="center"/>
        <w:rPr>
          <w:rFonts w:ascii="宋体" w:hAnsi="宋体"/>
          <w:b/>
          <w:bCs/>
          <w:i w:val="0"/>
          <w:iCs w:val="0"/>
          <w:sz w:val="28"/>
          <w:szCs w:val="28"/>
        </w:rPr>
      </w:pPr>
      <w:r>
        <w:rPr>
          <w:rFonts w:hint="eastAsia" w:ascii="宋体" w:hAnsi="宋体"/>
          <w:b/>
          <w:bCs/>
          <w:sz w:val="28"/>
          <w:szCs w:val="28"/>
        </w:rPr>
        <w:t>第七章</w:t>
      </w:r>
      <w:r>
        <w:rPr>
          <w:rFonts w:ascii="宋体" w:hAnsi="宋体"/>
          <w:b/>
          <w:bCs/>
          <w:sz w:val="28"/>
          <w:szCs w:val="28"/>
        </w:rPr>
        <w:t xml:space="preserve"> </w:t>
      </w:r>
      <w:r>
        <w:rPr>
          <w:rFonts w:ascii="宋体" w:hAnsi="宋体"/>
          <w:b/>
          <w:bCs/>
          <w:i w:val="0"/>
          <w:iCs w:val="0"/>
          <w:sz w:val="28"/>
          <w:szCs w:val="28"/>
        </w:rPr>
        <w:t xml:space="preserve"> </w:t>
      </w:r>
      <w:r>
        <w:rPr>
          <w:rFonts w:hint="eastAsia" w:ascii="宋体" w:hAnsi="宋体"/>
          <w:b/>
          <w:bCs/>
          <w:i w:val="0"/>
          <w:iCs w:val="0"/>
          <w:sz w:val="28"/>
          <w:szCs w:val="28"/>
        </w:rPr>
        <w:t>投标人须知</w:t>
      </w:r>
      <w:bookmarkEnd w:id="65"/>
      <w:bookmarkEnd w:id="66"/>
      <w:bookmarkEnd w:id="67"/>
      <w:bookmarkEnd w:id="68"/>
      <w:bookmarkEnd w:id="69"/>
      <w:bookmarkEnd w:id="70"/>
      <w:bookmarkStart w:id="71" w:name="_Toc292267790"/>
      <w:bookmarkStart w:id="72" w:name="_Toc435516648"/>
      <w:bookmarkStart w:id="73" w:name="_Toc435114676"/>
      <w:bookmarkStart w:id="74" w:name="_Toc435542343"/>
      <w:bookmarkStart w:id="75" w:name="_Toc435174931"/>
      <w:bookmarkStart w:id="76" w:name="_Toc435114677"/>
      <w:bookmarkStart w:id="77" w:name="_Toc438223018"/>
      <w:r>
        <w:rPr>
          <w:rFonts w:hint="eastAsia" w:ascii="宋体" w:hAnsi="宋体"/>
          <w:b/>
          <w:bCs/>
          <w:i w:val="0"/>
          <w:iCs w:val="0"/>
          <w:sz w:val="28"/>
          <w:szCs w:val="28"/>
        </w:rPr>
        <w:t>（</w:t>
      </w:r>
      <w:bookmarkEnd w:id="71"/>
      <w:r>
        <w:rPr>
          <w:rFonts w:hint="eastAsia" w:ascii="宋体" w:hAnsi="宋体"/>
          <w:b/>
          <w:bCs/>
          <w:i w:val="0"/>
          <w:iCs w:val="0"/>
          <w:sz w:val="28"/>
          <w:szCs w:val="28"/>
        </w:rPr>
        <w:t>通用条款）</w:t>
      </w:r>
      <w:bookmarkEnd w:id="72"/>
      <w:bookmarkEnd w:id="73"/>
      <w:bookmarkEnd w:id="74"/>
      <w:bookmarkEnd w:id="75"/>
      <w:bookmarkEnd w:id="76"/>
      <w:bookmarkEnd w:id="77"/>
    </w:p>
    <w:p>
      <w:pPr>
        <w:numPr>
          <w:ilvl w:val="0"/>
          <w:numId w:val="37"/>
        </w:numPr>
        <w:autoSpaceDE w:val="0"/>
        <w:autoSpaceDN w:val="0"/>
        <w:adjustRightInd w:val="0"/>
        <w:snapToGrid w:val="0"/>
        <w:spacing w:beforeLines="100" w:afterLines="100" w:line="240" w:lineRule="auto"/>
        <w:ind w:left="1012" w:hanging="1012" w:hangingChars="360"/>
        <w:jc w:val="center"/>
        <w:outlineLvl w:val="1"/>
        <w:rPr>
          <w:rFonts w:ascii="宋体" w:hAnsi="宋体"/>
          <w:b/>
          <w:i w:val="0"/>
          <w:iCs w:val="0"/>
          <w:sz w:val="28"/>
          <w:szCs w:val="28"/>
        </w:rPr>
      </w:pPr>
      <w:bookmarkStart w:id="78" w:name="_Toc438223020"/>
      <w:bookmarkStart w:id="79" w:name="_Toc435542345"/>
      <w:r>
        <w:rPr>
          <w:rFonts w:ascii="宋体" w:hAnsi="宋体"/>
          <w:b/>
          <w:i w:val="0"/>
          <w:iCs w:val="0"/>
          <w:sz w:val="28"/>
          <w:szCs w:val="28"/>
          <w:lang w:eastAsia="zh-TW"/>
        </w:rPr>
        <w:t>说 明</w:t>
      </w:r>
      <w:bookmarkEnd w:id="78"/>
      <w:bookmarkEnd w:id="79"/>
      <w:bookmarkStart w:id="80" w:name="_Toc292267791"/>
    </w:p>
    <w:bookmarkEnd w:id="80"/>
    <w:p>
      <w:pPr>
        <w:numPr>
          <w:ilvl w:val="0"/>
          <w:numId w:val="38"/>
        </w:numPr>
        <w:autoSpaceDE w:val="0"/>
        <w:autoSpaceDN w:val="0"/>
        <w:adjustRightInd w:val="0"/>
        <w:snapToGrid w:val="0"/>
        <w:spacing w:line="360" w:lineRule="auto"/>
        <w:ind w:left="449" w:hanging="449" w:hangingChars="213"/>
        <w:outlineLvl w:val="2"/>
        <w:rPr>
          <w:rFonts w:ascii="宋体" w:hAnsi="宋体"/>
          <w:b/>
          <w:szCs w:val="21"/>
        </w:rPr>
      </w:pPr>
      <w:bookmarkStart w:id="81" w:name="_Toc237787451"/>
      <w:r>
        <w:rPr>
          <w:rFonts w:hint="eastAsia" w:ascii="宋体" w:hAnsi="宋体"/>
          <w:b/>
          <w:szCs w:val="21"/>
        </w:rPr>
        <w:t>采购项目与采购当事人说明</w:t>
      </w:r>
      <w:bookmarkEnd w:id="81"/>
    </w:p>
    <w:p>
      <w:pPr>
        <w:numPr>
          <w:ilvl w:val="1"/>
          <w:numId w:val="38"/>
        </w:numPr>
        <w:autoSpaceDE w:val="0"/>
        <w:autoSpaceDN w:val="0"/>
        <w:adjustRightInd w:val="0"/>
        <w:snapToGrid w:val="0"/>
        <w:spacing w:line="360" w:lineRule="auto"/>
        <w:jc w:val="left"/>
        <w:rPr>
          <w:rFonts w:ascii="宋体" w:hAnsi="宋体"/>
          <w:szCs w:val="21"/>
        </w:rPr>
      </w:pPr>
      <w:bookmarkStart w:id="82"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82"/>
    <w:p>
      <w:pPr>
        <w:numPr>
          <w:ilvl w:val="1"/>
          <w:numId w:val="38"/>
        </w:numPr>
        <w:autoSpaceDE w:val="0"/>
        <w:autoSpaceDN w:val="0"/>
        <w:adjustRightInd w:val="0"/>
        <w:snapToGrid w:val="0"/>
        <w:spacing w:line="360" w:lineRule="auto"/>
        <w:jc w:val="left"/>
        <w:rPr>
          <w:rFonts w:ascii="宋体" w:hAnsi="宋体"/>
          <w:b/>
          <w:szCs w:val="21"/>
        </w:rPr>
      </w:pPr>
      <w:bookmarkStart w:id="83"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8"/>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83"/>
    </w:p>
    <w:p>
      <w:pPr>
        <w:numPr>
          <w:ilvl w:val="0"/>
          <w:numId w:val="38"/>
        </w:numPr>
        <w:autoSpaceDE w:val="0"/>
        <w:autoSpaceDN w:val="0"/>
        <w:adjustRightInd w:val="0"/>
        <w:snapToGrid w:val="0"/>
        <w:spacing w:line="360" w:lineRule="auto"/>
        <w:ind w:left="449" w:hanging="449" w:hangingChars="213"/>
        <w:outlineLvl w:val="2"/>
        <w:rPr>
          <w:rFonts w:ascii="宋体" w:hAnsi="宋体"/>
          <w:b/>
          <w:szCs w:val="21"/>
        </w:rPr>
      </w:pPr>
      <w:bookmarkStart w:id="84" w:name="_Toc237787454"/>
      <w:r>
        <w:rPr>
          <w:rFonts w:hint="eastAsia" w:ascii="宋体" w:hAnsi="宋体"/>
          <w:b/>
          <w:szCs w:val="21"/>
        </w:rPr>
        <w:t>定义及解释</w:t>
      </w:r>
      <w:bookmarkEnd w:id="84"/>
    </w:p>
    <w:p>
      <w:pPr>
        <w:widowControl/>
        <w:numPr>
          <w:ilvl w:val="1"/>
          <w:numId w:val="38"/>
        </w:numPr>
        <w:adjustRightInd w:val="0"/>
        <w:snapToGrid w:val="0"/>
        <w:spacing w:line="360" w:lineRule="auto"/>
        <w:jc w:val="left"/>
        <w:rPr>
          <w:rFonts w:ascii="宋体" w:hAnsi="宋体"/>
          <w:szCs w:val="21"/>
        </w:rPr>
      </w:pPr>
      <w:bookmarkStart w:id="85"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8"/>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85"/>
    <w:p>
      <w:pPr>
        <w:widowControl/>
        <w:numPr>
          <w:ilvl w:val="1"/>
          <w:numId w:val="38"/>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8"/>
        </w:numPr>
        <w:adjustRightInd w:val="0"/>
        <w:snapToGrid w:val="0"/>
        <w:spacing w:line="360" w:lineRule="auto"/>
        <w:jc w:val="left"/>
        <w:rPr>
          <w:rFonts w:ascii="宋体" w:hAnsi="宋体"/>
          <w:szCs w:val="21"/>
        </w:rPr>
      </w:pPr>
      <w:bookmarkStart w:id="86" w:name="_Toc237787460"/>
      <w:r>
        <w:rPr>
          <w:rFonts w:hint="eastAsia" w:ascii="宋体" w:hAnsi="宋体"/>
          <w:szCs w:val="21"/>
        </w:rPr>
        <w:t>评标委员会：是依法组建的、负责本次采购的评标工作的临时性机构。</w:t>
      </w:r>
      <w:bookmarkEnd w:id="86"/>
    </w:p>
    <w:p>
      <w:pPr>
        <w:widowControl/>
        <w:numPr>
          <w:ilvl w:val="1"/>
          <w:numId w:val="38"/>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38"/>
        </w:numPr>
        <w:adjustRightInd w:val="0"/>
        <w:snapToGrid w:val="0"/>
        <w:spacing w:line="360" w:lineRule="auto"/>
        <w:jc w:val="left"/>
        <w:rPr>
          <w:rFonts w:ascii="宋体" w:hAnsi="宋体"/>
          <w:szCs w:val="21"/>
        </w:rPr>
      </w:pPr>
      <w:bookmarkStart w:id="87" w:name="_Toc237787461"/>
      <w:r>
        <w:rPr>
          <w:rFonts w:hint="eastAsia" w:ascii="宋体" w:hAnsi="宋体"/>
          <w:szCs w:val="21"/>
        </w:rPr>
        <w:t>日期：指公历日。</w:t>
      </w:r>
      <w:bookmarkEnd w:id="87"/>
    </w:p>
    <w:p>
      <w:pPr>
        <w:widowControl/>
        <w:numPr>
          <w:ilvl w:val="1"/>
          <w:numId w:val="38"/>
        </w:numPr>
        <w:adjustRightInd w:val="0"/>
        <w:snapToGrid w:val="0"/>
        <w:spacing w:line="360" w:lineRule="auto"/>
        <w:jc w:val="left"/>
        <w:rPr>
          <w:rFonts w:ascii="宋体" w:hAnsi="宋体"/>
          <w:szCs w:val="21"/>
        </w:rPr>
      </w:pPr>
      <w:bookmarkStart w:id="88" w:name="_Toc237787462"/>
      <w:r>
        <w:rPr>
          <w:rFonts w:hint="eastAsia" w:ascii="宋体" w:hAnsi="宋体"/>
          <w:szCs w:val="21"/>
        </w:rPr>
        <w:t>合同：依据本次货物及服务招标采购结果签订的协议。</w:t>
      </w:r>
      <w:bookmarkEnd w:id="88"/>
    </w:p>
    <w:p>
      <w:pPr>
        <w:widowControl/>
        <w:numPr>
          <w:ilvl w:val="1"/>
          <w:numId w:val="38"/>
        </w:numPr>
        <w:adjustRightInd w:val="0"/>
        <w:snapToGrid w:val="0"/>
        <w:spacing w:line="360" w:lineRule="auto"/>
        <w:jc w:val="left"/>
        <w:rPr>
          <w:rFonts w:ascii="宋体" w:hAnsi="宋体"/>
          <w:szCs w:val="21"/>
        </w:rPr>
      </w:pPr>
      <w:bookmarkStart w:id="89" w:name="_Toc237787463"/>
      <w:r>
        <w:rPr>
          <w:rFonts w:hint="eastAsia" w:ascii="宋体" w:hAnsi="宋体"/>
          <w:szCs w:val="21"/>
        </w:rPr>
        <w:t>招标文件中的标题或题名仅起引导作用，而不应视为对招标文件内容的理解和解释。</w:t>
      </w:r>
      <w:bookmarkEnd w:id="89"/>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hint="eastAsia" w:ascii="宋体" w:hAnsi="宋体"/>
          <w:u w:val="single"/>
        </w:rPr>
      </w:pP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38"/>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8"/>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38"/>
        </w:numPr>
        <w:autoSpaceDE w:val="0"/>
        <w:autoSpaceDN w:val="0"/>
        <w:adjustRightInd w:val="0"/>
        <w:snapToGrid w:val="0"/>
        <w:spacing w:line="360" w:lineRule="auto"/>
        <w:rPr>
          <w:rFonts w:ascii="宋体" w:hAnsi="宋体"/>
          <w:szCs w:val="21"/>
        </w:rPr>
      </w:pPr>
      <w:bookmarkStart w:id="90"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90"/>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91" w:name="_Toc211763038"/>
      <w:r>
        <w:rPr>
          <w:rFonts w:hint="eastAsia" w:ascii="宋体" w:hAnsi="宋体"/>
          <w:szCs w:val="21"/>
        </w:rPr>
        <w:t>依据《政府采购进口产品管理办法</w:t>
      </w:r>
      <w:bookmarkEnd w:id="91"/>
      <w:r>
        <w:rPr>
          <w:rFonts w:hint="eastAsia" w:ascii="宋体" w:hAnsi="宋体"/>
          <w:szCs w:val="21"/>
        </w:rPr>
        <w:t>》执行。</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bookmarkStart w:id="92" w:name="_Toc237787469"/>
      <w:r>
        <w:rPr>
          <w:rFonts w:hint="eastAsia" w:ascii="宋体" w:hAnsi="宋体"/>
          <w:b/>
          <w:bCs/>
          <w:szCs w:val="21"/>
        </w:rPr>
        <w:t>禁止事项</w:t>
      </w:r>
      <w:bookmarkEnd w:id="92"/>
    </w:p>
    <w:p>
      <w:pPr>
        <w:numPr>
          <w:ilvl w:val="1"/>
          <w:numId w:val="38"/>
        </w:numPr>
        <w:autoSpaceDE w:val="0"/>
        <w:autoSpaceDN w:val="0"/>
        <w:adjustRightInd w:val="0"/>
        <w:snapToGrid w:val="0"/>
        <w:spacing w:line="360" w:lineRule="auto"/>
        <w:rPr>
          <w:rFonts w:ascii="宋体" w:hAnsi="宋体"/>
          <w:szCs w:val="21"/>
        </w:rPr>
      </w:pPr>
      <w:bookmarkStart w:id="93" w:name="_Toc237787470"/>
      <w:r>
        <w:rPr>
          <w:rFonts w:hint="eastAsia" w:ascii="宋体" w:hAnsi="宋体"/>
          <w:szCs w:val="21"/>
        </w:rPr>
        <w:t>采购人、投标人和采购代理机构不得相互串通损害国家利益、社会公共利益和其他当</w:t>
      </w:r>
      <w:bookmarkEnd w:id="93"/>
      <w:bookmarkStart w:id="94" w:name="_Toc237787471"/>
      <w:r>
        <w:rPr>
          <w:rFonts w:hint="eastAsia" w:ascii="宋体" w:hAnsi="宋体"/>
          <w:szCs w:val="21"/>
        </w:rPr>
        <w:t>事人的合法权益；不得以任何手段排斥其他投标人参与竞争。</w:t>
      </w:r>
      <w:bookmarkEnd w:id="94"/>
      <w:r>
        <w:rPr>
          <w:rFonts w:hint="eastAsia" w:ascii="宋体" w:hAnsi="宋体"/>
          <w:szCs w:val="21"/>
          <w:lang w:eastAsia="zh-CN"/>
        </w:rPr>
        <w:t>否则投标无效。</w:t>
      </w:r>
    </w:p>
    <w:p>
      <w:pPr>
        <w:numPr>
          <w:ilvl w:val="1"/>
          <w:numId w:val="38"/>
        </w:numPr>
        <w:autoSpaceDE w:val="0"/>
        <w:autoSpaceDN w:val="0"/>
        <w:adjustRightInd w:val="0"/>
        <w:snapToGrid w:val="0"/>
        <w:spacing w:line="360" w:lineRule="auto"/>
        <w:rPr>
          <w:rFonts w:ascii="宋体" w:hAnsi="宋体"/>
          <w:szCs w:val="21"/>
        </w:rPr>
      </w:pPr>
      <w:bookmarkStart w:id="95" w:name="_Toc237787472"/>
      <w:r>
        <w:rPr>
          <w:rFonts w:hint="eastAsia" w:ascii="宋体" w:hAnsi="宋体"/>
          <w:szCs w:val="21"/>
        </w:rPr>
        <w:t>投标人不得向采购人、采购代理机构、评标委员会的组成人员行贿或者采取其他不正当手段谋取中标。</w:t>
      </w:r>
      <w:bookmarkEnd w:id="95"/>
      <w:r>
        <w:rPr>
          <w:rFonts w:hint="eastAsia" w:ascii="宋体" w:hAnsi="宋体"/>
          <w:szCs w:val="21"/>
          <w:lang w:eastAsia="zh-CN"/>
        </w:rPr>
        <w:t>否则投标无效。</w:t>
      </w:r>
    </w:p>
    <w:p>
      <w:pPr>
        <w:numPr>
          <w:ilvl w:val="1"/>
          <w:numId w:val="38"/>
        </w:numPr>
        <w:autoSpaceDE w:val="0"/>
        <w:autoSpaceDN w:val="0"/>
        <w:adjustRightInd w:val="0"/>
        <w:snapToGrid w:val="0"/>
        <w:spacing w:line="360" w:lineRule="auto"/>
        <w:rPr>
          <w:rFonts w:ascii="宋体" w:hAnsi="宋体"/>
          <w:szCs w:val="21"/>
        </w:rPr>
      </w:pPr>
      <w:bookmarkStart w:id="96"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96"/>
      <w:r>
        <w:rPr>
          <w:rFonts w:hint="eastAsia" w:ascii="宋体" w:hAnsi="宋体"/>
          <w:szCs w:val="21"/>
          <w:lang w:eastAsia="zh-CN"/>
        </w:rPr>
        <w:t>否则投标无效。</w:t>
      </w:r>
    </w:p>
    <w:p>
      <w:pPr>
        <w:numPr>
          <w:ilvl w:val="1"/>
          <w:numId w:val="38"/>
        </w:numPr>
        <w:autoSpaceDE w:val="0"/>
        <w:autoSpaceDN w:val="0"/>
        <w:adjustRightInd w:val="0"/>
        <w:snapToGrid w:val="0"/>
        <w:spacing w:line="360" w:lineRule="auto"/>
        <w:rPr>
          <w:rFonts w:ascii="宋体" w:hAnsi="宋体"/>
          <w:szCs w:val="21"/>
        </w:rPr>
      </w:pPr>
      <w:bookmarkStart w:id="97" w:name="_Toc237787474"/>
      <w:r>
        <w:rPr>
          <w:rFonts w:hint="eastAsia" w:ascii="宋体" w:hAnsi="宋体"/>
          <w:szCs w:val="21"/>
        </w:rPr>
        <w:t>《中华人民共和国政府采购法》、《中华人民共和国政府采购法实施条例》及相关法规规定的其他禁止行为。</w:t>
      </w:r>
      <w:bookmarkEnd w:id="97"/>
      <w:r>
        <w:rPr>
          <w:rFonts w:hint="eastAsia" w:ascii="宋体" w:hAnsi="宋体"/>
          <w:szCs w:val="21"/>
          <w:lang w:eastAsia="zh-CN"/>
        </w:rPr>
        <w:t>否则投标无效。</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bookmarkStart w:id="98" w:name="_Toc237787475"/>
      <w:r>
        <w:rPr>
          <w:rFonts w:hint="eastAsia" w:ascii="宋体" w:hAnsi="宋体"/>
          <w:b/>
          <w:bCs/>
          <w:szCs w:val="21"/>
        </w:rPr>
        <w:t>保密事项</w:t>
      </w:r>
      <w:bookmarkEnd w:id="98"/>
    </w:p>
    <w:p>
      <w:pPr>
        <w:numPr>
          <w:ilvl w:val="1"/>
          <w:numId w:val="38"/>
        </w:numPr>
        <w:autoSpaceDE w:val="0"/>
        <w:autoSpaceDN w:val="0"/>
        <w:adjustRightInd w:val="0"/>
        <w:snapToGrid w:val="0"/>
        <w:spacing w:line="360" w:lineRule="auto"/>
        <w:rPr>
          <w:rFonts w:ascii="宋体" w:hAnsi="宋体"/>
          <w:szCs w:val="21"/>
        </w:rPr>
      </w:pPr>
      <w:bookmarkStart w:id="99"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99"/>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spacing w:line="440" w:lineRule="exact"/>
        <w:ind w:firstLine="630" w:firstLineChars="300"/>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bookmarkStart w:id="100" w:name="_Toc381027666"/>
      <w:r>
        <w:rPr>
          <w:rFonts w:hint="eastAsia" w:ascii="宋体" w:hAnsi="宋体"/>
          <w:b/>
          <w:bCs/>
          <w:szCs w:val="21"/>
        </w:rPr>
        <w:t>政府采购信用担保</w:t>
      </w:r>
      <w:bookmarkEnd w:id="100"/>
    </w:p>
    <w:p>
      <w:pPr>
        <w:numPr>
          <w:ilvl w:val="1"/>
          <w:numId w:val="38"/>
        </w:numPr>
        <w:autoSpaceDE w:val="0"/>
        <w:autoSpaceDN w:val="0"/>
        <w:adjustRightInd w:val="0"/>
        <w:snapToGrid w:val="0"/>
        <w:spacing w:line="360" w:lineRule="auto"/>
        <w:rPr>
          <w:rFonts w:ascii="宋体" w:hAnsi="宋体"/>
          <w:szCs w:val="21"/>
        </w:rPr>
      </w:pPr>
      <w:bookmarkStart w:id="101"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38"/>
        </w:numPr>
        <w:autoSpaceDE w:val="0"/>
        <w:autoSpaceDN w:val="0"/>
        <w:adjustRightInd w:val="0"/>
        <w:snapToGrid w:val="0"/>
        <w:spacing w:line="360" w:lineRule="auto"/>
        <w:rPr>
          <w:rFonts w:ascii="宋体" w:hAns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101"/>
    </w:p>
    <w:p>
      <w:pPr>
        <w:numPr>
          <w:ilvl w:val="1"/>
          <w:numId w:val="38"/>
        </w:numPr>
        <w:autoSpaceDE w:val="0"/>
        <w:autoSpaceDN w:val="0"/>
        <w:adjustRightInd w:val="0"/>
        <w:snapToGrid w:val="0"/>
        <w:spacing w:line="360" w:lineRule="auto"/>
        <w:rPr>
          <w:rFonts w:ascii="宋体" w:hAnsi="宋体"/>
          <w:b/>
          <w:bCs/>
          <w:szCs w:val="21"/>
        </w:rPr>
      </w:pPr>
      <w:bookmarkStart w:id="102"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102"/>
    </w:p>
    <w:p>
      <w:pPr>
        <w:numPr>
          <w:ilvl w:val="1"/>
          <w:numId w:val="38"/>
        </w:numPr>
        <w:autoSpaceDE w:val="0"/>
        <w:autoSpaceDN w:val="0"/>
        <w:adjustRightInd w:val="0"/>
        <w:snapToGrid w:val="0"/>
        <w:spacing w:line="360" w:lineRule="auto"/>
        <w:rPr>
          <w:rFonts w:ascii="宋体" w:hAnsi="宋体"/>
          <w:szCs w:val="21"/>
        </w:rPr>
      </w:pPr>
      <w:bookmarkStart w:id="103"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103"/>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投标人可以以投标担保函的形式缴纳投标保证金，并以《政府采购投标担保函》作为投标文件的附件。</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38"/>
        </w:numPr>
        <w:autoSpaceDE w:val="0"/>
        <w:autoSpaceDN w:val="0"/>
        <w:adjustRightInd w:val="0"/>
        <w:snapToGrid w:val="0"/>
        <w:spacing w:line="360" w:lineRule="auto"/>
        <w:ind w:left="449" w:hanging="449" w:hangingChars="213"/>
        <w:outlineLvl w:val="2"/>
        <w:rPr>
          <w:rFonts w:ascii="宋体" w:hAnsi="宋体"/>
          <w:b/>
          <w:szCs w:val="21"/>
        </w:rPr>
      </w:pPr>
      <w:bookmarkStart w:id="104" w:name="_Toc435542346"/>
      <w:bookmarkStart w:id="105" w:name="_Toc438223021"/>
      <w:r>
        <w:rPr>
          <w:rFonts w:hint="eastAsia" w:ascii="宋体" w:hAnsi="宋体"/>
          <w:b/>
          <w:bCs/>
          <w:szCs w:val="21"/>
        </w:rPr>
        <w:t>知识产权</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8"/>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r>
        <w:rPr>
          <w:rFonts w:hint="eastAsia" w:ascii="宋体" w:hAnsi="宋体"/>
          <w:b/>
          <w:szCs w:val="21"/>
        </w:rPr>
        <w:t xml:space="preserve"> </w:t>
      </w:r>
      <w:r>
        <w:rPr>
          <w:rFonts w:ascii="宋体" w:hAnsi="宋体"/>
          <w:szCs w:val="21"/>
        </w:rPr>
        <w:t xml:space="preserve"> </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104"/>
      <w:bookmarkEnd w:id="105"/>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lang w:eastAsia="zh-CN"/>
        </w:rPr>
        <w:t>否则投标无效。</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8"/>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lang w:eastAsia="zh-CN"/>
        </w:rPr>
        <w:t>广州宝诚招标代理咨询有限公司</w:t>
      </w:r>
      <w:r>
        <w:rPr>
          <w:rFonts w:hint="eastAsia" w:ascii="宋体" w:hAnsi="宋体" w:cs="宋体"/>
          <w:szCs w:val="21"/>
          <w:lang w:eastAsia="zh-TW"/>
        </w:rPr>
        <w:t>”所有。</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38"/>
        </w:numPr>
        <w:autoSpaceDE w:val="0"/>
        <w:autoSpaceDN w:val="0"/>
        <w:adjustRightInd w:val="0"/>
        <w:snapToGrid w:val="0"/>
        <w:spacing w:line="360" w:lineRule="auto"/>
        <w:jc w:val="left"/>
        <w:rPr>
          <w:rFonts w:ascii="宋体" w:hAnsi="宋体"/>
          <w:szCs w:val="21"/>
        </w:rPr>
      </w:pPr>
      <w:bookmarkStart w:id="106"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8"/>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106"/>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8"/>
        </w:numPr>
        <w:autoSpaceDE w:val="0"/>
        <w:autoSpaceDN w:val="0"/>
        <w:adjustRightInd w:val="0"/>
        <w:snapToGrid w:val="0"/>
        <w:spacing w:line="360" w:lineRule="auto"/>
        <w:ind w:left="449" w:hanging="449" w:hangingChars="213"/>
        <w:outlineLvl w:val="2"/>
        <w:rPr>
          <w:rFonts w:hint="eastAsia" w:ascii="宋体" w:hAnsi="宋体" w:cs="宋体"/>
          <w:szCs w:val="21"/>
          <w:lang w:eastAsia="zh-TW"/>
        </w:rPr>
      </w:pPr>
      <w:r>
        <w:rPr>
          <w:rFonts w:hint="eastAsia" w:ascii="宋体" w:hAnsi="宋体"/>
          <w:b/>
          <w:bCs/>
          <w:szCs w:val="21"/>
        </w:rPr>
        <w:t>招标文件的答疑或现场考察</w:t>
      </w:r>
    </w:p>
    <w:p>
      <w:pPr>
        <w:widowControl/>
        <w:numPr>
          <w:ilvl w:val="1"/>
          <w:numId w:val="38"/>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8"/>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8"/>
        </w:numPr>
        <w:tabs>
          <w:tab w:val="left" w:pos="851"/>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8"/>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107" w:name="_Toc435542347"/>
      <w:bookmarkStart w:id="108" w:name="_Toc438223022"/>
      <w:r>
        <w:rPr>
          <w:rFonts w:hint="eastAsia" w:ascii="宋体" w:hAnsi="宋体"/>
          <w:b/>
          <w:sz w:val="28"/>
          <w:szCs w:val="28"/>
          <w:lang w:eastAsia="zh-TW"/>
        </w:rPr>
        <w:t>投标文件的编制</w:t>
      </w:r>
      <w:bookmarkEnd w:id="107"/>
      <w:bookmarkEnd w:id="108"/>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bookmarkStart w:id="109" w:name="_Toc237787500"/>
      <w:r>
        <w:rPr>
          <w:rFonts w:hint="eastAsia" w:ascii="宋体" w:hAnsi="宋体"/>
          <w:b/>
          <w:bCs/>
          <w:szCs w:val="21"/>
        </w:rPr>
        <w:t>投标的语言</w:t>
      </w:r>
      <w:bookmarkEnd w:id="109"/>
      <w:r>
        <w:rPr>
          <w:rFonts w:hint="eastAsia" w:ascii="宋体" w:hAnsi="宋体"/>
          <w:b/>
          <w:bCs/>
          <w:szCs w:val="21"/>
        </w:rPr>
        <w:t>及度量衡单位</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8"/>
        </w:numPr>
        <w:tabs>
          <w:tab w:val="left" w:pos="851"/>
        </w:tabs>
        <w:autoSpaceDE w:val="0"/>
        <w:autoSpaceDN w:val="0"/>
        <w:adjustRightInd w:val="0"/>
        <w:snapToGrid w:val="0"/>
        <w:spacing w:line="360" w:lineRule="auto"/>
        <w:rPr>
          <w:rFonts w:ascii="宋体" w:hAnsi="宋体" w:cs="宋体"/>
          <w:szCs w:val="21"/>
        </w:rPr>
      </w:pPr>
      <w:bookmarkStart w:id="110"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110"/>
      <w:r>
        <w:rPr>
          <w:rFonts w:hint="eastAsia" w:ascii="宋体" w:hAnsi="宋体" w:cs="宋体"/>
          <w:szCs w:val="21"/>
          <w:lang w:eastAsia="zh-TW"/>
        </w:rPr>
        <w:t>。</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8"/>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8"/>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38"/>
        </w:numPr>
        <w:tabs>
          <w:tab w:val="left" w:pos="709"/>
          <w:tab w:val="left" w:pos="851"/>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38"/>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38"/>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38"/>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8"/>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38"/>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8"/>
        </w:numPr>
        <w:tabs>
          <w:tab w:val="left" w:pos="851"/>
          <w:tab w:val="left" w:pos="882"/>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38"/>
        </w:numPr>
        <w:autoSpaceDE w:val="0"/>
        <w:autoSpaceDN w:val="0"/>
        <w:adjustRightInd w:val="0"/>
        <w:snapToGrid w:val="0"/>
        <w:spacing w:line="360" w:lineRule="auto"/>
        <w:rPr>
          <w:rFonts w:ascii="宋体" w:hAnsi="宋体" w:cs="黑体"/>
          <w:b/>
          <w:bCs/>
          <w:szCs w:val="21"/>
        </w:rPr>
      </w:pPr>
      <w:bookmarkStart w:id="111" w:name="_Toc237787518"/>
      <w:r>
        <w:rPr>
          <w:rFonts w:hint="eastAsia" w:ascii="宋体" w:hAnsi="宋体"/>
          <w:szCs w:val="21"/>
        </w:rPr>
        <w:t>投标人应提交证明其有资格参加投标和中标后有能力履行合同的文件，并作为其投标文件的一部分。</w:t>
      </w:r>
      <w:bookmarkEnd w:id="111"/>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8"/>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38"/>
        </w:numPr>
        <w:tabs>
          <w:tab w:val="left" w:pos="770"/>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投标保证金</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38"/>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38"/>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中标人在规定期限内未能按规定提交履约保证金；</w:t>
      </w:r>
    </w:p>
    <w:p>
      <w:pPr>
        <w:numPr>
          <w:ilvl w:val="2"/>
          <w:numId w:val="3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中标人未按本须知规定缴纳招标代理服务费。</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38"/>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112"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112"/>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8"/>
        </w:numPr>
        <w:adjustRightInd w:val="0"/>
        <w:snapToGrid w:val="0"/>
        <w:spacing w:line="360" w:lineRule="auto"/>
        <w:jc w:val="left"/>
        <w:rPr>
          <w:rFonts w:ascii="宋体" w:hAnsi="宋体"/>
          <w:szCs w:val="21"/>
        </w:rPr>
      </w:pPr>
      <w:bookmarkStart w:id="113" w:name="_Toc237787560"/>
      <w:r>
        <w:rPr>
          <w:rFonts w:hint="eastAsia" w:ascii="宋体" w:hAnsi="宋体"/>
          <w:szCs w:val="21"/>
        </w:rPr>
        <w:t>投标文件正本须用不褪色墨水书写或打印，由投标人的法定代表人或经其正式授权</w:t>
      </w:r>
      <w:bookmarkEnd w:id="113"/>
      <w:bookmarkStart w:id="114"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114"/>
    </w:p>
    <w:p>
      <w:pPr>
        <w:widowControl/>
        <w:numPr>
          <w:ilvl w:val="1"/>
          <w:numId w:val="38"/>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8"/>
        </w:numPr>
        <w:adjustRightInd w:val="0"/>
        <w:snapToGrid w:val="0"/>
        <w:spacing w:line="360" w:lineRule="auto"/>
        <w:jc w:val="left"/>
        <w:rPr>
          <w:rFonts w:ascii="宋体" w:hAnsi="宋体"/>
          <w:b/>
          <w:bCs/>
          <w:color w:val="FF0000"/>
          <w:szCs w:val="21"/>
        </w:rPr>
      </w:pPr>
      <w:bookmarkStart w:id="115"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115"/>
      <w:bookmarkStart w:id="116" w:name="_Toc237787564"/>
      <w:r>
        <w:rPr>
          <w:rFonts w:hint="eastAsia" w:ascii="宋体" w:hAnsi="宋体"/>
          <w:b/>
          <w:bCs/>
          <w:color w:val="FF0000"/>
          <w:szCs w:val="21"/>
        </w:rPr>
        <w:t>签署本人姓名或印盖本人姓名章。投标文件副本</w:t>
      </w:r>
      <w:bookmarkEnd w:id="116"/>
      <w:r>
        <w:rPr>
          <w:rFonts w:hint="eastAsia" w:ascii="宋体" w:hAnsi="宋体"/>
          <w:b/>
          <w:bCs/>
          <w:color w:val="FF0000"/>
          <w:szCs w:val="21"/>
        </w:rPr>
        <w:t>应为正本的复印件。</w:t>
      </w:r>
    </w:p>
    <w:p>
      <w:pPr>
        <w:numPr>
          <w:ilvl w:val="0"/>
          <w:numId w:val="3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117" w:name="_Toc438223023"/>
      <w:bookmarkStart w:id="118" w:name="_Toc435542348"/>
      <w:r>
        <w:rPr>
          <w:rFonts w:hint="eastAsia" w:ascii="宋体" w:hAnsi="宋体"/>
          <w:b/>
          <w:sz w:val="28"/>
          <w:szCs w:val="28"/>
          <w:lang w:eastAsia="zh-TW"/>
        </w:rPr>
        <w:t>投标文件的递交</w:t>
      </w:r>
      <w:bookmarkEnd w:id="117"/>
      <w:bookmarkEnd w:id="118"/>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spacing w:line="440" w:lineRule="exact"/>
        <w:rPr>
          <w:rFonts w:ascii="宋体" w:hAnsi="宋体" w:cs="黑体"/>
          <w:bCs/>
          <w:szCs w:val="21"/>
        </w:rPr>
      </w:pPr>
      <w:r>
        <w:rPr>
          <w:rFonts w:hint="eastAsia" w:ascii="宋体" w:hAnsi="宋体"/>
          <w:szCs w:val="21"/>
          <w:lang w:val="en-US" w:eastAsia="zh-CN"/>
        </w:rPr>
        <w:t>25.0.</w:t>
      </w: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8"/>
        </w:numPr>
        <w:adjustRightInd w:val="0"/>
        <w:snapToGrid w:val="0"/>
        <w:spacing w:line="360" w:lineRule="auto"/>
        <w:jc w:val="left"/>
        <w:rPr>
          <w:rFonts w:ascii="宋体" w:hAnsi="宋体"/>
          <w:szCs w:val="21"/>
        </w:rPr>
      </w:pPr>
      <w:bookmarkStart w:id="119" w:name="_Toc237787569"/>
      <w:r>
        <w:rPr>
          <w:rFonts w:hint="eastAsia" w:ascii="宋体" w:hAnsi="宋体"/>
          <w:szCs w:val="21"/>
        </w:rPr>
        <w:t>内外层信封均应</w:t>
      </w:r>
      <w:bookmarkEnd w:id="119"/>
      <w:r>
        <w:rPr>
          <w:rFonts w:hint="eastAsia" w:ascii="宋体" w:hAnsi="宋体" w:cs="宋体"/>
          <w:szCs w:val="21"/>
        </w:rPr>
        <w:t>：</w:t>
      </w:r>
    </w:p>
    <w:p>
      <w:pPr>
        <w:widowControl/>
        <w:numPr>
          <w:ilvl w:val="2"/>
          <w:numId w:val="38"/>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38"/>
        </w:numPr>
        <w:tabs>
          <w:tab w:val="clear" w:pos="567"/>
        </w:tabs>
        <w:adjustRightInd w:val="0"/>
        <w:snapToGrid w:val="0"/>
        <w:spacing w:line="360" w:lineRule="auto"/>
        <w:ind w:left="851" w:hanging="851"/>
        <w:jc w:val="left"/>
        <w:rPr>
          <w:rFonts w:ascii="宋体" w:hAnsi="宋体"/>
          <w:szCs w:val="21"/>
        </w:rPr>
      </w:pPr>
      <w:bookmarkStart w:id="120"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120"/>
      <w:bookmarkStart w:id="121" w:name="_Toc237787572"/>
      <w:r>
        <w:rPr>
          <w:rFonts w:hint="eastAsia" w:ascii="宋体" w:hAnsi="宋体"/>
          <w:szCs w:val="21"/>
        </w:rPr>
        <w:t>的字样，并填入投标邀请函中规定的开标日期和时间</w:t>
      </w:r>
      <w:bookmarkEnd w:id="121"/>
      <w:r>
        <w:rPr>
          <w:rFonts w:hint="eastAsia" w:ascii="宋体" w:hAnsi="宋体"/>
          <w:szCs w:val="21"/>
        </w:rPr>
        <w:t>；</w:t>
      </w:r>
    </w:p>
    <w:p>
      <w:pPr>
        <w:widowControl/>
        <w:numPr>
          <w:ilvl w:val="2"/>
          <w:numId w:val="38"/>
        </w:numPr>
        <w:tabs>
          <w:tab w:val="clear" w:pos="567"/>
        </w:tabs>
        <w:adjustRightInd w:val="0"/>
        <w:snapToGrid w:val="0"/>
        <w:spacing w:line="360" w:lineRule="auto"/>
        <w:ind w:left="851" w:hanging="851"/>
        <w:jc w:val="left"/>
        <w:rPr>
          <w:rFonts w:ascii="宋体" w:hAnsi="宋体"/>
          <w:szCs w:val="21"/>
        </w:rPr>
      </w:pPr>
      <w:bookmarkStart w:id="122" w:name="_Toc237787573"/>
      <w:r>
        <w:rPr>
          <w:rFonts w:hint="eastAsia" w:ascii="宋体" w:hAnsi="宋体"/>
          <w:szCs w:val="21"/>
        </w:rPr>
        <w:t>内层信封应写明投标人名称和地址，以便将迟交的投标文件能原封</w:t>
      </w:r>
      <w:bookmarkEnd w:id="122"/>
      <w:bookmarkStart w:id="123" w:name="_Toc237787574"/>
      <w:r>
        <w:rPr>
          <w:rFonts w:hint="eastAsia" w:ascii="宋体" w:hAnsi="宋体"/>
          <w:szCs w:val="21"/>
        </w:rPr>
        <w:t>退回。</w:t>
      </w:r>
      <w:bookmarkEnd w:id="123"/>
    </w:p>
    <w:p>
      <w:pPr>
        <w:widowControl/>
        <w:numPr>
          <w:ilvl w:val="2"/>
          <w:numId w:val="38"/>
        </w:numPr>
        <w:tabs>
          <w:tab w:val="clear" w:pos="567"/>
        </w:tabs>
        <w:adjustRightInd w:val="0"/>
        <w:snapToGrid w:val="0"/>
        <w:spacing w:line="360" w:lineRule="auto"/>
        <w:ind w:left="851" w:hanging="851"/>
        <w:jc w:val="left"/>
        <w:rPr>
          <w:rFonts w:ascii="宋体" w:hAnsi="宋体"/>
          <w:szCs w:val="21"/>
        </w:rPr>
      </w:pPr>
      <w:bookmarkStart w:id="124" w:name="_Toc237787575"/>
      <w:r>
        <w:rPr>
          <w:rFonts w:hint="eastAsia" w:ascii="宋体" w:hAnsi="宋体"/>
          <w:szCs w:val="21"/>
        </w:rPr>
        <w:t>如果外层信封未按本须知的要求加写标记，采购人和采购代理机构</w:t>
      </w:r>
      <w:bookmarkEnd w:id="124"/>
      <w:bookmarkStart w:id="125" w:name="_Toc237787576"/>
      <w:r>
        <w:rPr>
          <w:rFonts w:hint="eastAsia" w:ascii="宋体" w:hAnsi="宋体"/>
          <w:szCs w:val="21"/>
        </w:rPr>
        <w:t>对误投或提前启封概不负责</w:t>
      </w:r>
      <w:bookmarkEnd w:id="125"/>
      <w:r>
        <w:rPr>
          <w:rFonts w:hint="eastAsia" w:ascii="宋体" w:hAnsi="宋体" w:cs="宋体"/>
          <w:szCs w:val="21"/>
        </w:rPr>
        <w:t>。</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38"/>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8"/>
        </w:numPr>
        <w:autoSpaceDE w:val="0"/>
        <w:autoSpaceDN w:val="0"/>
        <w:adjustRightInd w:val="0"/>
        <w:snapToGrid w:val="0"/>
        <w:spacing w:line="360" w:lineRule="auto"/>
        <w:rPr>
          <w:rFonts w:ascii="宋体" w:hAnsi="宋体" w:cs="宋体"/>
          <w:szCs w:val="21"/>
          <w:lang w:eastAsia="zh-TW"/>
        </w:rPr>
      </w:pPr>
      <w:bookmarkStart w:id="126" w:name="_Toc237787597"/>
      <w:r>
        <w:rPr>
          <w:rFonts w:hint="eastAsia" w:ascii="宋体" w:hAnsi="宋体" w:cs="宋体"/>
          <w:szCs w:val="21"/>
          <w:lang w:eastAsia="zh-TW"/>
        </w:rPr>
        <w:t>从投标截止时间至投标人在投标文件中确定的投标有效期期满这段时间内，投标人不</w:t>
      </w:r>
      <w:bookmarkEnd w:id="126"/>
      <w:bookmarkStart w:id="127"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127"/>
      <w:r>
        <w:rPr>
          <w:rFonts w:hint="eastAsia" w:ascii="宋体" w:hAnsi="宋体" w:cs="宋体"/>
          <w:szCs w:val="21"/>
        </w:rPr>
        <w:t>。</w:t>
      </w:r>
    </w:p>
    <w:p>
      <w:pPr>
        <w:numPr>
          <w:ilvl w:val="0"/>
          <w:numId w:val="3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128" w:name="_Toc435542349"/>
      <w:bookmarkStart w:id="129" w:name="_Toc438223024"/>
      <w:r>
        <w:rPr>
          <w:rFonts w:hint="eastAsia" w:ascii="宋体" w:hAnsi="宋体"/>
          <w:b/>
          <w:sz w:val="28"/>
          <w:szCs w:val="28"/>
          <w:lang w:eastAsia="zh-TW"/>
        </w:rPr>
        <w:t>开标与评标</w:t>
      </w:r>
      <w:bookmarkEnd w:id="128"/>
      <w:bookmarkEnd w:id="129"/>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3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3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3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3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8"/>
        </w:numPr>
        <w:autoSpaceDE w:val="0"/>
        <w:autoSpaceDN w:val="0"/>
        <w:adjustRightInd w:val="0"/>
        <w:snapToGrid w:val="0"/>
        <w:spacing w:line="360" w:lineRule="auto"/>
        <w:rPr>
          <w:rFonts w:ascii="宋体" w:hAnsi="宋体" w:cs="宋体"/>
          <w:szCs w:val="21"/>
          <w:lang w:eastAsia="zh-TW"/>
        </w:rPr>
      </w:pPr>
      <w:bookmarkStart w:id="130"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30"/>
      <w:r>
        <w:rPr>
          <w:rFonts w:hint="eastAsia" w:ascii="宋体" w:hAnsi="宋体" w:cs="宋体"/>
          <w:szCs w:val="21"/>
          <w:lang w:eastAsia="zh-TW"/>
        </w:rPr>
        <w:t>。</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38"/>
        </w:numPr>
        <w:autoSpaceDE w:val="0"/>
        <w:autoSpaceDN w:val="0"/>
        <w:adjustRightInd w:val="0"/>
        <w:snapToGrid w:val="0"/>
        <w:spacing w:line="360" w:lineRule="auto"/>
        <w:rPr>
          <w:rFonts w:ascii="宋体" w:hAnsi="宋体"/>
          <w:szCs w:val="21"/>
        </w:rPr>
      </w:pPr>
      <w:bookmarkStart w:id="131"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31"/>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8"/>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8"/>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8"/>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8"/>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spacing w:line="440" w:lineRule="exact"/>
        <w:rPr>
          <w:rFonts w:ascii="宋体" w:hAnsi="宋体" w:cs="黑体"/>
          <w:b/>
          <w:bCs/>
          <w:szCs w:val="21"/>
        </w:rPr>
      </w:pPr>
      <w:r>
        <w:rPr>
          <w:rFonts w:hint="eastAsia" w:ascii="宋体" w:hAnsi="宋体" w:cs="宋体"/>
          <w:szCs w:val="21"/>
          <w:lang w:val="en-US" w:eastAsia="zh-CN"/>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8"/>
        </w:numPr>
        <w:autoSpaceDE w:val="0"/>
        <w:autoSpaceDN w:val="0"/>
        <w:adjustRightInd w:val="0"/>
        <w:snapToGrid w:val="0"/>
        <w:spacing w:line="360" w:lineRule="auto"/>
        <w:rPr>
          <w:rFonts w:ascii="宋体" w:hAnsi="宋体"/>
          <w:b/>
          <w:bCs/>
          <w:szCs w:val="21"/>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w:t>
      </w:r>
    </w:p>
    <w:p>
      <w:pPr>
        <w:spacing w:line="240" w:lineRule="auto"/>
        <w:ind w:left="630" w:leftChars="300" w:firstLine="0" w:firstLineChars="0"/>
        <w:rPr>
          <w:rFonts w:hint="eastAsia" w:ascii="宋体" w:hAnsi="宋体" w:cs="宋体"/>
          <w:szCs w:val="21"/>
          <w:lang w:eastAsia="zh-TW"/>
        </w:rPr>
      </w:pPr>
      <w:r>
        <w:rPr>
          <w:rFonts w:hint="eastAsia" w:ascii="宋体" w:hAnsi="宋体"/>
          <w:szCs w:val="21"/>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8"/>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38"/>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8"/>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38"/>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38"/>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adjustRightInd w:val="0"/>
        <w:snapToGrid w:val="0"/>
        <w:spacing w:line="360" w:lineRule="auto"/>
        <w:jc w:val="left"/>
        <w:rPr>
          <w:rFonts w:hint="eastAsia" w:ascii="宋体" w:hAnsi="宋体" w:cs="宋体"/>
          <w:bCs/>
          <w:kern w:val="0"/>
          <w:szCs w:val="21"/>
        </w:rPr>
      </w:pPr>
      <w:bookmarkStart w:id="132" w:name="_Toc435542350"/>
      <w:bookmarkStart w:id="133" w:name="_Toc438223025"/>
      <w:r>
        <w:rPr>
          <w:rFonts w:hint="eastAsia" w:ascii="宋体" w:hAnsi="宋体" w:cs="宋体"/>
          <w:bCs/>
          <w:kern w:val="0"/>
          <w:szCs w:val="21"/>
        </w:rPr>
        <w:t xml:space="preserve"> 询问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 xml:space="preserve"> 质疑供应商认为采购文件、采购过程或采购结果使自己的权益受到损害的，以书面形式向采购人或采购代理机构书面提出质疑。质疑应当依法给与答复，并将结果告知有关当事人。湖南伟佳招标采购有限公司处理质疑的依据是国家相关法律法规以及《广东省政府采购工作规范（试行）》第十一章，程序阐释如下：</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质疑处理遵循公平、公正、规范、高效的原则。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供应商质疑实行实名制和“谁质疑，谁举证”的原则，质疑应有具体的事项及事实根据。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供应商质疑应符合下列条件：</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有质疑的具体事项、请求及理由，并附相关证据材料，所依据的有关法律、法规、规章的名称及条款内容。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质疑材料中有外文资料的，应一并附上中文译本，并以中文译本为准。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（5）参与了所质疑项目的政府采购活动。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采购代理机构受理质疑办理程序：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采购代理机构应当在收到质疑书原件的当日与质疑人办理签收手续。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在质疑处理期间，采购代理机构视情形可以依法决定暂停采购活动。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8 采购单位、评标专家和相关供应商等当事人应积极配合采购代理机构进行质疑调查，如实反映情况，及时提供证明材料。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10 质疑供应商有下列情形之一的，属于虚假、恶意质疑：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捏造事实或提供虚假证明材料的；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假冒他人名义进行质疑的；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拒不配合进行有关调查、情节严重的。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12 一年内同一供应商同一行业内有三次无效质疑的列入黑名单，并呈报监管部门处理。</w:t>
      </w:r>
    </w:p>
    <w:p>
      <w:pPr>
        <w:numPr>
          <w:ilvl w:val="0"/>
          <w:numId w:val="3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授予合同</w:t>
      </w:r>
      <w:bookmarkEnd w:id="132"/>
      <w:bookmarkEnd w:id="133"/>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bookmarkStart w:id="134" w:name="_Toc237787628"/>
      <w:r>
        <w:rPr>
          <w:rFonts w:hint="eastAsia" w:ascii="宋体" w:hAnsi="宋体"/>
          <w:b/>
          <w:bCs/>
          <w:szCs w:val="21"/>
        </w:rPr>
        <w:t>中标人的确定</w:t>
      </w:r>
      <w:bookmarkEnd w:id="134"/>
    </w:p>
    <w:p>
      <w:pPr>
        <w:numPr>
          <w:ilvl w:val="1"/>
          <w:numId w:val="38"/>
        </w:numPr>
        <w:autoSpaceDE w:val="0"/>
        <w:autoSpaceDN w:val="0"/>
        <w:adjustRightInd w:val="0"/>
        <w:snapToGrid w:val="0"/>
        <w:spacing w:line="360" w:lineRule="auto"/>
        <w:rPr>
          <w:rFonts w:ascii="宋体" w:hAnsi="宋体" w:cs="宋体"/>
          <w:szCs w:val="21"/>
          <w:lang w:eastAsia="zh-TW"/>
        </w:rPr>
      </w:pPr>
      <w:bookmarkStart w:id="135" w:name="_Toc237787629"/>
      <w:r>
        <w:rPr>
          <w:rFonts w:hint="eastAsia" w:ascii="宋体" w:hAnsi="宋体" w:cs="宋体"/>
          <w:szCs w:val="21"/>
          <w:lang w:eastAsia="zh-TW"/>
        </w:rPr>
        <w:t>采购人根据评标委员会提出的书面评标报告和推荐的中标候选人确定中标人。</w:t>
      </w:r>
      <w:bookmarkEnd w:id="135"/>
      <w:r>
        <w:rPr>
          <w:rFonts w:hint="eastAsia" w:ascii="宋体" w:hAnsi="宋体" w:cs="宋体"/>
          <w:szCs w:val="21"/>
          <w:lang w:eastAsia="zh-TW"/>
        </w:rPr>
        <w:t>采购人也可以授权评标委员会直接确定中标人。</w:t>
      </w:r>
    </w:p>
    <w:p>
      <w:pPr>
        <w:numPr>
          <w:ilvl w:val="1"/>
          <w:numId w:val="38"/>
        </w:numPr>
        <w:autoSpaceDE w:val="0"/>
        <w:autoSpaceDN w:val="0"/>
        <w:adjustRightInd w:val="0"/>
        <w:snapToGrid w:val="0"/>
        <w:spacing w:line="360" w:lineRule="auto"/>
        <w:rPr>
          <w:rFonts w:ascii="宋体" w:hAnsi="宋体" w:cs="宋体"/>
          <w:szCs w:val="21"/>
          <w:lang w:eastAsia="zh-TW"/>
        </w:rPr>
      </w:pPr>
      <w:bookmarkStart w:id="136" w:name="_Toc237787633"/>
      <w:r>
        <w:rPr>
          <w:rFonts w:hint="eastAsia" w:ascii="宋体" w:hAnsi="宋体" w:cs="宋体"/>
          <w:szCs w:val="21"/>
          <w:lang w:eastAsia="zh-TW"/>
        </w:rPr>
        <w:t>确认后采购代理机构将在刊登本项目招标公告的法定媒体上发布中标公告。</w:t>
      </w:r>
      <w:bookmarkEnd w:id="136"/>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37"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37"/>
    </w:p>
    <w:p>
      <w:pPr>
        <w:numPr>
          <w:ilvl w:val="1"/>
          <w:numId w:val="38"/>
        </w:numPr>
        <w:autoSpaceDE w:val="0"/>
        <w:autoSpaceDN w:val="0"/>
        <w:adjustRightInd w:val="0"/>
        <w:snapToGrid w:val="0"/>
        <w:spacing w:line="360" w:lineRule="auto"/>
        <w:rPr>
          <w:rFonts w:ascii="宋体" w:hAnsi="宋体" w:cs="宋体"/>
          <w:szCs w:val="21"/>
          <w:lang w:eastAsia="zh-TW"/>
        </w:rPr>
      </w:pPr>
      <w:bookmarkStart w:id="138" w:name="_Toc237787646"/>
      <w:r>
        <w:rPr>
          <w:rFonts w:hint="eastAsia" w:ascii="宋体" w:hAnsi="宋体" w:cs="宋体"/>
          <w:szCs w:val="21"/>
          <w:lang w:eastAsia="zh-TW"/>
        </w:rPr>
        <w:t>《中标通知书》发出后，采购人改变中标结果，或者中标人放弃中标的，均应承担相应的法律责任。</w:t>
      </w:r>
      <w:bookmarkEnd w:id="138"/>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履约保证金</w:t>
      </w:r>
    </w:p>
    <w:p>
      <w:pPr>
        <w:numPr>
          <w:ilvl w:val="1"/>
          <w:numId w:val="3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招标代理服务费</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cs="宋体"/>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numPr>
          <w:ilvl w:val="1"/>
          <w:numId w:val="38"/>
        </w:numPr>
        <w:tabs>
          <w:tab w:val="left" w:pos="709"/>
        </w:tabs>
        <w:autoSpaceDE w:val="0"/>
        <w:autoSpaceDN w:val="0"/>
        <w:adjustRightInd w:val="0"/>
        <w:snapToGrid w:val="0"/>
        <w:spacing w:line="240" w:lineRule="auto"/>
        <w:rPr>
          <w:rFonts w:ascii="宋体" w:hAnsi="宋体" w:cs="宋体"/>
          <w:szCs w:val="21"/>
        </w:rPr>
      </w:pPr>
      <w:r>
        <w:rPr>
          <w:rFonts w:hint="eastAsia" w:ascii="宋体" w:hAnsi="宋体" w:cs="宋体"/>
          <w:szCs w:val="21"/>
        </w:rPr>
        <w:t>经依法取消中标资格的，招标代理服务费不予退还。</w:t>
      </w:r>
    </w:p>
    <w:p>
      <w:pPr>
        <w:spacing w:line="440" w:lineRule="exact"/>
        <w:rPr>
          <w:rFonts w:hint="eastAsia" w:ascii="宋体" w:hAnsi="宋体" w:cs="宋体"/>
          <w:szCs w:val="21"/>
          <w:lang w:eastAsia="zh-TW"/>
        </w:rPr>
      </w:pPr>
    </w:p>
    <w:p>
      <w:pPr>
        <w:spacing w:line="440" w:lineRule="exact"/>
        <w:rPr>
          <w:rFonts w:ascii="宋体" w:hAnsi="宋体"/>
          <w:sz w:val="24"/>
        </w:rPr>
      </w:pPr>
      <w:r>
        <w:rPr>
          <w:rFonts w:ascii="宋体" w:hAnsi="宋体"/>
          <w:sz w:val="24"/>
        </w:rPr>
        <w:br w:type="page"/>
      </w:r>
    </w:p>
    <w:p>
      <w:pPr>
        <w:numPr>
          <w:ilvl w:val="0"/>
          <w:numId w:val="38"/>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Cs w:val="21"/>
        </w:rPr>
      </w:pPr>
      <w:r>
        <w:rPr>
          <w:rFonts w:hint="eastAsia" w:ascii="宋体" w:hAnsi="宋体"/>
          <w:bCs/>
          <w:sz w:val="28"/>
        </w:rPr>
        <w:t>1：询问函格式</w:t>
      </w:r>
    </w:p>
    <w:p>
      <w:pPr>
        <w:spacing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hint="eastAsia"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napToGrid w:val="0"/>
        <w:spacing w:line="360" w:lineRule="auto"/>
        <w:ind w:firstLine="422" w:firstLineChars="201"/>
        <w:rPr>
          <w:rFonts w:ascii="宋体" w:hAnsi="宋体"/>
          <w:szCs w:val="21"/>
        </w:rPr>
      </w:pPr>
    </w:p>
    <w:p>
      <w:pPr>
        <w:spacing w:line="440" w:lineRule="exact"/>
        <w:rPr>
          <w:rFonts w:ascii="宋体" w:hAnsi="宋体"/>
          <w:sz w:val="24"/>
        </w:rPr>
      </w:pPr>
      <w:r>
        <w:rPr>
          <w:rFonts w:ascii="宋体" w:hAnsi="宋体"/>
          <w:sz w:val="24"/>
        </w:rPr>
        <w:br w:type="page"/>
      </w:r>
    </w:p>
    <w:p>
      <w:pPr>
        <w:spacing w:line="440" w:lineRule="exact"/>
        <w:rPr>
          <w:rFonts w:ascii="宋体" w:hAnsi="宋体"/>
          <w:szCs w:val="21"/>
        </w:rPr>
      </w:pPr>
      <w:r>
        <w:rPr>
          <w:rFonts w:hint="eastAsia" w:ascii="宋体" w:hAnsi="宋体"/>
          <w:bCs/>
          <w:sz w:val="28"/>
        </w:rPr>
        <w:t>2：质疑函格式</w:t>
      </w:r>
    </w:p>
    <w:p>
      <w:pPr>
        <w:spacing w:afterLines="50"/>
        <w:jc w:val="center"/>
        <w:rPr>
          <w:rFonts w:ascii="宋体" w:hAnsi="宋体"/>
          <w:b/>
          <w:bCs/>
          <w:sz w:val="28"/>
          <w:szCs w:val="28"/>
        </w:rPr>
      </w:pPr>
      <w:r>
        <w:rPr>
          <w:rFonts w:ascii="宋体" w:hAnsi="宋体"/>
          <w:b/>
          <w:bCs/>
          <w:sz w:val="28"/>
          <w:szCs w:val="28"/>
        </w:rPr>
        <w:t>质</w:t>
      </w:r>
      <w:r>
        <w:rPr>
          <w:rFonts w:hint="eastAsia" w:ascii="宋体" w:hAnsi="宋体"/>
          <w:b/>
          <w:bCs/>
          <w:sz w:val="28"/>
          <w:szCs w:val="28"/>
        </w:rPr>
        <w:t xml:space="preserve">  </w:t>
      </w:r>
      <w:r>
        <w:rPr>
          <w:rFonts w:ascii="宋体" w:hAnsi="宋体"/>
          <w:b/>
          <w:bCs/>
          <w:sz w:val="28"/>
          <w:szCs w:val="28"/>
        </w:rPr>
        <w:t>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w:t>
      </w:r>
      <w:r>
        <w:rPr>
          <w:rFonts w:hint="eastAsia" w:ascii="宋体" w:hAnsi="宋体"/>
          <w:szCs w:val="21"/>
          <w:u w:val="single"/>
        </w:rPr>
        <w:t xml:space="preserve">    </w:t>
      </w:r>
      <w:r>
        <w:rPr>
          <w:rFonts w:hint="eastAsia" w:ascii="宋体" w:hAnsi="宋体"/>
          <w:szCs w:val="21"/>
        </w:rPr>
        <w:t xml:space="preserve">页，内容“ </w:t>
      </w:r>
      <w:r>
        <w:rPr>
          <w:rFonts w:hint="eastAsia" w:ascii="宋体" w:hAnsi="宋体"/>
          <w:szCs w:val="21"/>
          <w:u w:val="single"/>
        </w:rPr>
        <w:t xml:space="preserve">                            </w:t>
      </w:r>
      <w:r>
        <w:rPr>
          <w:rFonts w:hint="eastAsia" w:ascii="宋体" w:hAnsi="宋体"/>
          <w:szCs w:val="21"/>
        </w:rPr>
        <w:t xml:space="preserve">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r>
        <w:rPr>
          <w:rFonts w:hint="eastAsia" w:ascii="宋体" w:hAnsi="宋体"/>
          <w:szCs w:val="21"/>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主要负责人 ：</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r>
        <w:rPr>
          <w:rFonts w:hint="eastAsia" w:ascii="宋体" w:hAnsi="宋体"/>
          <w:szCs w:val="21"/>
          <w:u w:val="single"/>
        </w:rPr>
        <w:t xml:space="preserve">             </w:t>
      </w:r>
      <w:r>
        <w:rPr>
          <w:rFonts w:hint="eastAsia" w:ascii="宋体" w:hAnsi="宋体"/>
          <w:szCs w:val="21"/>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邮编：</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电子邮箱：</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r>
        <w:rPr>
          <w:rFonts w:hint="eastAsia" w:ascii="宋体" w:hAnsi="宋体"/>
          <w:szCs w:val="21"/>
          <w:u w:val="single"/>
        </w:rPr>
        <w:t xml:space="preserve">            </w:t>
      </w:r>
    </w:p>
    <w:p>
      <w:pPr>
        <w:widowControl/>
        <w:snapToGrid w:val="0"/>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39"/>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9"/>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39"/>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9"/>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hint="eastAsia" w:ascii="宋体" w:hAnsi="宋体"/>
          <w:spacing w:val="4"/>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http://www.</w:t>
    </w:r>
    <w:r>
      <w:rPr>
        <w:rFonts w:hint="eastAsia"/>
        <w:lang w:val="en-US" w:eastAsia="zh-CN"/>
      </w:rPr>
      <w:t>baochengdaili.com</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8</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lang w:eastAsia="zh-CN"/>
      </w:rPr>
      <w:t xml:space="preserve"> http://www.baochengdaili.com/</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2</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ascii="宋体" w:hAnsi="宋体"/>
        <w:b w:val="0"/>
        <w:bCs/>
        <w:sz w:val="18"/>
        <w:szCs w:val="18"/>
      </w:rPr>
    </w:pPr>
    <w:r>
      <w:rPr>
        <w:rFonts w:hint="eastAsia" w:ascii="宋体" w:hAnsi="宋体"/>
        <w:b w:val="0"/>
        <w:bCs/>
        <w:sz w:val="18"/>
        <w:szCs w:val="18"/>
        <w:lang w:eastAsia="zh-CN"/>
      </w:rPr>
      <w:t>项目名称：市桥街北片联合执法队购买安保服务采购项目</w:t>
    </w:r>
    <w:r>
      <w:rPr>
        <w:rFonts w:hint="eastAsia" w:ascii="宋体" w:hAnsi="宋体"/>
        <w:b w:val="0"/>
        <w:bCs/>
        <w:sz w:val="18"/>
        <w:szCs w:val="18"/>
        <w:lang w:val="en-US" w:eastAsia="zh-CN"/>
      </w:rPr>
      <w:t xml:space="preserve">                             项目编号：</w:t>
    </w:r>
    <w:r>
      <w:rPr>
        <w:rFonts w:hint="eastAsia" w:ascii="宋体" w:hAnsi="宋体"/>
        <w:b w:val="0"/>
        <w:bCs/>
        <w:sz w:val="18"/>
        <w:szCs w:val="18"/>
        <w:lang w:eastAsia="zh-CN"/>
      </w:rPr>
      <w:t>GZBC18FG05008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466864"/>
    <w:multiLevelType w:val="singleLevel"/>
    <w:tmpl w:val="D8466864"/>
    <w:lvl w:ilvl="0" w:tentative="0">
      <w:start w:val="1"/>
      <w:numFmt w:val="decimal"/>
      <w:suff w:val="space"/>
      <w:lvlText w:val="%1."/>
      <w:lvlJc w:val="left"/>
    </w:lvl>
  </w:abstractNum>
  <w:abstractNum w:abstractNumId="1">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2453450"/>
    <w:multiLevelType w:val="multilevel"/>
    <w:tmpl w:val="0245345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061543F"/>
    <w:multiLevelType w:val="singleLevel"/>
    <w:tmpl w:val="1061543F"/>
    <w:lvl w:ilvl="0" w:tentative="0">
      <w:start w:val="1"/>
      <w:numFmt w:val="decimal"/>
      <w:suff w:val="nothing"/>
      <w:lvlText w:val="%1、"/>
      <w:lvlJc w:val="left"/>
    </w:lvl>
  </w:abstractNum>
  <w:abstractNum w:abstractNumId="5">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7843FAB"/>
    <w:multiLevelType w:val="multilevel"/>
    <w:tmpl w:val="27843FAB"/>
    <w:lvl w:ilvl="0" w:tentative="0">
      <w:start w:val="1"/>
      <w:numFmt w:val="decimal"/>
      <w:lvlText w:val="%1)"/>
      <w:lvlJc w:val="left"/>
      <w:pPr>
        <w:ind w:left="845" w:hanging="425"/>
      </w:pPr>
      <w:rPr>
        <w:rFonts w:hint="eastAsia"/>
        <w:b w:val="0"/>
      </w:rPr>
    </w:lvl>
    <w:lvl w:ilvl="1" w:tentative="0">
      <w:start w:val="1"/>
      <w:numFmt w:val="decimal"/>
      <w:lvlText w:val="%1.%2."/>
      <w:lvlJc w:val="left"/>
      <w:pPr>
        <w:ind w:left="987" w:hanging="567"/>
      </w:pPr>
      <w:rPr>
        <w:rFonts w:ascii="宋体" w:hAnsi="宋体" w:eastAsia="宋体"/>
      </w:rPr>
    </w:lvl>
    <w:lvl w:ilvl="2" w:tentative="0">
      <w:start w:val="1"/>
      <w:numFmt w:val="decimal"/>
      <w:lvlText w:val="%1.%2.%3."/>
      <w:lvlJc w:val="left"/>
      <w:pPr>
        <w:ind w:left="1129" w:hanging="709"/>
      </w:pPr>
      <w:rPr>
        <w:rFonts w:ascii="宋体" w:hAnsi="宋体" w:eastAsia="宋体"/>
      </w:rPr>
    </w:lvl>
    <w:lvl w:ilvl="3" w:tentative="0">
      <w:start w:val="1"/>
      <w:numFmt w:val="decimal"/>
      <w:lvlText w:val="%1.%2.%3.%4."/>
      <w:lvlJc w:val="left"/>
      <w:pPr>
        <w:ind w:left="1271" w:hanging="851"/>
      </w:pPr>
    </w:lvl>
    <w:lvl w:ilvl="4" w:tentative="0">
      <w:start w:val="1"/>
      <w:numFmt w:val="decimal"/>
      <w:lvlText w:val="%1.%2.%3.%4.%5."/>
      <w:lvlJc w:val="left"/>
      <w:pPr>
        <w:ind w:left="1412" w:hanging="992"/>
      </w:pPr>
    </w:lvl>
    <w:lvl w:ilvl="5" w:tentative="0">
      <w:start w:val="1"/>
      <w:numFmt w:val="decimal"/>
      <w:lvlText w:val="%1.%2.%3.%4.%5.%6."/>
      <w:lvlJc w:val="left"/>
      <w:pPr>
        <w:ind w:left="1554" w:hanging="1134"/>
      </w:pPr>
    </w:lvl>
    <w:lvl w:ilvl="6" w:tentative="0">
      <w:start w:val="1"/>
      <w:numFmt w:val="decimal"/>
      <w:lvlText w:val="%1.%2.%3.%4.%5.%6.%7."/>
      <w:lvlJc w:val="left"/>
      <w:pPr>
        <w:ind w:left="1696" w:hanging="1276"/>
      </w:pPr>
    </w:lvl>
    <w:lvl w:ilvl="7" w:tentative="0">
      <w:start w:val="1"/>
      <w:numFmt w:val="decimal"/>
      <w:lvlText w:val="%1.%2.%3.%4.%5.%6.%7.%8."/>
      <w:lvlJc w:val="left"/>
      <w:pPr>
        <w:ind w:left="1838" w:hanging="1418"/>
      </w:pPr>
    </w:lvl>
    <w:lvl w:ilvl="8" w:tentative="0">
      <w:start w:val="1"/>
      <w:numFmt w:val="decimal"/>
      <w:lvlText w:val="%1.%2.%3.%4.%5.%6.%7.%8.%9."/>
      <w:lvlJc w:val="left"/>
      <w:pPr>
        <w:ind w:left="1979" w:hanging="1559"/>
      </w:pPr>
    </w:lvl>
  </w:abstractNum>
  <w:abstractNum w:abstractNumId="8">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B9B2704"/>
    <w:multiLevelType w:val="multilevel"/>
    <w:tmpl w:val="2B9B2704"/>
    <w:lvl w:ilvl="0" w:tentative="0">
      <w:start w:val="1"/>
      <w:numFmt w:val="decimal"/>
      <w:lvlText w:val="%1．"/>
      <w:lvlJc w:val="left"/>
      <w:pPr>
        <w:ind w:left="360" w:hanging="360"/>
      </w:pPr>
      <w:rPr>
        <w:rFonts w:hint="default"/>
        <w:b w:val="0"/>
        <w:i w:val="0"/>
        <w:color w:val="auto"/>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2">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3">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5">
    <w:nsid w:val="3E643B97"/>
    <w:multiLevelType w:val="multilevel"/>
    <w:tmpl w:val="3E643B97"/>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2"/>
      <w:numFmt w:val="decimal"/>
      <w:lvlText w:val="%3）"/>
      <w:lvlJc w:val="left"/>
      <w:pPr>
        <w:ind w:left="1909" w:hanging="360"/>
      </w:pPr>
      <w:rPr>
        <w:rFonts w:hint="default"/>
      </w:r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6">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18"/>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1">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3">
    <w:nsid w:val="50675357"/>
    <w:multiLevelType w:val="multilevel"/>
    <w:tmpl w:val="50675357"/>
    <w:lvl w:ilvl="0" w:tentative="0">
      <w:start w:val="1"/>
      <w:numFmt w:val="decimal"/>
      <w:lvlText w:val="%1."/>
      <w:lvlJc w:val="left"/>
      <w:pPr>
        <w:ind w:left="425" w:hanging="425"/>
      </w:pPr>
      <w:rPr>
        <w:rFonts w:hint="eastAsia" w:ascii="宋体" w:hAnsi="宋体" w:eastAsia="宋体"/>
        <w:b w:val="0"/>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4">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5">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7730D3A"/>
    <w:multiLevelType w:val="multilevel"/>
    <w:tmpl w:val="57730D3A"/>
    <w:lvl w:ilvl="0" w:tentative="0">
      <w:start w:val="5"/>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7">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8">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9">
    <w:nsid w:val="5B9A6BA0"/>
    <w:multiLevelType w:val="multilevel"/>
    <w:tmpl w:val="5B9A6BA0"/>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61247931"/>
    <w:multiLevelType w:val="multilevel"/>
    <w:tmpl w:val="61247931"/>
    <w:lvl w:ilvl="0" w:tentative="0">
      <w:start w:val="1"/>
      <w:numFmt w:val="decimal"/>
      <w:lvlText w:val="%1."/>
      <w:lvlJc w:val="left"/>
      <w:pPr>
        <w:ind w:left="735" w:hanging="420"/>
      </w:pPr>
      <w:rPr>
        <w:b w:val="0"/>
        <w:color w:val="auto"/>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32">
    <w:nsid w:val="67A43B64"/>
    <w:multiLevelType w:val="multilevel"/>
    <w:tmpl w:val="67A43B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67BC6897"/>
    <w:multiLevelType w:val="multilevel"/>
    <w:tmpl w:val="67BC6897"/>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34">
    <w:nsid w:val="69D97105"/>
    <w:multiLevelType w:val="multilevel"/>
    <w:tmpl w:val="69D97105"/>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741759A0"/>
    <w:multiLevelType w:val="multilevel"/>
    <w:tmpl w:val="741759A0"/>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752C64C4"/>
    <w:multiLevelType w:val="multilevel"/>
    <w:tmpl w:val="752C64C4"/>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7">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8">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2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24"/>
  </w:num>
  <w:num w:numId="5">
    <w:abstractNumId w:val="16"/>
  </w:num>
  <w:num w:numId="6">
    <w:abstractNumId w:val="9"/>
  </w:num>
  <w:num w:numId="7">
    <w:abstractNumId w:val="22"/>
  </w:num>
  <w:num w:numId="8">
    <w:abstractNumId w:val="18"/>
  </w:num>
  <w:num w:numId="9">
    <w:abstractNumId w:val="15"/>
  </w:num>
  <w:num w:numId="10">
    <w:abstractNumId w:val="8"/>
  </w:num>
  <w:num w:numId="11">
    <w:abstractNumId w:val="6"/>
  </w:num>
  <w:num w:numId="12">
    <w:abstractNumId w:val="35"/>
  </w:num>
  <w:num w:numId="13">
    <w:abstractNumId w:val="29"/>
  </w:num>
  <w:num w:numId="14">
    <w:abstractNumId w:val="13"/>
  </w:num>
  <w:num w:numId="15">
    <w:abstractNumId w:val="4"/>
  </w:num>
  <w:num w:numId="16">
    <w:abstractNumId w:val="23"/>
  </w:num>
  <w:num w:numId="17">
    <w:abstractNumId w:val="7"/>
  </w:num>
  <w:num w:numId="18">
    <w:abstractNumId w:val="17"/>
  </w:num>
  <w:num w:numId="19">
    <w:abstractNumId w:val="36"/>
  </w:num>
  <w:num w:numId="20">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num>
  <w:num w:numId="23">
    <w:abstractNumId w:val="12"/>
  </w:num>
  <w:num w:numId="24">
    <w:abstractNumId w:val="38"/>
  </w:num>
  <w:num w:numId="25">
    <w:abstractNumId w:val="11"/>
  </w:num>
  <w:num w:numId="26">
    <w:abstractNumId w:val="14"/>
  </w:num>
  <w:num w:numId="27">
    <w:abstractNumId w:val="37"/>
  </w:num>
  <w:num w:numId="28">
    <w:abstractNumId w:val="2"/>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25"/>
  </w:num>
  <w:num w:numId="32">
    <w:abstractNumId w:val="0"/>
  </w:num>
  <w:num w:numId="33">
    <w:abstractNumId w:val="5"/>
  </w:num>
  <w:num w:numId="34">
    <w:abstractNumId w:val="21"/>
  </w:num>
  <w:num w:numId="35">
    <w:abstractNumId w:val="34"/>
  </w:num>
  <w:num w:numId="36">
    <w:abstractNumId w:val="32"/>
  </w:num>
  <w:num w:numId="37">
    <w:abstractNumId w:val="30"/>
  </w:num>
  <w:num w:numId="38">
    <w:abstractNumId w:val="27"/>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F33E4"/>
    <w:rsid w:val="00107439"/>
    <w:rsid w:val="0012180D"/>
    <w:rsid w:val="0035788C"/>
    <w:rsid w:val="004154B6"/>
    <w:rsid w:val="004D727E"/>
    <w:rsid w:val="005F191E"/>
    <w:rsid w:val="00650291"/>
    <w:rsid w:val="006F29FD"/>
    <w:rsid w:val="007036BF"/>
    <w:rsid w:val="007E1F5B"/>
    <w:rsid w:val="00815D98"/>
    <w:rsid w:val="008E0F27"/>
    <w:rsid w:val="00A41C84"/>
    <w:rsid w:val="00A61108"/>
    <w:rsid w:val="00B178F4"/>
    <w:rsid w:val="00C22F78"/>
    <w:rsid w:val="00CA70B5"/>
    <w:rsid w:val="00DB03A3"/>
    <w:rsid w:val="00EB64C4"/>
    <w:rsid w:val="00EC4661"/>
    <w:rsid w:val="00EE6351"/>
    <w:rsid w:val="00F21BAD"/>
    <w:rsid w:val="00F36428"/>
    <w:rsid w:val="00F90625"/>
    <w:rsid w:val="00FA6B7E"/>
    <w:rsid w:val="00FE0B1C"/>
    <w:rsid w:val="01100146"/>
    <w:rsid w:val="01177C71"/>
    <w:rsid w:val="011E610E"/>
    <w:rsid w:val="01233CB9"/>
    <w:rsid w:val="01255D48"/>
    <w:rsid w:val="013446F5"/>
    <w:rsid w:val="013924F5"/>
    <w:rsid w:val="013D7117"/>
    <w:rsid w:val="01460851"/>
    <w:rsid w:val="014A2C98"/>
    <w:rsid w:val="014A752A"/>
    <w:rsid w:val="01543ABB"/>
    <w:rsid w:val="015E0ADD"/>
    <w:rsid w:val="01692646"/>
    <w:rsid w:val="016A0798"/>
    <w:rsid w:val="016B1954"/>
    <w:rsid w:val="01840F9E"/>
    <w:rsid w:val="01AB439B"/>
    <w:rsid w:val="01B66F67"/>
    <w:rsid w:val="01BE2DA5"/>
    <w:rsid w:val="01C0060E"/>
    <w:rsid w:val="01D829F2"/>
    <w:rsid w:val="01E76F96"/>
    <w:rsid w:val="01F25280"/>
    <w:rsid w:val="01FE472A"/>
    <w:rsid w:val="020739DD"/>
    <w:rsid w:val="021C7DE9"/>
    <w:rsid w:val="02206911"/>
    <w:rsid w:val="02235477"/>
    <w:rsid w:val="022D49D9"/>
    <w:rsid w:val="02342AF7"/>
    <w:rsid w:val="02364FD9"/>
    <w:rsid w:val="0237773C"/>
    <w:rsid w:val="02427C6A"/>
    <w:rsid w:val="02496491"/>
    <w:rsid w:val="02516405"/>
    <w:rsid w:val="02571DE8"/>
    <w:rsid w:val="025B1A52"/>
    <w:rsid w:val="028E3F86"/>
    <w:rsid w:val="028F2637"/>
    <w:rsid w:val="029B0320"/>
    <w:rsid w:val="02A02BEF"/>
    <w:rsid w:val="02A114C6"/>
    <w:rsid w:val="02B6787A"/>
    <w:rsid w:val="02C103D8"/>
    <w:rsid w:val="02C70BC4"/>
    <w:rsid w:val="02D04232"/>
    <w:rsid w:val="02D9087F"/>
    <w:rsid w:val="02DF7AD4"/>
    <w:rsid w:val="02ED1E35"/>
    <w:rsid w:val="02FF6296"/>
    <w:rsid w:val="03256779"/>
    <w:rsid w:val="03687111"/>
    <w:rsid w:val="037E27E8"/>
    <w:rsid w:val="039879F7"/>
    <w:rsid w:val="03B56F97"/>
    <w:rsid w:val="03CC74A6"/>
    <w:rsid w:val="03DB0ABE"/>
    <w:rsid w:val="03E145CE"/>
    <w:rsid w:val="03EF44BE"/>
    <w:rsid w:val="041A5514"/>
    <w:rsid w:val="04202074"/>
    <w:rsid w:val="042B32BA"/>
    <w:rsid w:val="042C45F3"/>
    <w:rsid w:val="0435791D"/>
    <w:rsid w:val="043D32A2"/>
    <w:rsid w:val="044D7F7C"/>
    <w:rsid w:val="04605644"/>
    <w:rsid w:val="046766D3"/>
    <w:rsid w:val="047F5C61"/>
    <w:rsid w:val="04856217"/>
    <w:rsid w:val="048D2B18"/>
    <w:rsid w:val="04A53FE1"/>
    <w:rsid w:val="04B02EDC"/>
    <w:rsid w:val="04B45049"/>
    <w:rsid w:val="04B52F7F"/>
    <w:rsid w:val="04C5482A"/>
    <w:rsid w:val="04CF7C8B"/>
    <w:rsid w:val="04D4516F"/>
    <w:rsid w:val="04DA7D37"/>
    <w:rsid w:val="04E6270B"/>
    <w:rsid w:val="04F2702F"/>
    <w:rsid w:val="053A443A"/>
    <w:rsid w:val="05433EC5"/>
    <w:rsid w:val="05512A36"/>
    <w:rsid w:val="055E6D0B"/>
    <w:rsid w:val="056D0EEA"/>
    <w:rsid w:val="05777728"/>
    <w:rsid w:val="05983E54"/>
    <w:rsid w:val="05994730"/>
    <w:rsid w:val="059C7058"/>
    <w:rsid w:val="059D0DCC"/>
    <w:rsid w:val="05A4072B"/>
    <w:rsid w:val="05A66373"/>
    <w:rsid w:val="05B13918"/>
    <w:rsid w:val="05C5601A"/>
    <w:rsid w:val="05C66CFE"/>
    <w:rsid w:val="05D561DA"/>
    <w:rsid w:val="05D71877"/>
    <w:rsid w:val="05D92701"/>
    <w:rsid w:val="05EC7AC4"/>
    <w:rsid w:val="05F2736F"/>
    <w:rsid w:val="05F8468C"/>
    <w:rsid w:val="05F84CB5"/>
    <w:rsid w:val="05FE165A"/>
    <w:rsid w:val="060471A6"/>
    <w:rsid w:val="060F5578"/>
    <w:rsid w:val="0612220D"/>
    <w:rsid w:val="06210E90"/>
    <w:rsid w:val="06247FCB"/>
    <w:rsid w:val="062509E9"/>
    <w:rsid w:val="0625397B"/>
    <w:rsid w:val="06296351"/>
    <w:rsid w:val="06326464"/>
    <w:rsid w:val="0637367A"/>
    <w:rsid w:val="063C742D"/>
    <w:rsid w:val="064B263C"/>
    <w:rsid w:val="064F4318"/>
    <w:rsid w:val="0654452D"/>
    <w:rsid w:val="066024D4"/>
    <w:rsid w:val="06683F90"/>
    <w:rsid w:val="06751F36"/>
    <w:rsid w:val="068A729F"/>
    <w:rsid w:val="068E350E"/>
    <w:rsid w:val="06915C39"/>
    <w:rsid w:val="06A00F45"/>
    <w:rsid w:val="06A42C90"/>
    <w:rsid w:val="06B607B9"/>
    <w:rsid w:val="06C51603"/>
    <w:rsid w:val="06C670A8"/>
    <w:rsid w:val="06D17F81"/>
    <w:rsid w:val="06E90540"/>
    <w:rsid w:val="06ED59AB"/>
    <w:rsid w:val="06F5637C"/>
    <w:rsid w:val="06F63A05"/>
    <w:rsid w:val="06FB5BEA"/>
    <w:rsid w:val="06FB6328"/>
    <w:rsid w:val="06FD6F5A"/>
    <w:rsid w:val="07050E9A"/>
    <w:rsid w:val="0713372E"/>
    <w:rsid w:val="07136744"/>
    <w:rsid w:val="071D7C41"/>
    <w:rsid w:val="07455AC0"/>
    <w:rsid w:val="07507F25"/>
    <w:rsid w:val="075B3CA9"/>
    <w:rsid w:val="075E7DA5"/>
    <w:rsid w:val="07633D59"/>
    <w:rsid w:val="07656A09"/>
    <w:rsid w:val="07677110"/>
    <w:rsid w:val="077D78AE"/>
    <w:rsid w:val="079040AE"/>
    <w:rsid w:val="07A56326"/>
    <w:rsid w:val="07B25005"/>
    <w:rsid w:val="07BB4BC8"/>
    <w:rsid w:val="07C44F01"/>
    <w:rsid w:val="07D9391A"/>
    <w:rsid w:val="07EA56E7"/>
    <w:rsid w:val="07EB12A0"/>
    <w:rsid w:val="07F27638"/>
    <w:rsid w:val="07F77B97"/>
    <w:rsid w:val="07FC12FC"/>
    <w:rsid w:val="08032138"/>
    <w:rsid w:val="080C259C"/>
    <w:rsid w:val="081E6D03"/>
    <w:rsid w:val="082549C0"/>
    <w:rsid w:val="08287FB4"/>
    <w:rsid w:val="083927F2"/>
    <w:rsid w:val="083948C1"/>
    <w:rsid w:val="083A63CB"/>
    <w:rsid w:val="083E2CC9"/>
    <w:rsid w:val="08454700"/>
    <w:rsid w:val="084A0F9B"/>
    <w:rsid w:val="086037D3"/>
    <w:rsid w:val="086B4787"/>
    <w:rsid w:val="086E7719"/>
    <w:rsid w:val="08714199"/>
    <w:rsid w:val="08796723"/>
    <w:rsid w:val="08846250"/>
    <w:rsid w:val="088B0A0F"/>
    <w:rsid w:val="089E1D6F"/>
    <w:rsid w:val="08A52F21"/>
    <w:rsid w:val="08B96FD1"/>
    <w:rsid w:val="08C273DC"/>
    <w:rsid w:val="08D27BF6"/>
    <w:rsid w:val="08DF0DE4"/>
    <w:rsid w:val="08E5218B"/>
    <w:rsid w:val="08F1760E"/>
    <w:rsid w:val="08FB28D6"/>
    <w:rsid w:val="08FC7BDD"/>
    <w:rsid w:val="090F0BF1"/>
    <w:rsid w:val="091C599B"/>
    <w:rsid w:val="092007AC"/>
    <w:rsid w:val="09224D8F"/>
    <w:rsid w:val="092330E0"/>
    <w:rsid w:val="0925477F"/>
    <w:rsid w:val="092D1BB8"/>
    <w:rsid w:val="092F6AFE"/>
    <w:rsid w:val="09320FB5"/>
    <w:rsid w:val="093341BD"/>
    <w:rsid w:val="09597B04"/>
    <w:rsid w:val="096C6C46"/>
    <w:rsid w:val="096D6BA1"/>
    <w:rsid w:val="09837465"/>
    <w:rsid w:val="098D2EB2"/>
    <w:rsid w:val="09917D73"/>
    <w:rsid w:val="09A631F6"/>
    <w:rsid w:val="09AC43EE"/>
    <w:rsid w:val="09B13C74"/>
    <w:rsid w:val="09B257E0"/>
    <w:rsid w:val="09B40FB4"/>
    <w:rsid w:val="09DC0410"/>
    <w:rsid w:val="09DF3FB6"/>
    <w:rsid w:val="09FC691A"/>
    <w:rsid w:val="0A005C13"/>
    <w:rsid w:val="0A4F3643"/>
    <w:rsid w:val="0A5715D9"/>
    <w:rsid w:val="0A5E4838"/>
    <w:rsid w:val="0A620FC9"/>
    <w:rsid w:val="0A782910"/>
    <w:rsid w:val="0A7A5ECF"/>
    <w:rsid w:val="0A7B00FA"/>
    <w:rsid w:val="0A8008E1"/>
    <w:rsid w:val="0A9F5AA3"/>
    <w:rsid w:val="0AA40BD4"/>
    <w:rsid w:val="0AB14A71"/>
    <w:rsid w:val="0ABA09FE"/>
    <w:rsid w:val="0AC321EE"/>
    <w:rsid w:val="0AC472E4"/>
    <w:rsid w:val="0AC601BD"/>
    <w:rsid w:val="0AC732DE"/>
    <w:rsid w:val="0ACD4604"/>
    <w:rsid w:val="0AD20000"/>
    <w:rsid w:val="0AD82858"/>
    <w:rsid w:val="0ADE554D"/>
    <w:rsid w:val="0AEA52A2"/>
    <w:rsid w:val="0AEC40E4"/>
    <w:rsid w:val="0B215037"/>
    <w:rsid w:val="0B2A7363"/>
    <w:rsid w:val="0B303411"/>
    <w:rsid w:val="0B306BDB"/>
    <w:rsid w:val="0B3B46C7"/>
    <w:rsid w:val="0B477723"/>
    <w:rsid w:val="0B4B77A4"/>
    <w:rsid w:val="0B5233A1"/>
    <w:rsid w:val="0B5727D8"/>
    <w:rsid w:val="0B592B8D"/>
    <w:rsid w:val="0B5C6DF4"/>
    <w:rsid w:val="0B664CC1"/>
    <w:rsid w:val="0B6B0206"/>
    <w:rsid w:val="0B6B23F0"/>
    <w:rsid w:val="0B6E29A5"/>
    <w:rsid w:val="0B7F51DF"/>
    <w:rsid w:val="0B816B4C"/>
    <w:rsid w:val="0B840A57"/>
    <w:rsid w:val="0B8C64D5"/>
    <w:rsid w:val="0B9A48A9"/>
    <w:rsid w:val="0BA64C51"/>
    <w:rsid w:val="0BA760D0"/>
    <w:rsid w:val="0BA96727"/>
    <w:rsid w:val="0BB47B20"/>
    <w:rsid w:val="0BB5246C"/>
    <w:rsid w:val="0BD067E6"/>
    <w:rsid w:val="0BDC5D3C"/>
    <w:rsid w:val="0BE05230"/>
    <w:rsid w:val="0BF53982"/>
    <w:rsid w:val="0BF5730F"/>
    <w:rsid w:val="0BF630FE"/>
    <w:rsid w:val="0C037046"/>
    <w:rsid w:val="0C145CE4"/>
    <w:rsid w:val="0C324EA6"/>
    <w:rsid w:val="0C40688D"/>
    <w:rsid w:val="0C513FEB"/>
    <w:rsid w:val="0C5C7DBC"/>
    <w:rsid w:val="0C5E6115"/>
    <w:rsid w:val="0C656979"/>
    <w:rsid w:val="0C662B4A"/>
    <w:rsid w:val="0C76664C"/>
    <w:rsid w:val="0C804D22"/>
    <w:rsid w:val="0C964645"/>
    <w:rsid w:val="0C9C4F63"/>
    <w:rsid w:val="0C9F3B5A"/>
    <w:rsid w:val="0CAC5A8E"/>
    <w:rsid w:val="0CD90F45"/>
    <w:rsid w:val="0CE527A4"/>
    <w:rsid w:val="0CEA4585"/>
    <w:rsid w:val="0CF30A60"/>
    <w:rsid w:val="0CFC1B67"/>
    <w:rsid w:val="0D07371E"/>
    <w:rsid w:val="0D3668A7"/>
    <w:rsid w:val="0D392327"/>
    <w:rsid w:val="0D3E0AB0"/>
    <w:rsid w:val="0D465059"/>
    <w:rsid w:val="0D48448C"/>
    <w:rsid w:val="0D5D6F60"/>
    <w:rsid w:val="0D6A04F7"/>
    <w:rsid w:val="0DA40C88"/>
    <w:rsid w:val="0DB14954"/>
    <w:rsid w:val="0DB514C0"/>
    <w:rsid w:val="0DBD165B"/>
    <w:rsid w:val="0DC71864"/>
    <w:rsid w:val="0DC76181"/>
    <w:rsid w:val="0DDB0986"/>
    <w:rsid w:val="0DDD06BB"/>
    <w:rsid w:val="0DE17245"/>
    <w:rsid w:val="0DED41BF"/>
    <w:rsid w:val="0DEE4374"/>
    <w:rsid w:val="0DEF3C94"/>
    <w:rsid w:val="0DF52AAA"/>
    <w:rsid w:val="0DF86DCB"/>
    <w:rsid w:val="0DFB1953"/>
    <w:rsid w:val="0DFF2D63"/>
    <w:rsid w:val="0E083A84"/>
    <w:rsid w:val="0E0E08B7"/>
    <w:rsid w:val="0E143ECF"/>
    <w:rsid w:val="0E1B51E4"/>
    <w:rsid w:val="0E282319"/>
    <w:rsid w:val="0E3A4805"/>
    <w:rsid w:val="0E4A6F1D"/>
    <w:rsid w:val="0E650473"/>
    <w:rsid w:val="0E681900"/>
    <w:rsid w:val="0E813F40"/>
    <w:rsid w:val="0E820509"/>
    <w:rsid w:val="0E896FFE"/>
    <w:rsid w:val="0E9C5605"/>
    <w:rsid w:val="0E9E4DC0"/>
    <w:rsid w:val="0EAF6F74"/>
    <w:rsid w:val="0EBB3ECC"/>
    <w:rsid w:val="0ED260CD"/>
    <w:rsid w:val="0EDA5675"/>
    <w:rsid w:val="0EEA3D8E"/>
    <w:rsid w:val="0EF24883"/>
    <w:rsid w:val="0EF408C9"/>
    <w:rsid w:val="0F041FDE"/>
    <w:rsid w:val="0F09758C"/>
    <w:rsid w:val="0F1C36D3"/>
    <w:rsid w:val="0F1D64C6"/>
    <w:rsid w:val="0F237C9A"/>
    <w:rsid w:val="0F411FE7"/>
    <w:rsid w:val="0F566D59"/>
    <w:rsid w:val="0F5C3DBD"/>
    <w:rsid w:val="0F6064A8"/>
    <w:rsid w:val="0F752C30"/>
    <w:rsid w:val="0F827398"/>
    <w:rsid w:val="0F8C27C0"/>
    <w:rsid w:val="0F906A2D"/>
    <w:rsid w:val="0F9261BA"/>
    <w:rsid w:val="0F934178"/>
    <w:rsid w:val="0F972A29"/>
    <w:rsid w:val="0F997E52"/>
    <w:rsid w:val="0FAD2C02"/>
    <w:rsid w:val="0FBD61C4"/>
    <w:rsid w:val="0FC57A5F"/>
    <w:rsid w:val="0FCB1C3D"/>
    <w:rsid w:val="0FCB1D1B"/>
    <w:rsid w:val="0FD6699C"/>
    <w:rsid w:val="0FE70CED"/>
    <w:rsid w:val="0FF63D67"/>
    <w:rsid w:val="0FF673C5"/>
    <w:rsid w:val="10281CAB"/>
    <w:rsid w:val="102B762A"/>
    <w:rsid w:val="1045085E"/>
    <w:rsid w:val="10464D9F"/>
    <w:rsid w:val="105F59D9"/>
    <w:rsid w:val="106B16E5"/>
    <w:rsid w:val="107868A7"/>
    <w:rsid w:val="108037BD"/>
    <w:rsid w:val="10805D57"/>
    <w:rsid w:val="108F770C"/>
    <w:rsid w:val="10A66BB5"/>
    <w:rsid w:val="10AF0D25"/>
    <w:rsid w:val="10B24E17"/>
    <w:rsid w:val="10BF066C"/>
    <w:rsid w:val="10C36F86"/>
    <w:rsid w:val="10CD6427"/>
    <w:rsid w:val="10CF2502"/>
    <w:rsid w:val="10DD5695"/>
    <w:rsid w:val="10DE628A"/>
    <w:rsid w:val="10F63A48"/>
    <w:rsid w:val="11110886"/>
    <w:rsid w:val="11156B5F"/>
    <w:rsid w:val="112213FC"/>
    <w:rsid w:val="112A0E5B"/>
    <w:rsid w:val="112C5325"/>
    <w:rsid w:val="112F1AE5"/>
    <w:rsid w:val="113D0BD7"/>
    <w:rsid w:val="11415019"/>
    <w:rsid w:val="114657CA"/>
    <w:rsid w:val="11471DEC"/>
    <w:rsid w:val="115D0895"/>
    <w:rsid w:val="11647640"/>
    <w:rsid w:val="11744F0C"/>
    <w:rsid w:val="1184410A"/>
    <w:rsid w:val="118603A6"/>
    <w:rsid w:val="11AB655A"/>
    <w:rsid w:val="11B036C7"/>
    <w:rsid w:val="11C63C86"/>
    <w:rsid w:val="11DF7B3A"/>
    <w:rsid w:val="11EA25D5"/>
    <w:rsid w:val="11EE6DCA"/>
    <w:rsid w:val="11EF0378"/>
    <w:rsid w:val="11F702EF"/>
    <w:rsid w:val="11F86AFE"/>
    <w:rsid w:val="12042668"/>
    <w:rsid w:val="1206407A"/>
    <w:rsid w:val="120A0329"/>
    <w:rsid w:val="122B667F"/>
    <w:rsid w:val="12307737"/>
    <w:rsid w:val="123B714B"/>
    <w:rsid w:val="123D1C01"/>
    <w:rsid w:val="126C6635"/>
    <w:rsid w:val="128240B1"/>
    <w:rsid w:val="12905F0B"/>
    <w:rsid w:val="12A01EC8"/>
    <w:rsid w:val="12A85EC5"/>
    <w:rsid w:val="12B322E9"/>
    <w:rsid w:val="12BB2356"/>
    <w:rsid w:val="12C44259"/>
    <w:rsid w:val="12CB752C"/>
    <w:rsid w:val="12DA4151"/>
    <w:rsid w:val="12DE5AA3"/>
    <w:rsid w:val="12EC16B3"/>
    <w:rsid w:val="12EE3831"/>
    <w:rsid w:val="12EF39F1"/>
    <w:rsid w:val="12FC3DC2"/>
    <w:rsid w:val="13077776"/>
    <w:rsid w:val="13096C1B"/>
    <w:rsid w:val="130B5931"/>
    <w:rsid w:val="130D399B"/>
    <w:rsid w:val="132C7599"/>
    <w:rsid w:val="13362A82"/>
    <w:rsid w:val="13421F12"/>
    <w:rsid w:val="13445761"/>
    <w:rsid w:val="134B3396"/>
    <w:rsid w:val="134C3392"/>
    <w:rsid w:val="136B2BD9"/>
    <w:rsid w:val="13702E67"/>
    <w:rsid w:val="13755F24"/>
    <w:rsid w:val="137778F1"/>
    <w:rsid w:val="13926679"/>
    <w:rsid w:val="139B7900"/>
    <w:rsid w:val="13A02F68"/>
    <w:rsid w:val="13BE37A7"/>
    <w:rsid w:val="13BF1E66"/>
    <w:rsid w:val="13CC3968"/>
    <w:rsid w:val="13DD428B"/>
    <w:rsid w:val="13EB4D36"/>
    <w:rsid w:val="13F40833"/>
    <w:rsid w:val="13FC25C4"/>
    <w:rsid w:val="14041B5B"/>
    <w:rsid w:val="14096695"/>
    <w:rsid w:val="1413722A"/>
    <w:rsid w:val="141E453A"/>
    <w:rsid w:val="141F5AFE"/>
    <w:rsid w:val="142719F6"/>
    <w:rsid w:val="143E42F5"/>
    <w:rsid w:val="14533825"/>
    <w:rsid w:val="14643147"/>
    <w:rsid w:val="146B05E1"/>
    <w:rsid w:val="146B31C5"/>
    <w:rsid w:val="14827A6D"/>
    <w:rsid w:val="14853944"/>
    <w:rsid w:val="148C1B36"/>
    <w:rsid w:val="14901548"/>
    <w:rsid w:val="14AF459E"/>
    <w:rsid w:val="14B15D22"/>
    <w:rsid w:val="14B97A92"/>
    <w:rsid w:val="14BD7953"/>
    <w:rsid w:val="14C42C0C"/>
    <w:rsid w:val="14C655E5"/>
    <w:rsid w:val="14C861FB"/>
    <w:rsid w:val="14DC30F3"/>
    <w:rsid w:val="14E24CBA"/>
    <w:rsid w:val="14E845CC"/>
    <w:rsid w:val="14EF601F"/>
    <w:rsid w:val="14F33418"/>
    <w:rsid w:val="14FA5E80"/>
    <w:rsid w:val="14FF23E5"/>
    <w:rsid w:val="14FF6E26"/>
    <w:rsid w:val="150022D1"/>
    <w:rsid w:val="15050672"/>
    <w:rsid w:val="15074E61"/>
    <w:rsid w:val="150D4E1E"/>
    <w:rsid w:val="150F1ED6"/>
    <w:rsid w:val="15142668"/>
    <w:rsid w:val="15286794"/>
    <w:rsid w:val="152C765F"/>
    <w:rsid w:val="15401471"/>
    <w:rsid w:val="155F033A"/>
    <w:rsid w:val="1568633D"/>
    <w:rsid w:val="156E03F6"/>
    <w:rsid w:val="157924C7"/>
    <w:rsid w:val="157F44A7"/>
    <w:rsid w:val="15831A68"/>
    <w:rsid w:val="158E7CA3"/>
    <w:rsid w:val="158F7009"/>
    <w:rsid w:val="15907E04"/>
    <w:rsid w:val="159B2DD6"/>
    <w:rsid w:val="159D726A"/>
    <w:rsid w:val="15AC5474"/>
    <w:rsid w:val="15C51ED2"/>
    <w:rsid w:val="15DC7DEF"/>
    <w:rsid w:val="15EF7E12"/>
    <w:rsid w:val="15F20A86"/>
    <w:rsid w:val="1603237C"/>
    <w:rsid w:val="1607459A"/>
    <w:rsid w:val="160D3373"/>
    <w:rsid w:val="161C2BC7"/>
    <w:rsid w:val="162270F1"/>
    <w:rsid w:val="163367B4"/>
    <w:rsid w:val="16426B8B"/>
    <w:rsid w:val="164929D6"/>
    <w:rsid w:val="164E1B2D"/>
    <w:rsid w:val="165811A6"/>
    <w:rsid w:val="165D528E"/>
    <w:rsid w:val="166313A7"/>
    <w:rsid w:val="16674F7D"/>
    <w:rsid w:val="167006B3"/>
    <w:rsid w:val="16765CF9"/>
    <w:rsid w:val="16844690"/>
    <w:rsid w:val="16886F66"/>
    <w:rsid w:val="16952D61"/>
    <w:rsid w:val="16961D80"/>
    <w:rsid w:val="169E43BB"/>
    <w:rsid w:val="16A1248C"/>
    <w:rsid w:val="16A71D6A"/>
    <w:rsid w:val="16CE431A"/>
    <w:rsid w:val="16D37FC1"/>
    <w:rsid w:val="16D436D3"/>
    <w:rsid w:val="16D55A26"/>
    <w:rsid w:val="16D97CFE"/>
    <w:rsid w:val="16DF1B6A"/>
    <w:rsid w:val="16F1047C"/>
    <w:rsid w:val="16F27B2F"/>
    <w:rsid w:val="16F34581"/>
    <w:rsid w:val="172C190E"/>
    <w:rsid w:val="174C0B25"/>
    <w:rsid w:val="175D3AD9"/>
    <w:rsid w:val="175E7109"/>
    <w:rsid w:val="176D2223"/>
    <w:rsid w:val="17733879"/>
    <w:rsid w:val="177960DC"/>
    <w:rsid w:val="17830166"/>
    <w:rsid w:val="179A1BF1"/>
    <w:rsid w:val="17A54224"/>
    <w:rsid w:val="17A55683"/>
    <w:rsid w:val="17B152CC"/>
    <w:rsid w:val="17BE238F"/>
    <w:rsid w:val="17D65AF0"/>
    <w:rsid w:val="17DE2C4B"/>
    <w:rsid w:val="17F62CAF"/>
    <w:rsid w:val="180A5128"/>
    <w:rsid w:val="181227BC"/>
    <w:rsid w:val="18144B2E"/>
    <w:rsid w:val="181C5707"/>
    <w:rsid w:val="18271570"/>
    <w:rsid w:val="182816E7"/>
    <w:rsid w:val="18284E23"/>
    <w:rsid w:val="182A77A3"/>
    <w:rsid w:val="18301DAA"/>
    <w:rsid w:val="18342ADB"/>
    <w:rsid w:val="18406503"/>
    <w:rsid w:val="18457E93"/>
    <w:rsid w:val="184E4896"/>
    <w:rsid w:val="18560CAD"/>
    <w:rsid w:val="187545CF"/>
    <w:rsid w:val="187A16E0"/>
    <w:rsid w:val="187D0D0A"/>
    <w:rsid w:val="188327CB"/>
    <w:rsid w:val="18836D5B"/>
    <w:rsid w:val="188B6184"/>
    <w:rsid w:val="18A31B7F"/>
    <w:rsid w:val="18B57A11"/>
    <w:rsid w:val="18B83042"/>
    <w:rsid w:val="18C120BC"/>
    <w:rsid w:val="18C1482D"/>
    <w:rsid w:val="18E4078D"/>
    <w:rsid w:val="18EF4C22"/>
    <w:rsid w:val="18F009F7"/>
    <w:rsid w:val="18F53D88"/>
    <w:rsid w:val="18FC2B99"/>
    <w:rsid w:val="19076E72"/>
    <w:rsid w:val="190F6C58"/>
    <w:rsid w:val="19161B88"/>
    <w:rsid w:val="1925244E"/>
    <w:rsid w:val="192B3F53"/>
    <w:rsid w:val="19304F5E"/>
    <w:rsid w:val="193B3160"/>
    <w:rsid w:val="193D5B8D"/>
    <w:rsid w:val="19587032"/>
    <w:rsid w:val="195A3EF5"/>
    <w:rsid w:val="196B1356"/>
    <w:rsid w:val="1974743A"/>
    <w:rsid w:val="197B0865"/>
    <w:rsid w:val="19875DC6"/>
    <w:rsid w:val="19884618"/>
    <w:rsid w:val="1998232D"/>
    <w:rsid w:val="199A2DDB"/>
    <w:rsid w:val="19A606F4"/>
    <w:rsid w:val="19B50EB0"/>
    <w:rsid w:val="19C50385"/>
    <w:rsid w:val="19D42DBF"/>
    <w:rsid w:val="19E44EFF"/>
    <w:rsid w:val="19EB0279"/>
    <w:rsid w:val="19FC0C40"/>
    <w:rsid w:val="19FF2A68"/>
    <w:rsid w:val="1A0C360D"/>
    <w:rsid w:val="1A200EBD"/>
    <w:rsid w:val="1A2519F7"/>
    <w:rsid w:val="1A2D2C6A"/>
    <w:rsid w:val="1A2F33DE"/>
    <w:rsid w:val="1A332F12"/>
    <w:rsid w:val="1A3A0BE6"/>
    <w:rsid w:val="1A3B7C41"/>
    <w:rsid w:val="1A437302"/>
    <w:rsid w:val="1A471FA2"/>
    <w:rsid w:val="1A4951D6"/>
    <w:rsid w:val="1A551D7A"/>
    <w:rsid w:val="1A673513"/>
    <w:rsid w:val="1A6B1D7F"/>
    <w:rsid w:val="1A785DD9"/>
    <w:rsid w:val="1A7C2A99"/>
    <w:rsid w:val="1A9153B6"/>
    <w:rsid w:val="1AAA75F2"/>
    <w:rsid w:val="1AC031C9"/>
    <w:rsid w:val="1AC84BC7"/>
    <w:rsid w:val="1AE156E8"/>
    <w:rsid w:val="1AFE7E88"/>
    <w:rsid w:val="1B09577A"/>
    <w:rsid w:val="1B0C1569"/>
    <w:rsid w:val="1B2B6878"/>
    <w:rsid w:val="1B2C69B9"/>
    <w:rsid w:val="1B320CED"/>
    <w:rsid w:val="1B375393"/>
    <w:rsid w:val="1B4668E5"/>
    <w:rsid w:val="1B572293"/>
    <w:rsid w:val="1B5B71A3"/>
    <w:rsid w:val="1B5F0ECC"/>
    <w:rsid w:val="1B733853"/>
    <w:rsid w:val="1BA52C65"/>
    <w:rsid w:val="1BAC5BFB"/>
    <w:rsid w:val="1BDA3373"/>
    <w:rsid w:val="1BFE40D3"/>
    <w:rsid w:val="1BFF6E19"/>
    <w:rsid w:val="1C0A2CDF"/>
    <w:rsid w:val="1C0C46AE"/>
    <w:rsid w:val="1C0D0CB7"/>
    <w:rsid w:val="1C19604A"/>
    <w:rsid w:val="1C2A5F1F"/>
    <w:rsid w:val="1C311EC8"/>
    <w:rsid w:val="1C393F7F"/>
    <w:rsid w:val="1C3D6B63"/>
    <w:rsid w:val="1C453B8A"/>
    <w:rsid w:val="1C4F4B73"/>
    <w:rsid w:val="1C562F08"/>
    <w:rsid w:val="1C604BA7"/>
    <w:rsid w:val="1C856E3E"/>
    <w:rsid w:val="1C8D7615"/>
    <w:rsid w:val="1C937D88"/>
    <w:rsid w:val="1C946292"/>
    <w:rsid w:val="1CB6203D"/>
    <w:rsid w:val="1CE11909"/>
    <w:rsid w:val="1D037DF0"/>
    <w:rsid w:val="1D1A61C7"/>
    <w:rsid w:val="1D1D310C"/>
    <w:rsid w:val="1D255157"/>
    <w:rsid w:val="1D2B2847"/>
    <w:rsid w:val="1D2B4BDB"/>
    <w:rsid w:val="1D31038F"/>
    <w:rsid w:val="1D3645D7"/>
    <w:rsid w:val="1D543505"/>
    <w:rsid w:val="1D6E4366"/>
    <w:rsid w:val="1D6F2115"/>
    <w:rsid w:val="1D717800"/>
    <w:rsid w:val="1D722A11"/>
    <w:rsid w:val="1D7B731D"/>
    <w:rsid w:val="1DA70405"/>
    <w:rsid w:val="1DBC4C99"/>
    <w:rsid w:val="1DBE402F"/>
    <w:rsid w:val="1DC440DC"/>
    <w:rsid w:val="1DC44B42"/>
    <w:rsid w:val="1DCA598A"/>
    <w:rsid w:val="1DD03E13"/>
    <w:rsid w:val="1DD22E92"/>
    <w:rsid w:val="1DDF50C5"/>
    <w:rsid w:val="1DE85A1C"/>
    <w:rsid w:val="1DF548F1"/>
    <w:rsid w:val="1DFF24FD"/>
    <w:rsid w:val="1E035B0C"/>
    <w:rsid w:val="1E0E5C41"/>
    <w:rsid w:val="1E14276A"/>
    <w:rsid w:val="1E2B0555"/>
    <w:rsid w:val="1E2B5075"/>
    <w:rsid w:val="1E2E10EA"/>
    <w:rsid w:val="1E3A1BC8"/>
    <w:rsid w:val="1E42337D"/>
    <w:rsid w:val="1E4473B7"/>
    <w:rsid w:val="1E474640"/>
    <w:rsid w:val="1E4B3DCC"/>
    <w:rsid w:val="1E4D0DE6"/>
    <w:rsid w:val="1E635478"/>
    <w:rsid w:val="1E684069"/>
    <w:rsid w:val="1E691D5F"/>
    <w:rsid w:val="1E9027B4"/>
    <w:rsid w:val="1E9A5D49"/>
    <w:rsid w:val="1EAA0F84"/>
    <w:rsid w:val="1EC27D37"/>
    <w:rsid w:val="1ECD0713"/>
    <w:rsid w:val="1ED422F9"/>
    <w:rsid w:val="1EDE7E55"/>
    <w:rsid w:val="1EE14B15"/>
    <w:rsid w:val="1EE500D2"/>
    <w:rsid w:val="1EE935B0"/>
    <w:rsid w:val="1EEF6BF1"/>
    <w:rsid w:val="1F116950"/>
    <w:rsid w:val="1F147755"/>
    <w:rsid w:val="1F262716"/>
    <w:rsid w:val="1F3E1E3C"/>
    <w:rsid w:val="1F42633F"/>
    <w:rsid w:val="1F54672C"/>
    <w:rsid w:val="1F5C1132"/>
    <w:rsid w:val="1F613B6F"/>
    <w:rsid w:val="1F7F40BC"/>
    <w:rsid w:val="1F9008C7"/>
    <w:rsid w:val="1F9F3DD7"/>
    <w:rsid w:val="1FA0037C"/>
    <w:rsid w:val="1FA303D2"/>
    <w:rsid w:val="1FA87A7C"/>
    <w:rsid w:val="1FAF7572"/>
    <w:rsid w:val="1FB5719D"/>
    <w:rsid w:val="1FB64B58"/>
    <w:rsid w:val="1FB95506"/>
    <w:rsid w:val="1FCA116A"/>
    <w:rsid w:val="1FCC3EC3"/>
    <w:rsid w:val="1FD06938"/>
    <w:rsid w:val="1FDC707C"/>
    <w:rsid w:val="1FDF12CA"/>
    <w:rsid w:val="1FE41A6F"/>
    <w:rsid w:val="1FEF407A"/>
    <w:rsid w:val="20000A88"/>
    <w:rsid w:val="200229D7"/>
    <w:rsid w:val="201F4C8D"/>
    <w:rsid w:val="202D3CDB"/>
    <w:rsid w:val="205F243C"/>
    <w:rsid w:val="20695741"/>
    <w:rsid w:val="20776D72"/>
    <w:rsid w:val="207B5526"/>
    <w:rsid w:val="20814AB6"/>
    <w:rsid w:val="208C709E"/>
    <w:rsid w:val="2093368B"/>
    <w:rsid w:val="20AA45D9"/>
    <w:rsid w:val="20AC0A19"/>
    <w:rsid w:val="20B21721"/>
    <w:rsid w:val="20B9079A"/>
    <w:rsid w:val="20C73D28"/>
    <w:rsid w:val="20D141E6"/>
    <w:rsid w:val="20D502B5"/>
    <w:rsid w:val="20DD6D05"/>
    <w:rsid w:val="20E94561"/>
    <w:rsid w:val="20F03951"/>
    <w:rsid w:val="2102385C"/>
    <w:rsid w:val="2104291D"/>
    <w:rsid w:val="210E11B1"/>
    <w:rsid w:val="21260482"/>
    <w:rsid w:val="212A0A23"/>
    <w:rsid w:val="21341BAC"/>
    <w:rsid w:val="213759BD"/>
    <w:rsid w:val="213A18C0"/>
    <w:rsid w:val="213B7211"/>
    <w:rsid w:val="21430E98"/>
    <w:rsid w:val="2145170C"/>
    <w:rsid w:val="214D33D3"/>
    <w:rsid w:val="215B04E6"/>
    <w:rsid w:val="2163319A"/>
    <w:rsid w:val="216E2B4D"/>
    <w:rsid w:val="217666E8"/>
    <w:rsid w:val="2177156C"/>
    <w:rsid w:val="2187085A"/>
    <w:rsid w:val="21935DF5"/>
    <w:rsid w:val="21AC6900"/>
    <w:rsid w:val="21B32404"/>
    <w:rsid w:val="21BF6973"/>
    <w:rsid w:val="21C34A15"/>
    <w:rsid w:val="21C645A3"/>
    <w:rsid w:val="21CC3855"/>
    <w:rsid w:val="21CE2CE8"/>
    <w:rsid w:val="21D13DA9"/>
    <w:rsid w:val="21D575C7"/>
    <w:rsid w:val="21D64DEF"/>
    <w:rsid w:val="21D65308"/>
    <w:rsid w:val="21DA417D"/>
    <w:rsid w:val="21F558EA"/>
    <w:rsid w:val="21F717EA"/>
    <w:rsid w:val="220009B9"/>
    <w:rsid w:val="220C363D"/>
    <w:rsid w:val="221E3217"/>
    <w:rsid w:val="22321F70"/>
    <w:rsid w:val="223936E3"/>
    <w:rsid w:val="223E64A5"/>
    <w:rsid w:val="223E7D91"/>
    <w:rsid w:val="22536A17"/>
    <w:rsid w:val="226250E7"/>
    <w:rsid w:val="22691714"/>
    <w:rsid w:val="227606F7"/>
    <w:rsid w:val="22793D81"/>
    <w:rsid w:val="227E166C"/>
    <w:rsid w:val="22853E7D"/>
    <w:rsid w:val="22860C3B"/>
    <w:rsid w:val="229459AF"/>
    <w:rsid w:val="22A625D8"/>
    <w:rsid w:val="22B619B9"/>
    <w:rsid w:val="22C40AC2"/>
    <w:rsid w:val="22E0563C"/>
    <w:rsid w:val="22E30FDA"/>
    <w:rsid w:val="22EA1A1C"/>
    <w:rsid w:val="22F35ED0"/>
    <w:rsid w:val="22F40325"/>
    <w:rsid w:val="22F707ED"/>
    <w:rsid w:val="22FC2974"/>
    <w:rsid w:val="2301032C"/>
    <w:rsid w:val="23012ED8"/>
    <w:rsid w:val="230570F4"/>
    <w:rsid w:val="23086B36"/>
    <w:rsid w:val="23097103"/>
    <w:rsid w:val="230E5A39"/>
    <w:rsid w:val="23110081"/>
    <w:rsid w:val="231C353B"/>
    <w:rsid w:val="2326106B"/>
    <w:rsid w:val="232F27BC"/>
    <w:rsid w:val="233444B0"/>
    <w:rsid w:val="233F1560"/>
    <w:rsid w:val="234206CF"/>
    <w:rsid w:val="2342266F"/>
    <w:rsid w:val="23453A6C"/>
    <w:rsid w:val="23544C74"/>
    <w:rsid w:val="23651F0A"/>
    <w:rsid w:val="23667DB0"/>
    <w:rsid w:val="23753C96"/>
    <w:rsid w:val="2386084A"/>
    <w:rsid w:val="238E53E2"/>
    <w:rsid w:val="238F076D"/>
    <w:rsid w:val="238F6217"/>
    <w:rsid w:val="23986020"/>
    <w:rsid w:val="239E30FB"/>
    <w:rsid w:val="239E53CD"/>
    <w:rsid w:val="23A42E49"/>
    <w:rsid w:val="23B033D6"/>
    <w:rsid w:val="23B72747"/>
    <w:rsid w:val="23BA6729"/>
    <w:rsid w:val="23BD0C21"/>
    <w:rsid w:val="23CA3793"/>
    <w:rsid w:val="23EE01FE"/>
    <w:rsid w:val="240C5B8D"/>
    <w:rsid w:val="241E7B09"/>
    <w:rsid w:val="2424431C"/>
    <w:rsid w:val="242550C6"/>
    <w:rsid w:val="24346493"/>
    <w:rsid w:val="245E11B6"/>
    <w:rsid w:val="246048C9"/>
    <w:rsid w:val="246127DE"/>
    <w:rsid w:val="246347D0"/>
    <w:rsid w:val="24664C5E"/>
    <w:rsid w:val="247F38A4"/>
    <w:rsid w:val="248F0548"/>
    <w:rsid w:val="24913D04"/>
    <w:rsid w:val="24A425A4"/>
    <w:rsid w:val="24AB6A99"/>
    <w:rsid w:val="24BC6B56"/>
    <w:rsid w:val="24DC6462"/>
    <w:rsid w:val="24DF14C8"/>
    <w:rsid w:val="24DF3759"/>
    <w:rsid w:val="24E46DA4"/>
    <w:rsid w:val="24EB05A3"/>
    <w:rsid w:val="25135AE0"/>
    <w:rsid w:val="252E4D73"/>
    <w:rsid w:val="25317BB3"/>
    <w:rsid w:val="25341FF5"/>
    <w:rsid w:val="253464F0"/>
    <w:rsid w:val="2541192A"/>
    <w:rsid w:val="2559616C"/>
    <w:rsid w:val="255A3DCC"/>
    <w:rsid w:val="256445D0"/>
    <w:rsid w:val="256B3641"/>
    <w:rsid w:val="25852F1A"/>
    <w:rsid w:val="258D1F5D"/>
    <w:rsid w:val="259D4978"/>
    <w:rsid w:val="25BC277D"/>
    <w:rsid w:val="25C012CF"/>
    <w:rsid w:val="25C3495D"/>
    <w:rsid w:val="25D62DCA"/>
    <w:rsid w:val="25EA14D2"/>
    <w:rsid w:val="25ED1812"/>
    <w:rsid w:val="26004B08"/>
    <w:rsid w:val="261E04EC"/>
    <w:rsid w:val="262D1B8D"/>
    <w:rsid w:val="262D7300"/>
    <w:rsid w:val="26386355"/>
    <w:rsid w:val="265862DE"/>
    <w:rsid w:val="265F1197"/>
    <w:rsid w:val="26713F18"/>
    <w:rsid w:val="267277FD"/>
    <w:rsid w:val="267833BD"/>
    <w:rsid w:val="268F391F"/>
    <w:rsid w:val="2696018B"/>
    <w:rsid w:val="269C1D24"/>
    <w:rsid w:val="26A55682"/>
    <w:rsid w:val="26BA11E9"/>
    <w:rsid w:val="26BD2AC6"/>
    <w:rsid w:val="26DC2861"/>
    <w:rsid w:val="26E76E15"/>
    <w:rsid w:val="26EA3EBD"/>
    <w:rsid w:val="26F71023"/>
    <w:rsid w:val="26F84F6E"/>
    <w:rsid w:val="26FE1B3E"/>
    <w:rsid w:val="272048E8"/>
    <w:rsid w:val="27304EA0"/>
    <w:rsid w:val="2749537C"/>
    <w:rsid w:val="274D0DD0"/>
    <w:rsid w:val="275B15D2"/>
    <w:rsid w:val="276A1519"/>
    <w:rsid w:val="276F7DD7"/>
    <w:rsid w:val="277E2092"/>
    <w:rsid w:val="277F41AD"/>
    <w:rsid w:val="27827416"/>
    <w:rsid w:val="278378EC"/>
    <w:rsid w:val="279E1AD0"/>
    <w:rsid w:val="27A6094B"/>
    <w:rsid w:val="27B061AE"/>
    <w:rsid w:val="27CB205F"/>
    <w:rsid w:val="27FA5F0A"/>
    <w:rsid w:val="27FC5672"/>
    <w:rsid w:val="27FE0ECF"/>
    <w:rsid w:val="28040FB8"/>
    <w:rsid w:val="280E18FD"/>
    <w:rsid w:val="28113320"/>
    <w:rsid w:val="28131C18"/>
    <w:rsid w:val="28156A14"/>
    <w:rsid w:val="281771B9"/>
    <w:rsid w:val="28223DF3"/>
    <w:rsid w:val="284A491C"/>
    <w:rsid w:val="284C3C44"/>
    <w:rsid w:val="28566C33"/>
    <w:rsid w:val="285963AC"/>
    <w:rsid w:val="28644F63"/>
    <w:rsid w:val="286D7FD0"/>
    <w:rsid w:val="2875007A"/>
    <w:rsid w:val="28AA6AAF"/>
    <w:rsid w:val="28C159B6"/>
    <w:rsid w:val="28D15BA8"/>
    <w:rsid w:val="28E07DBD"/>
    <w:rsid w:val="28E83A37"/>
    <w:rsid w:val="28E97A66"/>
    <w:rsid w:val="28F93767"/>
    <w:rsid w:val="292A7911"/>
    <w:rsid w:val="292C6EE3"/>
    <w:rsid w:val="29350F17"/>
    <w:rsid w:val="29387807"/>
    <w:rsid w:val="29623F33"/>
    <w:rsid w:val="29850B19"/>
    <w:rsid w:val="29B0603E"/>
    <w:rsid w:val="29B52B8B"/>
    <w:rsid w:val="29E05655"/>
    <w:rsid w:val="2A05422A"/>
    <w:rsid w:val="2A15648E"/>
    <w:rsid w:val="2A550E18"/>
    <w:rsid w:val="2A5B10F3"/>
    <w:rsid w:val="2A6343B1"/>
    <w:rsid w:val="2A8F131A"/>
    <w:rsid w:val="2A9A71B6"/>
    <w:rsid w:val="2AAA4630"/>
    <w:rsid w:val="2AAE3578"/>
    <w:rsid w:val="2AB54038"/>
    <w:rsid w:val="2AB61963"/>
    <w:rsid w:val="2ABC05D0"/>
    <w:rsid w:val="2AC07AF8"/>
    <w:rsid w:val="2AC17847"/>
    <w:rsid w:val="2AC6433D"/>
    <w:rsid w:val="2AC9019E"/>
    <w:rsid w:val="2B12715D"/>
    <w:rsid w:val="2B180B49"/>
    <w:rsid w:val="2B2A1FF9"/>
    <w:rsid w:val="2B352C03"/>
    <w:rsid w:val="2B3E06C1"/>
    <w:rsid w:val="2B403DBE"/>
    <w:rsid w:val="2B430848"/>
    <w:rsid w:val="2B465CAB"/>
    <w:rsid w:val="2B4D6EDD"/>
    <w:rsid w:val="2B603C0A"/>
    <w:rsid w:val="2B823DB3"/>
    <w:rsid w:val="2B880A01"/>
    <w:rsid w:val="2B99302E"/>
    <w:rsid w:val="2BA51723"/>
    <w:rsid w:val="2BBC69E7"/>
    <w:rsid w:val="2BBE7124"/>
    <w:rsid w:val="2BC32AED"/>
    <w:rsid w:val="2BE3160B"/>
    <w:rsid w:val="2BEE1B84"/>
    <w:rsid w:val="2C032AB5"/>
    <w:rsid w:val="2C270DFF"/>
    <w:rsid w:val="2C3116AE"/>
    <w:rsid w:val="2C3D5F7D"/>
    <w:rsid w:val="2C4408FE"/>
    <w:rsid w:val="2C4B420E"/>
    <w:rsid w:val="2C66306C"/>
    <w:rsid w:val="2C7D1E7E"/>
    <w:rsid w:val="2C822090"/>
    <w:rsid w:val="2C8A0E53"/>
    <w:rsid w:val="2C8C1B11"/>
    <w:rsid w:val="2C8C7708"/>
    <w:rsid w:val="2CA52CE7"/>
    <w:rsid w:val="2CC32D54"/>
    <w:rsid w:val="2CC71902"/>
    <w:rsid w:val="2CCD1E4D"/>
    <w:rsid w:val="2CD43E1A"/>
    <w:rsid w:val="2CD45065"/>
    <w:rsid w:val="2CDA6A99"/>
    <w:rsid w:val="2CE633BB"/>
    <w:rsid w:val="2CEF3FEC"/>
    <w:rsid w:val="2CFC31F5"/>
    <w:rsid w:val="2CFF50AA"/>
    <w:rsid w:val="2D0E7265"/>
    <w:rsid w:val="2D10243A"/>
    <w:rsid w:val="2D112A5E"/>
    <w:rsid w:val="2D141BAC"/>
    <w:rsid w:val="2D1D39B7"/>
    <w:rsid w:val="2D313E4C"/>
    <w:rsid w:val="2D3844A2"/>
    <w:rsid w:val="2D415B95"/>
    <w:rsid w:val="2D436353"/>
    <w:rsid w:val="2D4878E2"/>
    <w:rsid w:val="2D5A1664"/>
    <w:rsid w:val="2D5F0BD4"/>
    <w:rsid w:val="2D616996"/>
    <w:rsid w:val="2D6D7E92"/>
    <w:rsid w:val="2D6F73AA"/>
    <w:rsid w:val="2D7370A3"/>
    <w:rsid w:val="2D793988"/>
    <w:rsid w:val="2D8761F7"/>
    <w:rsid w:val="2D8A057B"/>
    <w:rsid w:val="2DAD5709"/>
    <w:rsid w:val="2DB240A4"/>
    <w:rsid w:val="2DBA5C7F"/>
    <w:rsid w:val="2DC11E02"/>
    <w:rsid w:val="2DC253F6"/>
    <w:rsid w:val="2DD40EFF"/>
    <w:rsid w:val="2DD7560C"/>
    <w:rsid w:val="2DDA689D"/>
    <w:rsid w:val="2DE67D12"/>
    <w:rsid w:val="2DEE1FB5"/>
    <w:rsid w:val="2DFA596E"/>
    <w:rsid w:val="2E1C61FD"/>
    <w:rsid w:val="2E1E4596"/>
    <w:rsid w:val="2E213F15"/>
    <w:rsid w:val="2E3C6EBF"/>
    <w:rsid w:val="2E481797"/>
    <w:rsid w:val="2E4C5497"/>
    <w:rsid w:val="2E526984"/>
    <w:rsid w:val="2E5D5D84"/>
    <w:rsid w:val="2E5E578C"/>
    <w:rsid w:val="2E5F4BFA"/>
    <w:rsid w:val="2E69489B"/>
    <w:rsid w:val="2E6978C1"/>
    <w:rsid w:val="2E793B4B"/>
    <w:rsid w:val="2E8976BE"/>
    <w:rsid w:val="2E9D7479"/>
    <w:rsid w:val="2EA2680E"/>
    <w:rsid w:val="2EAC6947"/>
    <w:rsid w:val="2EB236FA"/>
    <w:rsid w:val="2EC72B66"/>
    <w:rsid w:val="2ED22020"/>
    <w:rsid w:val="2EDD0D2B"/>
    <w:rsid w:val="2EE967CC"/>
    <w:rsid w:val="2EFD2D95"/>
    <w:rsid w:val="2F0E197A"/>
    <w:rsid w:val="2F0F2579"/>
    <w:rsid w:val="2F1A5B77"/>
    <w:rsid w:val="2F2200D1"/>
    <w:rsid w:val="2F260BCD"/>
    <w:rsid w:val="2F3777A2"/>
    <w:rsid w:val="2F3C4594"/>
    <w:rsid w:val="2F400723"/>
    <w:rsid w:val="2F4A6576"/>
    <w:rsid w:val="2F512CA1"/>
    <w:rsid w:val="2F5911EC"/>
    <w:rsid w:val="2F7E578B"/>
    <w:rsid w:val="2F9D6150"/>
    <w:rsid w:val="2FA9542F"/>
    <w:rsid w:val="2FB20885"/>
    <w:rsid w:val="2FBA41F1"/>
    <w:rsid w:val="2FC07315"/>
    <w:rsid w:val="2FCC25E8"/>
    <w:rsid w:val="2FD50447"/>
    <w:rsid w:val="2FD60B28"/>
    <w:rsid w:val="2FD66FE4"/>
    <w:rsid w:val="2FDF75A1"/>
    <w:rsid w:val="2FF53A53"/>
    <w:rsid w:val="2FF754B6"/>
    <w:rsid w:val="2FFA2AC6"/>
    <w:rsid w:val="301D0F52"/>
    <w:rsid w:val="30214554"/>
    <w:rsid w:val="302D1551"/>
    <w:rsid w:val="30341D03"/>
    <w:rsid w:val="30397F2A"/>
    <w:rsid w:val="303D0E2B"/>
    <w:rsid w:val="30413874"/>
    <w:rsid w:val="30471F01"/>
    <w:rsid w:val="304F0C6D"/>
    <w:rsid w:val="3052188E"/>
    <w:rsid w:val="305C0AEE"/>
    <w:rsid w:val="305F4B6C"/>
    <w:rsid w:val="30700DB3"/>
    <w:rsid w:val="3071406C"/>
    <w:rsid w:val="307F31C1"/>
    <w:rsid w:val="308049D5"/>
    <w:rsid w:val="309713E7"/>
    <w:rsid w:val="30985121"/>
    <w:rsid w:val="30B54A3C"/>
    <w:rsid w:val="30C05643"/>
    <w:rsid w:val="30CF4321"/>
    <w:rsid w:val="30F3258F"/>
    <w:rsid w:val="3105096D"/>
    <w:rsid w:val="31185F87"/>
    <w:rsid w:val="31287E99"/>
    <w:rsid w:val="313B0890"/>
    <w:rsid w:val="313F6535"/>
    <w:rsid w:val="31442DAD"/>
    <w:rsid w:val="31456675"/>
    <w:rsid w:val="314D5BC5"/>
    <w:rsid w:val="31541CD4"/>
    <w:rsid w:val="31547E55"/>
    <w:rsid w:val="3159398D"/>
    <w:rsid w:val="31610306"/>
    <w:rsid w:val="31675FE2"/>
    <w:rsid w:val="31686DEF"/>
    <w:rsid w:val="316B5930"/>
    <w:rsid w:val="316F5599"/>
    <w:rsid w:val="317B3226"/>
    <w:rsid w:val="318606B4"/>
    <w:rsid w:val="31943DEC"/>
    <w:rsid w:val="319E38E6"/>
    <w:rsid w:val="319F18FA"/>
    <w:rsid w:val="31A2577F"/>
    <w:rsid w:val="31B23571"/>
    <w:rsid w:val="31C33A63"/>
    <w:rsid w:val="31C36609"/>
    <w:rsid w:val="31CF026E"/>
    <w:rsid w:val="31D35C35"/>
    <w:rsid w:val="31D969BB"/>
    <w:rsid w:val="31DB640D"/>
    <w:rsid w:val="31E2726A"/>
    <w:rsid w:val="31E31A66"/>
    <w:rsid w:val="31E83339"/>
    <w:rsid w:val="31EA5372"/>
    <w:rsid w:val="31F9572A"/>
    <w:rsid w:val="31FD44AD"/>
    <w:rsid w:val="32000000"/>
    <w:rsid w:val="320015FF"/>
    <w:rsid w:val="32012DCD"/>
    <w:rsid w:val="321C3752"/>
    <w:rsid w:val="3221335A"/>
    <w:rsid w:val="322B01D6"/>
    <w:rsid w:val="322B24E6"/>
    <w:rsid w:val="323F16B2"/>
    <w:rsid w:val="3265649B"/>
    <w:rsid w:val="326C49CB"/>
    <w:rsid w:val="327524C7"/>
    <w:rsid w:val="32794ADC"/>
    <w:rsid w:val="328F22A1"/>
    <w:rsid w:val="32A24832"/>
    <w:rsid w:val="32AD62C1"/>
    <w:rsid w:val="32AF0C88"/>
    <w:rsid w:val="32B92B1F"/>
    <w:rsid w:val="32CC0321"/>
    <w:rsid w:val="32CD48B5"/>
    <w:rsid w:val="32D612B8"/>
    <w:rsid w:val="32DF3D76"/>
    <w:rsid w:val="32E56661"/>
    <w:rsid w:val="32E91504"/>
    <w:rsid w:val="32F3740F"/>
    <w:rsid w:val="32FC65D9"/>
    <w:rsid w:val="330E138F"/>
    <w:rsid w:val="33325244"/>
    <w:rsid w:val="33417D52"/>
    <w:rsid w:val="334350DD"/>
    <w:rsid w:val="33491C41"/>
    <w:rsid w:val="334B65B8"/>
    <w:rsid w:val="3358507C"/>
    <w:rsid w:val="33665CF5"/>
    <w:rsid w:val="33744C89"/>
    <w:rsid w:val="33820DF1"/>
    <w:rsid w:val="33841CA4"/>
    <w:rsid w:val="338B5D97"/>
    <w:rsid w:val="33AC69A6"/>
    <w:rsid w:val="33C459D3"/>
    <w:rsid w:val="33C87FC3"/>
    <w:rsid w:val="33CD688F"/>
    <w:rsid w:val="33D71132"/>
    <w:rsid w:val="33F42391"/>
    <w:rsid w:val="340E172D"/>
    <w:rsid w:val="3424620C"/>
    <w:rsid w:val="343A0B6A"/>
    <w:rsid w:val="34450011"/>
    <w:rsid w:val="34451F15"/>
    <w:rsid w:val="344D0963"/>
    <w:rsid w:val="34845DAA"/>
    <w:rsid w:val="3496715F"/>
    <w:rsid w:val="34A17DC6"/>
    <w:rsid w:val="34A46505"/>
    <w:rsid w:val="34B42DD9"/>
    <w:rsid w:val="34CC6505"/>
    <w:rsid w:val="34D37DF5"/>
    <w:rsid w:val="34D40E4C"/>
    <w:rsid w:val="34D713CC"/>
    <w:rsid w:val="34D91B12"/>
    <w:rsid w:val="34D92306"/>
    <w:rsid w:val="35116F72"/>
    <w:rsid w:val="35142A05"/>
    <w:rsid w:val="351933DD"/>
    <w:rsid w:val="354C0942"/>
    <w:rsid w:val="354D76E5"/>
    <w:rsid w:val="35654C6E"/>
    <w:rsid w:val="35807E8D"/>
    <w:rsid w:val="3583402F"/>
    <w:rsid w:val="3589384B"/>
    <w:rsid w:val="358B5E9B"/>
    <w:rsid w:val="359B3FD1"/>
    <w:rsid w:val="35B11EE8"/>
    <w:rsid w:val="35B25B16"/>
    <w:rsid w:val="35B97173"/>
    <w:rsid w:val="35C52E9D"/>
    <w:rsid w:val="35DD3ADA"/>
    <w:rsid w:val="35F068D2"/>
    <w:rsid w:val="35F20D74"/>
    <w:rsid w:val="3605477E"/>
    <w:rsid w:val="36185EC4"/>
    <w:rsid w:val="36270F15"/>
    <w:rsid w:val="36334C83"/>
    <w:rsid w:val="365B24B1"/>
    <w:rsid w:val="36613CB1"/>
    <w:rsid w:val="367C232D"/>
    <w:rsid w:val="368D6CAE"/>
    <w:rsid w:val="368F1A74"/>
    <w:rsid w:val="369275E2"/>
    <w:rsid w:val="36944903"/>
    <w:rsid w:val="36A026F4"/>
    <w:rsid w:val="36AC4D3C"/>
    <w:rsid w:val="36B3080C"/>
    <w:rsid w:val="36B466D5"/>
    <w:rsid w:val="36C81F3B"/>
    <w:rsid w:val="36C906E2"/>
    <w:rsid w:val="36D75467"/>
    <w:rsid w:val="36E03B81"/>
    <w:rsid w:val="36E432CF"/>
    <w:rsid w:val="36FC3404"/>
    <w:rsid w:val="37103543"/>
    <w:rsid w:val="371C7817"/>
    <w:rsid w:val="371F7811"/>
    <w:rsid w:val="373A038D"/>
    <w:rsid w:val="374F6BD6"/>
    <w:rsid w:val="376D4330"/>
    <w:rsid w:val="378E02F2"/>
    <w:rsid w:val="37981FA0"/>
    <w:rsid w:val="37A61E6C"/>
    <w:rsid w:val="37AD2C3F"/>
    <w:rsid w:val="37B46271"/>
    <w:rsid w:val="37C52C6D"/>
    <w:rsid w:val="37D71178"/>
    <w:rsid w:val="37DD26D9"/>
    <w:rsid w:val="37E52D87"/>
    <w:rsid w:val="37E956B8"/>
    <w:rsid w:val="37EC1388"/>
    <w:rsid w:val="37F16953"/>
    <w:rsid w:val="37F21C9F"/>
    <w:rsid w:val="37FD135B"/>
    <w:rsid w:val="382A1B29"/>
    <w:rsid w:val="382D0AB9"/>
    <w:rsid w:val="382F0FB3"/>
    <w:rsid w:val="383D5DF2"/>
    <w:rsid w:val="383F74F8"/>
    <w:rsid w:val="38487D19"/>
    <w:rsid w:val="384B3ED5"/>
    <w:rsid w:val="3851076E"/>
    <w:rsid w:val="38553124"/>
    <w:rsid w:val="38665C5E"/>
    <w:rsid w:val="386A34F6"/>
    <w:rsid w:val="386C72A0"/>
    <w:rsid w:val="388A00D1"/>
    <w:rsid w:val="389C3A5F"/>
    <w:rsid w:val="38A17A1B"/>
    <w:rsid w:val="38A6468E"/>
    <w:rsid w:val="38B05CB9"/>
    <w:rsid w:val="38B31DD0"/>
    <w:rsid w:val="38BA1F3F"/>
    <w:rsid w:val="38BD15BF"/>
    <w:rsid w:val="38C31B56"/>
    <w:rsid w:val="38C93DBD"/>
    <w:rsid w:val="38CC1313"/>
    <w:rsid w:val="38D754AF"/>
    <w:rsid w:val="38DB4C2A"/>
    <w:rsid w:val="38E84D2E"/>
    <w:rsid w:val="38FA05FE"/>
    <w:rsid w:val="3900087B"/>
    <w:rsid w:val="39003C31"/>
    <w:rsid w:val="3908788E"/>
    <w:rsid w:val="390F08FA"/>
    <w:rsid w:val="39103812"/>
    <w:rsid w:val="39103E8A"/>
    <w:rsid w:val="39234C5A"/>
    <w:rsid w:val="392422F3"/>
    <w:rsid w:val="393A3F4D"/>
    <w:rsid w:val="39424ECD"/>
    <w:rsid w:val="39491E1E"/>
    <w:rsid w:val="394E38F4"/>
    <w:rsid w:val="39521196"/>
    <w:rsid w:val="39567680"/>
    <w:rsid w:val="395954D0"/>
    <w:rsid w:val="397035AE"/>
    <w:rsid w:val="39735BE3"/>
    <w:rsid w:val="397D0525"/>
    <w:rsid w:val="3989360B"/>
    <w:rsid w:val="39953609"/>
    <w:rsid w:val="39957403"/>
    <w:rsid w:val="399B2ADB"/>
    <w:rsid w:val="39A50BE0"/>
    <w:rsid w:val="39C021F4"/>
    <w:rsid w:val="39C30A82"/>
    <w:rsid w:val="39C57800"/>
    <w:rsid w:val="39D25DF9"/>
    <w:rsid w:val="39D56468"/>
    <w:rsid w:val="39DE22CE"/>
    <w:rsid w:val="39DE68B6"/>
    <w:rsid w:val="39FE0BC6"/>
    <w:rsid w:val="3A0D3AEB"/>
    <w:rsid w:val="3A100579"/>
    <w:rsid w:val="3A1A62B7"/>
    <w:rsid w:val="3A2424CB"/>
    <w:rsid w:val="3A290338"/>
    <w:rsid w:val="3A305611"/>
    <w:rsid w:val="3A3306A7"/>
    <w:rsid w:val="3A3A1D9A"/>
    <w:rsid w:val="3A3B08A4"/>
    <w:rsid w:val="3A3E110A"/>
    <w:rsid w:val="3A595E0E"/>
    <w:rsid w:val="3A5D48A3"/>
    <w:rsid w:val="3A6A32E7"/>
    <w:rsid w:val="3A75135C"/>
    <w:rsid w:val="3A82483A"/>
    <w:rsid w:val="3A950B7C"/>
    <w:rsid w:val="3AA069CF"/>
    <w:rsid w:val="3AA7293C"/>
    <w:rsid w:val="3AA92AFA"/>
    <w:rsid w:val="3AAF4827"/>
    <w:rsid w:val="3AB26CC5"/>
    <w:rsid w:val="3ABD02F4"/>
    <w:rsid w:val="3AC154CA"/>
    <w:rsid w:val="3AC505A2"/>
    <w:rsid w:val="3ACA18AD"/>
    <w:rsid w:val="3AD556A6"/>
    <w:rsid w:val="3AEE367E"/>
    <w:rsid w:val="3AFA6DC9"/>
    <w:rsid w:val="3AFD3322"/>
    <w:rsid w:val="3B002B9D"/>
    <w:rsid w:val="3B0C2497"/>
    <w:rsid w:val="3B0C4F93"/>
    <w:rsid w:val="3B1C3234"/>
    <w:rsid w:val="3B2468B3"/>
    <w:rsid w:val="3B3635AB"/>
    <w:rsid w:val="3B452C50"/>
    <w:rsid w:val="3B4B275C"/>
    <w:rsid w:val="3B4E14F1"/>
    <w:rsid w:val="3B5667F7"/>
    <w:rsid w:val="3B59301C"/>
    <w:rsid w:val="3B5B3975"/>
    <w:rsid w:val="3B5E09D7"/>
    <w:rsid w:val="3B651DF0"/>
    <w:rsid w:val="3B731D7A"/>
    <w:rsid w:val="3B89300D"/>
    <w:rsid w:val="3B8A6EC2"/>
    <w:rsid w:val="3B8C5732"/>
    <w:rsid w:val="3B8E4AB8"/>
    <w:rsid w:val="3B9440A1"/>
    <w:rsid w:val="3B94652B"/>
    <w:rsid w:val="3B9C2CAC"/>
    <w:rsid w:val="3BA24786"/>
    <w:rsid w:val="3BB95194"/>
    <w:rsid w:val="3BC85F21"/>
    <w:rsid w:val="3BD20A4B"/>
    <w:rsid w:val="3BE258F2"/>
    <w:rsid w:val="3BE932D3"/>
    <w:rsid w:val="3BFE0432"/>
    <w:rsid w:val="3C0A656E"/>
    <w:rsid w:val="3C15066D"/>
    <w:rsid w:val="3C205BC3"/>
    <w:rsid w:val="3C2201D1"/>
    <w:rsid w:val="3C28729F"/>
    <w:rsid w:val="3C2A741A"/>
    <w:rsid w:val="3C4E6265"/>
    <w:rsid w:val="3C54160F"/>
    <w:rsid w:val="3C6127E8"/>
    <w:rsid w:val="3C624A28"/>
    <w:rsid w:val="3C68630D"/>
    <w:rsid w:val="3C82043C"/>
    <w:rsid w:val="3C8B109E"/>
    <w:rsid w:val="3C8D7814"/>
    <w:rsid w:val="3C9A4085"/>
    <w:rsid w:val="3C9B7D26"/>
    <w:rsid w:val="3CA3632E"/>
    <w:rsid w:val="3CA70778"/>
    <w:rsid w:val="3CB77EFD"/>
    <w:rsid w:val="3CB80646"/>
    <w:rsid w:val="3CB95734"/>
    <w:rsid w:val="3CBC7F19"/>
    <w:rsid w:val="3CC20B2A"/>
    <w:rsid w:val="3CCA0EB2"/>
    <w:rsid w:val="3CCF05E4"/>
    <w:rsid w:val="3CD479FE"/>
    <w:rsid w:val="3CE4052E"/>
    <w:rsid w:val="3CF733C6"/>
    <w:rsid w:val="3CF957C1"/>
    <w:rsid w:val="3CFA4C9E"/>
    <w:rsid w:val="3D016024"/>
    <w:rsid w:val="3D0A066C"/>
    <w:rsid w:val="3D1850D7"/>
    <w:rsid w:val="3D224F2D"/>
    <w:rsid w:val="3D294205"/>
    <w:rsid w:val="3D337C5B"/>
    <w:rsid w:val="3D363C80"/>
    <w:rsid w:val="3D3F3347"/>
    <w:rsid w:val="3D412A08"/>
    <w:rsid w:val="3D4C6FC6"/>
    <w:rsid w:val="3D5B5C86"/>
    <w:rsid w:val="3D5F0D8C"/>
    <w:rsid w:val="3D685FA3"/>
    <w:rsid w:val="3DAA2A50"/>
    <w:rsid w:val="3DB77267"/>
    <w:rsid w:val="3DBF046C"/>
    <w:rsid w:val="3DC13666"/>
    <w:rsid w:val="3DC86DB6"/>
    <w:rsid w:val="3DD37AE2"/>
    <w:rsid w:val="3DEF3562"/>
    <w:rsid w:val="3DF158A0"/>
    <w:rsid w:val="3DF33FCC"/>
    <w:rsid w:val="3E0C5AC9"/>
    <w:rsid w:val="3E1019BB"/>
    <w:rsid w:val="3E1F38B2"/>
    <w:rsid w:val="3E2D2E6C"/>
    <w:rsid w:val="3E4F243E"/>
    <w:rsid w:val="3E4F4E8E"/>
    <w:rsid w:val="3E520CD7"/>
    <w:rsid w:val="3E7212ED"/>
    <w:rsid w:val="3E8B26FE"/>
    <w:rsid w:val="3E922536"/>
    <w:rsid w:val="3E986A90"/>
    <w:rsid w:val="3E9A4BB1"/>
    <w:rsid w:val="3EA3414C"/>
    <w:rsid w:val="3EB01AC7"/>
    <w:rsid w:val="3EB13C76"/>
    <w:rsid w:val="3EBD3F95"/>
    <w:rsid w:val="3EC25CA0"/>
    <w:rsid w:val="3EC7163A"/>
    <w:rsid w:val="3EC96566"/>
    <w:rsid w:val="3ECD16C8"/>
    <w:rsid w:val="3ED218A5"/>
    <w:rsid w:val="3ED516CF"/>
    <w:rsid w:val="3EE526CC"/>
    <w:rsid w:val="3EEA544D"/>
    <w:rsid w:val="3F023D3C"/>
    <w:rsid w:val="3F0B2670"/>
    <w:rsid w:val="3F1365F0"/>
    <w:rsid w:val="3F153FB9"/>
    <w:rsid w:val="3F2D0248"/>
    <w:rsid w:val="3F2F5872"/>
    <w:rsid w:val="3F411CE0"/>
    <w:rsid w:val="3F43603E"/>
    <w:rsid w:val="3F44276C"/>
    <w:rsid w:val="3F4A1C8B"/>
    <w:rsid w:val="3F4A6ABF"/>
    <w:rsid w:val="3F58403A"/>
    <w:rsid w:val="3F6D2629"/>
    <w:rsid w:val="3F720E02"/>
    <w:rsid w:val="3F722C41"/>
    <w:rsid w:val="3F892E15"/>
    <w:rsid w:val="3F8A5BAA"/>
    <w:rsid w:val="3F92136C"/>
    <w:rsid w:val="3F9E1960"/>
    <w:rsid w:val="3F9E4CF2"/>
    <w:rsid w:val="3FAE3F57"/>
    <w:rsid w:val="3FAE4204"/>
    <w:rsid w:val="3FAF181F"/>
    <w:rsid w:val="3FB13FA3"/>
    <w:rsid w:val="3FB43FB9"/>
    <w:rsid w:val="3FB77D6F"/>
    <w:rsid w:val="3FD275E2"/>
    <w:rsid w:val="3FD404AB"/>
    <w:rsid w:val="3FDA067E"/>
    <w:rsid w:val="3FDE72C9"/>
    <w:rsid w:val="3FE635F3"/>
    <w:rsid w:val="3FEE0241"/>
    <w:rsid w:val="3FF141E9"/>
    <w:rsid w:val="3FF54E76"/>
    <w:rsid w:val="400A1B11"/>
    <w:rsid w:val="401F2835"/>
    <w:rsid w:val="40250F8B"/>
    <w:rsid w:val="40270AF7"/>
    <w:rsid w:val="40292CCE"/>
    <w:rsid w:val="40345D77"/>
    <w:rsid w:val="40386CA1"/>
    <w:rsid w:val="40412C3B"/>
    <w:rsid w:val="404E04A7"/>
    <w:rsid w:val="4062348D"/>
    <w:rsid w:val="40653646"/>
    <w:rsid w:val="406F602F"/>
    <w:rsid w:val="40712660"/>
    <w:rsid w:val="40797595"/>
    <w:rsid w:val="408F6CEC"/>
    <w:rsid w:val="4097140E"/>
    <w:rsid w:val="40A61EC4"/>
    <w:rsid w:val="40A7141C"/>
    <w:rsid w:val="40C55D36"/>
    <w:rsid w:val="40CF749B"/>
    <w:rsid w:val="40D03DBA"/>
    <w:rsid w:val="40D14B1C"/>
    <w:rsid w:val="40D65EC6"/>
    <w:rsid w:val="40D84655"/>
    <w:rsid w:val="40E727D9"/>
    <w:rsid w:val="4102170A"/>
    <w:rsid w:val="41036B6A"/>
    <w:rsid w:val="41083CBA"/>
    <w:rsid w:val="411A643C"/>
    <w:rsid w:val="411E1620"/>
    <w:rsid w:val="41213BE8"/>
    <w:rsid w:val="41294129"/>
    <w:rsid w:val="41303E98"/>
    <w:rsid w:val="41386742"/>
    <w:rsid w:val="41392B23"/>
    <w:rsid w:val="413C0CAB"/>
    <w:rsid w:val="41480D53"/>
    <w:rsid w:val="414B35E7"/>
    <w:rsid w:val="41506F12"/>
    <w:rsid w:val="415E67A5"/>
    <w:rsid w:val="41651D3A"/>
    <w:rsid w:val="416858EB"/>
    <w:rsid w:val="4179238C"/>
    <w:rsid w:val="418B0D5B"/>
    <w:rsid w:val="41963A7A"/>
    <w:rsid w:val="419D6A5D"/>
    <w:rsid w:val="41A2119D"/>
    <w:rsid w:val="41AD6672"/>
    <w:rsid w:val="41AF3F94"/>
    <w:rsid w:val="41AF6CA0"/>
    <w:rsid w:val="41C213BA"/>
    <w:rsid w:val="41C4063B"/>
    <w:rsid w:val="41D448DE"/>
    <w:rsid w:val="41DC6A82"/>
    <w:rsid w:val="41DE71D2"/>
    <w:rsid w:val="41E10958"/>
    <w:rsid w:val="41F1341F"/>
    <w:rsid w:val="41F54DD6"/>
    <w:rsid w:val="420C762D"/>
    <w:rsid w:val="421F60CC"/>
    <w:rsid w:val="422851E6"/>
    <w:rsid w:val="422870D4"/>
    <w:rsid w:val="422C6C39"/>
    <w:rsid w:val="422E76A1"/>
    <w:rsid w:val="42433416"/>
    <w:rsid w:val="42591948"/>
    <w:rsid w:val="425B1A4A"/>
    <w:rsid w:val="42655FA7"/>
    <w:rsid w:val="42661088"/>
    <w:rsid w:val="42785B8C"/>
    <w:rsid w:val="427B1A08"/>
    <w:rsid w:val="4288648A"/>
    <w:rsid w:val="428D045B"/>
    <w:rsid w:val="429B2B21"/>
    <w:rsid w:val="429D17B5"/>
    <w:rsid w:val="42A62228"/>
    <w:rsid w:val="42B4050E"/>
    <w:rsid w:val="42C22E3B"/>
    <w:rsid w:val="42C36CD5"/>
    <w:rsid w:val="42C41FE4"/>
    <w:rsid w:val="42D77E08"/>
    <w:rsid w:val="42DD60FE"/>
    <w:rsid w:val="42DF3109"/>
    <w:rsid w:val="42F009CC"/>
    <w:rsid w:val="42F05A7C"/>
    <w:rsid w:val="42FA34CA"/>
    <w:rsid w:val="43061E6A"/>
    <w:rsid w:val="4312661B"/>
    <w:rsid w:val="43300A36"/>
    <w:rsid w:val="433F1262"/>
    <w:rsid w:val="43486D93"/>
    <w:rsid w:val="434A3295"/>
    <w:rsid w:val="434A7154"/>
    <w:rsid w:val="43537F4B"/>
    <w:rsid w:val="43621F79"/>
    <w:rsid w:val="43676D85"/>
    <w:rsid w:val="43721FD6"/>
    <w:rsid w:val="4375205B"/>
    <w:rsid w:val="43815BC1"/>
    <w:rsid w:val="43A21FD3"/>
    <w:rsid w:val="43B52F2F"/>
    <w:rsid w:val="43C00DA4"/>
    <w:rsid w:val="43CB318B"/>
    <w:rsid w:val="43D40D25"/>
    <w:rsid w:val="43EB0169"/>
    <w:rsid w:val="43EF4A13"/>
    <w:rsid w:val="43F763EA"/>
    <w:rsid w:val="43F95F54"/>
    <w:rsid w:val="43FE1B4F"/>
    <w:rsid w:val="440756DA"/>
    <w:rsid w:val="4418484A"/>
    <w:rsid w:val="441D117C"/>
    <w:rsid w:val="441E0811"/>
    <w:rsid w:val="443315B5"/>
    <w:rsid w:val="44367F55"/>
    <w:rsid w:val="44421854"/>
    <w:rsid w:val="44534EE3"/>
    <w:rsid w:val="44571110"/>
    <w:rsid w:val="445B013B"/>
    <w:rsid w:val="44663932"/>
    <w:rsid w:val="447E71AC"/>
    <w:rsid w:val="44813040"/>
    <w:rsid w:val="44850C92"/>
    <w:rsid w:val="44860D83"/>
    <w:rsid w:val="44897EE1"/>
    <w:rsid w:val="448A00DF"/>
    <w:rsid w:val="44954BB9"/>
    <w:rsid w:val="44995D36"/>
    <w:rsid w:val="449B220F"/>
    <w:rsid w:val="44C570D6"/>
    <w:rsid w:val="44D00359"/>
    <w:rsid w:val="44D1062D"/>
    <w:rsid w:val="44D56356"/>
    <w:rsid w:val="44D72E8E"/>
    <w:rsid w:val="44DC2C18"/>
    <w:rsid w:val="44E637E8"/>
    <w:rsid w:val="44ED455F"/>
    <w:rsid w:val="44FC530F"/>
    <w:rsid w:val="44FD49B4"/>
    <w:rsid w:val="450A16FF"/>
    <w:rsid w:val="450B6DD7"/>
    <w:rsid w:val="45122E52"/>
    <w:rsid w:val="451362FD"/>
    <w:rsid w:val="452C76AE"/>
    <w:rsid w:val="45391754"/>
    <w:rsid w:val="45391C5E"/>
    <w:rsid w:val="4540282F"/>
    <w:rsid w:val="45404374"/>
    <w:rsid w:val="45475593"/>
    <w:rsid w:val="455A6B7E"/>
    <w:rsid w:val="455C139D"/>
    <w:rsid w:val="4563661C"/>
    <w:rsid w:val="45636BAB"/>
    <w:rsid w:val="45752110"/>
    <w:rsid w:val="45760E04"/>
    <w:rsid w:val="45765F5F"/>
    <w:rsid w:val="45793699"/>
    <w:rsid w:val="457D2DE9"/>
    <w:rsid w:val="45992930"/>
    <w:rsid w:val="459E128F"/>
    <w:rsid w:val="459E3EDE"/>
    <w:rsid w:val="45A33B0B"/>
    <w:rsid w:val="45B557E9"/>
    <w:rsid w:val="45B633EC"/>
    <w:rsid w:val="45B85E81"/>
    <w:rsid w:val="45D53351"/>
    <w:rsid w:val="45DF0F6E"/>
    <w:rsid w:val="45F0737D"/>
    <w:rsid w:val="45F83C0E"/>
    <w:rsid w:val="45FD3EBA"/>
    <w:rsid w:val="46020FCD"/>
    <w:rsid w:val="46050266"/>
    <w:rsid w:val="46050BD4"/>
    <w:rsid w:val="461D09DE"/>
    <w:rsid w:val="462733C7"/>
    <w:rsid w:val="46300C97"/>
    <w:rsid w:val="46374F5F"/>
    <w:rsid w:val="463E40DC"/>
    <w:rsid w:val="464D46BF"/>
    <w:rsid w:val="464E2853"/>
    <w:rsid w:val="465478AA"/>
    <w:rsid w:val="46614F86"/>
    <w:rsid w:val="467629F6"/>
    <w:rsid w:val="46785B8E"/>
    <w:rsid w:val="46816807"/>
    <w:rsid w:val="468C1E1A"/>
    <w:rsid w:val="46A03FA7"/>
    <w:rsid w:val="46A05F8F"/>
    <w:rsid w:val="46A4258B"/>
    <w:rsid w:val="46A66917"/>
    <w:rsid w:val="46C3645D"/>
    <w:rsid w:val="46DE1B1F"/>
    <w:rsid w:val="46DE3D4F"/>
    <w:rsid w:val="46E3679D"/>
    <w:rsid w:val="46EE16EC"/>
    <w:rsid w:val="46F111DF"/>
    <w:rsid w:val="46F30D3B"/>
    <w:rsid w:val="46F530C2"/>
    <w:rsid w:val="46FB2AD2"/>
    <w:rsid w:val="4702093F"/>
    <w:rsid w:val="47046E75"/>
    <w:rsid w:val="471640D1"/>
    <w:rsid w:val="47192863"/>
    <w:rsid w:val="473123A3"/>
    <w:rsid w:val="47390859"/>
    <w:rsid w:val="47405EDE"/>
    <w:rsid w:val="47441A65"/>
    <w:rsid w:val="47491465"/>
    <w:rsid w:val="47533F0A"/>
    <w:rsid w:val="475444CC"/>
    <w:rsid w:val="476007AB"/>
    <w:rsid w:val="47853403"/>
    <w:rsid w:val="478C68E9"/>
    <w:rsid w:val="478F4E9E"/>
    <w:rsid w:val="47BD2AFD"/>
    <w:rsid w:val="47C65442"/>
    <w:rsid w:val="47CE219D"/>
    <w:rsid w:val="47E007BE"/>
    <w:rsid w:val="47E706C8"/>
    <w:rsid w:val="47EB55C4"/>
    <w:rsid w:val="47F3693A"/>
    <w:rsid w:val="48084E26"/>
    <w:rsid w:val="48136E36"/>
    <w:rsid w:val="481F63D7"/>
    <w:rsid w:val="482043AB"/>
    <w:rsid w:val="482274B9"/>
    <w:rsid w:val="4836448F"/>
    <w:rsid w:val="483F03DA"/>
    <w:rsid w:val="484074F7"/>
    <w:rsid w:val="48492C81"/>
    <w:rsid w:val="48643CCC"/>
    <w:rsid w:val="488D1FCA"/>
    <w:rsid w:val="48934E08"/>
    <w:rsid w:val="48A217F1"/>
    <w:rsid w:val="48BD0E4E"/>
    <w:rsid w:val="48C801FD"/>
    <w:rsid w:val="48CF1C1A"/>
    <w:rsid w:val="48D801B3"/>
    <w:rsid w:val="48E637E8"/>
    <w:rsid w:val="48EC5370"/>
    <w:rsid w:val="48F86CF9"/>
    <w:rsid w:val="48FE01EA"/>
    <w:rsid w:val="49105D9B"/>
    <w:rsid w:val="491A1426"/>
    <w:rsid w:val="491A2FC0"/>
    <w:rsid w:val="49482465"/>
    <w:rsid w:val="49495815"/>
    <w:rsid w:val="49674BC9"/>
    <w:rsid w:val="496F0F4A"/>
    <w:rsid w:val="49722044"/>
    <w:rsid w:val="49736F4E"/>
    <w:rsid w:val="49A7015D"/>
    <w:rsid w:val="49A94E13"/>
    <w:rsid w:val="49AD6398"/>
    <w:rsid w:val="49B108DF"/>
    <w:rsid w:val="49B461FE"/>
    <w:rsid w:val="49D1559F"/>
    <w:rsid w:val="49DF4FBB"/>
    <w:rsid w:val="49F103CA"/>
    <w:rsid w:val="49F2328C"/>
    <w:rsid w:val="49FB71AD"/>
    <w:rsid w:val="49FE2D31"/>
    <w:rsid w:val="4A042828"/>
    <w:rsid w:val="4A113C53"/>
    <w:rsid w:val="4A117BE9"/>
    <w:rsid w:val="4A1E0E70"/>
    <w:rsid w:val="4A222D48"/>
    <w:rsid w:val="4A24691C"/>
    <w:rsid w:val="4A294A72"/>
    <w:rsid w:val="4A2C50AD"/>
    <w:rsid w:val="4A450EB7"/>
    <w:rsid w:val="4A7625EF"/>
    <w:rsid w:val="4A762BBA"/>
    <w:rsid w:val="4A8C27C3"/>
    <w:rsid w:val="4A8D04A3"/>
    <w:rsid w:val="4A901507"/>
    <w:rsid w:val="4AA25265"/>
    <w:rsid w:val="4AC31B50"/>
    <w:rsid w:val="4AC46E2F"/>
    <w:rsid w:val="4ACA6CF5"/>
    <w:rsid w:val="4AD4423F"/>
    <w:rsid w:val="4AEA6392"/>
    <w:rsid w:val="4AF0330D"/>
    <w:rsid w:val="4B065404"/>
    <w:rsid w:val="4B0D402B"/>
    <w:rsid w:val="4B384E1A"/>
    <w:rsid w:val="4B385E4C"/>
    <w:rsid w:val="4B3E344D"/>
    <w:rsid w:val="4B4F3D5F"/>
    <w:rsid w:val="4B536976"/>
    <w:rsid w:val="4B652505"/>
    <w:rsid w:val="4B6C2991"/>
    <w:rsid w:val="4B757CC4"/>
    <w:rsid w:val="4BAE1201"/>
    <w:rsid w:val="4BCA42BD"/>
    <w:rsid w:val="4BFA6898"/>
    <w:rsid w:val="4BFD6717"/>
    <w:rsid w:val="4C1400F3"/>
    <w:rsid w:val="4C1E1719"/>
    <w:rsid w:val="4C294E52"/>
    <w:rsid w:val="4C2A0976"/>
    <w:rsid w:val="4C4923A1"/>
    <w:rsid w:val="4C4E16F5"/>
    <w:rsid w:val="4C5C6EDD"/>
    <w:rsid w:val="4C5D0CF9"/>
    <w:rsid w:val="4C69273F"/>
    <w:rsid w:val="4C732F5E"/>
    <w:rsid w:val="4C7D159E"/>
    <w:rsid w:val="4C92465C"/>
    <w:rsid w:val="4C965F85"/>
    <w:rsid w:val="4C9A3849"/>
    <w:rsid w:val="4C9E3E26"/>
    <w:rsid w:val="4CA322F1"/>
    <w:rsid w:val="4CB53B29"/>
    <w:rsid w:val="4CC96872"/>
    <w:rsid w:val="4CD12B6B"/>
    <w:rsid w:val="4CDB7CFA"/>
    <w:rsid w:val="4CE15FF3"/>
    <w:rsid w:val="4CE32E98"/>
    <w:rsid w:val="4CEB6FA1"/>
    <w:rsid w:val="4D0A3177"/>
    <w:rsid w:val="4D0F48C4"/>
    <w:rsid w:val="4D151E0C"/>
    <w:rsid w:val="4D157EDC"/>
    <w:rsid w:val="4D181EFF"/>
    <w:rsid w:val="4D2D4B24"/>
    <w:rsid w:val="4D590E1D"/>
    <w:rsid w:val="4D597EE0"/>
    <w:rsid w:val="4D5F04A8"/>
    <w:rsid w:val="4D737216"/>
    <w:rsid w:val="4D921D61"/>
    <w:rsid w:val="4D932CCA"/>
    <w:rsid w:val="4D9535C7"/>
    <w:rsid w:val="4DAD465D"/>
    <w:rsid w:val="4DCE0C9C"/>
    <w:rsid w:val="4DDA674E"/>
    <w:rsid w:val="4DEF7B07"/>
    <w:rsid w:val="4DFA5D2E"/>
    <w:rsid w:val="4E01603E"/>
    <w:rsid w:val="4E0C3F5C"/>
    <w:rsid w:val="4E326083"/>
    <w:rsid w:val="4E431A1C"/>
    <w:rsid w:val="4E4B1117"/>
    <w:rsid w:val="4E5665B2"/>
    <w:rsid w:val="4E5767E1"/>
    <w:rsid w:val="4E5C19ED"/>
    <w:rsid w:val="4E690508"/>
    <w:rsid w:val="4E6E6ED6"/>
    <w:rsid w:val="4E914CCF"/>
    <w:rsid w:val="4E915B2A"/>
    <w:rsid w:val="4E923593"/>
    <w:rsid w:val="4E96777E"/>
    <w:rsid w:val="4E9E6D8C"/>
    <w:rsid w:val="4EA80992"/>
    <w:rsid w:val="4EB21E60"/>
    <w:rsid w:val="4EB4513C"/>
    <w:rsid w:val="4EE74154"/>
    <w:rsid w:val="4EEC6B85"/>
    <w:rsid w:val="4EF5262F"/>
    <w:rsid w:val="4F0B5BAD"/>
    <w:rsid w:val="4F1276CD"/>
    <w:rsid w:val="4F241536"/>
    <w:rsid w:val="4F2861BC"/>
    <w:rsid w:val="4F4D5F76"/>
    <w:rsid w:val="4F4E5EC8"/>
    <w:rsid w:val="4F5F2E1B"/>
    <w:rsid w:val="4F5F6EE1"/>
    <w:rsid w:val="4F667E55"/>
    <w:rsid w:val="4F8103E5"/>
    <w:rsid w:val="4F894EB8"/>
    <w:rsid w:val="4F8B3325"/>
    <w:rsid w:val="4FA519B3"/>
    <w:rsid w:val="4FA61710"/>
    <w:rsid w:val="4FC145DA"/>
    <w:rsid w:val="4FC457A9"/>
    <w:rsid w:val="4FD27AF8"/>
    <w:rsid w:val="4FD67734"/>
    <w:rsid w:val="4FD830B6"/>
    <w:rsid w:val="4FD876AC"/>
    <w:rsid w:val="4FE3237D"/>
    <w:rsid w:val="4FE813DF"/>
    <w:rsid w:val="4FED3160"/>
    <w:rsid w:val="4FF3099E"/>
    <w:rsid w:val="4FF602BE"/>
    <w:rsid w:val="4FFD5EFF"/>
    <w:rsid w:val="50016317"/>
    <w:rsid w:val="50041757"/>
    <w:rsid w:val="50051B5E"/>
    <w:rsid w:val="50201442"/>
    <w:rsid w:val="50297503"/>
    <w:rsid w:val="502A1E70"/>
    <w:rsid w:val="503B46AD"/>
    <w:rsid w:val="504B2C3E"/>
    <w:rsid w:val="504D275C"/>
    <w:rsid w:val="504D2CCD"/>
    <w:rsid w:val="505B206A"/>
    <w:rsid w:val="505F6E2D"/>
    <w:rsid w:val="506866AB"/>
    <w:rsid w:val="5069244F"/>
    <w:rsid w:val="506961B1"/>
    <w:rsid w:val="50794E98"/>
    <w:rsid w:val="509543FE"/>
    <w:rsid w:val="509A2BC2"/>
    <w:rsid w:val="50A905B2"/>
    <w:rsid w:val="50B37CA4"/>
    <w:rsid w:val="50BB2DDB"/>
    <w:rsid w:val="50BD024F"/>
    <w:rsid w:val="50C41328"/>
    <w:rsid w:val="50D10219"/>
    <w:rsid w:val="50DA3166"/>
    <w:rsid w:val="50DA3269"/>
    <w:rsid w:val="50DE0B85"/>
    <w:rsid w:val="5101744C"/>
    <w:rsid w:val="510F6214"/>
    <w:rsid w:val="51132039"/>
    <w:rsid w:val="5116587F"/>
    <w:rsid w:val="51280590"/>
    <w:rsid w:val="51293218"/>
    <w:rsid w:val="51315B0F"/>
    <w:rsid w:val="51365C91"/>
    <w:rsid w:val="51372FE5"/>
    <w:rsid w:val="51394E3F"/>
    <w:rsid w:val="513A0B65"/>
    <w:rsid w:val="513A7D8A"/>
    <w:rsid w:val="514C78C0"/>
    <w:rsid w:val="51512258"/>
    <w:rsid w:val="51536481"/>
    <w:rsid w:val="51705D14"/>
    <w:rsid w:val="518274CB"/>
    <w:rsid w:val="51940769"/>
    <w:rsid w:val="519A5C79"/>
    <w:rsid w:val="51A5699E"/>
    <w:rsid w:val="51CF23D3"/>
    <w:rsid w:val="51E37040"/>
    <w:rsid w:val="51E82DF1"/>
    <w:rsid w:val="51EE14DA"/>
    <w:rsid w:val="52021F05"/>
    <w:rsid w:val="52045A95"/>
    <w:rsid w:val="521436D2"/>
    <w:rsid w:val="52194CE3"/>
    <w:rsid w:val="522179A9"/>
    <w:rsid w:val="52233220"/>
    <w:rsid w:val="522A5D95"/>
    <w:rsid w:val="523C386A"/>
    <w:rsid w:val="52477DD7"/>
    <w:rsid w:val="524C1AD1"/>
    <w:rsid w:val="52541950"/>
    <w:rsid w:val="52606C59"/>
    <w:rsid w:val="52652E81"/>
    <w:rsid w:val="5271698F"/>
    <w:rsid w:val="528413E5"/>
    <w:rsid w:val="52854204"/>
    <w:rsid w:val="528F6C64"/>
    <w:rsid w:val="52915AF1"/>
    <w:rsid w:val="529E6965"/>
    <w:rsid w:val="52A00B02"/>
    <w:rsid w:val="52B21E57"/>
    <w:rsid w:val="52BD47EA"/>
    <w:rsid w:val="52CC095C"/>
    <w:rsid w:val="52D30B75"/>
    <w:rsid w:val="52EC3000"/>
    <w:rsid w:val="52F366EE"/>
    <w:rsid w:val="52F402B7"/>
    <w:rsid w:val="52F95DBD"/>
    <w:rsid w:val="52FE161B"/>
    <w:rsid w:val="53026716"/>
    <w:rsid w:val="53084309"/>
    <w:rsid w:val="530A638A"/>
    <w:rsid w:val="531C1071"/>
    <w:rsid w:val="532F3B1A"/>
    <w:rsid w:val="53402D3D"/>
    <w:rsid w:val="53435358"/>
    <w:rsid w:val="535A3814"/>
    <w:rsid w:val="535D1384"/>
    <w:rsid w:val="53665399"/>
    <w:rsid w:val="53730E73"/>
    <w:rsid w:val="537F5E67"/>
    <w:rsid w:val="5393457C"/>
    <w:rsid w:val="53A238D5"/>
    <w:rsid w:val="53A57185"/>
    <w:rsid w:val="53A673B2"/>
    <w:rsid w:val="53AD7726"/>
    <w:rsid w:val="53AF14ED"/>
    <w:rsid w:val="53B20651"/>
    <w:rsid w:val="53CA52EB"/>
    <w:rsid w:val="53D1048F"/>
    <w:rsid w:val="53F127DC"/>
    <w:rsid w:val="53F14250"/>
    <w:rsid w:val="54063DC4"/>
    <w:rsid w:val="54115408"/>
    <w:rsid w:val="54142C58"/>
    <w:rsid w:val="54157948"/>
    <w:rsid w:val="54210DAB"/>
    <w:rsid w:val="54341A8C"/>
    <w:rsid w:val="543E20E3"/>
    <w:rsid w:val="54427183"/>
    <w:rsid w:val="545533E9"/>
    <w:rsid w:val="545B3419"/>
    <w:rsid w:val="546A096A"/>
    <w:rsid w:val="5478396A"/>
    <w:rsid w:val="54823BE6"/>
    <w:rsid w:val="549668B7"/>
    <w:rsid w:val="54A70CFE"/>
    <w:rsid w:val="54A740AD"/>
    <w:rsid w:val="54AB4151"/>
    <w:rsid w:val="54D1645C"/>
    <w:rsid w:val="54D36609"/>
    <w:rsid w:val="54E25C4F"/>
    <w:rsid w:val="54E36F00"/>
    <w:rsid w:val="54E5265B"/>
    <w:rsid w:val="54F074E9"/>
    <w:rsid w:val="54FB75D3"/>
    <w:rsid w:val="550A46DF"/>
    <w:rsid w:val="550D043D"/>
    <w:rsid w:val="551951B8"/>
    <w:rsid w:val="551C14D8"/>
    <w:rsid w:val="552731E0"/>
    <w:rsid w:val="55385031"/>
    <w:rsid w:val="554C52F8"/>
    <w:rsid w:val="55625AA8"/>
    <w:rsid w:val="55671A8E"/>
    <w:rsid w:val="557F07F3"/>
    <w:rsid w:val="55845AD9"/>
    <w:rsid w:val="558850A4"/>
    <w:rsid w:val="558D48A5"/>
    <w:rsid w:val="5598586C"/>
    <w:rsid w:val="55A24037"/>
    <w:rsid w:val="55A63A0A"/>
    <w:rsid w:val="55AC0E22"/>
    <w:rsid w:val="55B95901"/>
    <w:rsid w:val="55D62B39"/>
    <w:rsid w:val="55DE49AF"/>
    <w:rsid w:val="55E6047F"/>
    <w:rsid w:val="55EB30FF"/>
    <w:rsid w:val="55ED5AD1"/>
    <w:rsid w:val="55F50390"/>
    <w:rsid w:val="55F756E2"/>
    <w:rsid w:val="56047DFD"/>
    <w:rsid w:val="561B7F6D"/>
    <w:rsid w:val="561C07B1"/>
    <w:rsid w:val="561E186F"/>
    <w:rsid w:val="561F04ED"/>
    <w:rsid w:val="56220D8B"/>
    <w:rsid w:val="562631AE"/>
    <w:rsid w:val="563479CB"/>
    <w:rsid w:val="5635150D"/>
    <w:rsid w:val="56454091"/>
    <w:rsid w:val="564A62AC"/>
    <w:rsid w:val="56585C5D"/>
    <w:rsid w:val="566E646B"/>
    <w:rsid w:val="56704685"/>
    <w:rsid w:val="56770BAB"/>
    <w:rsid w:val="567C5764"/>
    <w:rsid w:val="567D6EFD"/>
    <w:rsid w:val="56895397"/>
    <w:rsid w:val="568F2493"/>
    <w:rsid w:val="56950CF7"/>
    <w:rsid w:val="56997845"/>
    <w:rsid w:val="56A31B7D"/>
    <w:rsid w:val="56A4766C"/>
    <w:rsid w:val="56D40C89"/>
    <w:rsid w:val="56DC67AC"/>
    <w:rsid w:val="56E1733B"/>
    <w:rsid w:val="56E51616"/>
    <w:rsid w:val="56F658B0"/>
    <w:rsid w:val="570723C7"/>
    <w:rsid w:val="570753D6"/>
    <w:rsid w:val="5713012B"/>
    <w:rsid w:val="57191164"/>
    <w:rsid w:val="57252922"/>
    <w:rsid w:val="57253800"/>
    <w:rsid w:val="572F2EA4"/>
    <w:rsid w:val="57322358"/>
    <w:rsid w:val="5736004B"/>
    <w:rsid w:val="5743693A"/>
    <w:rsid w:val="574A34DB"/>
    <w:rsid w:val="5763047A"/>
    <w:rsid w:val="578D6DF6"/>
    <w:rsid w:val="57A35E67"/>
    <w:rsid w:val="57A97B34"/>
    <w:rsid w:val="57B914C0"/>
    <w:rsid w:val="57C9748C"/>
    <w:rsid w:val="57CE5756"/>
    <w:rsid w:val="57DB36EA"/>
    <w:rsid w:val="57DD1B6E"/>
    <w:rsid w:val="57E31582"/>
    <w:rsid w:val="57E62349"/>
    <w:rsid w:val="57E65309"/>
    <w:rsid w:val="57E80F73"/>
    <w:rsid w:val="57EC7FBF"/>
    <w:rsid w:val="580C4C19"/>
    <w:rsid w:val="580F7103"/>
    <w:rsid w:val="5815740A"/>
    <w:rsid w:val="582D171A"/>
    <w:rsid w:val="583B1D5A"/>
    <w:rsid w:val="584A5A23"/>
    <w:rsid w:val="584B18B4"/>
    <w:rsid w:val="584B52A2"/>
    <w:rsid w:val="58526178"/>
    <w:rsid w:val="58622D30"/>
    <w:rsid w:val="586D38E6"/>
    <w:rsid w:val="587119D8"/>
    <w:rsid w:val="58846E92"/>
    <w:rsid w:val="58863668"/>
    <w:rsid w:val="58867299"/>
    <w:rsid w:val="588D40A6"/>
    <w:rsid w:val="58B31125"/>
    <w:rsid w:val="58B43BB9"/>
    <w:rsid w:val="58C4100E"/>
    <w:rsid w:val="58C85B51"/>
    <w:rsid w:val="58C91045"/>
    <w:rsid w:val="58CB12C2"/>
    <w:rsid w:val="58D11054"/>
    <w:rsid w:val="58E55E24"/>
    <w:rsid w:val="58F4738C"/>
    <w:rsid w:val="5912327A"/>
    <w:rsid w:val="591307E9"/>
    <w:rsid w:val="59154029"/>
    <w:rsid w:val="5917606C"/>
    <w:rsid w:val="591D4F68"/>
    <w:rsid w:val="5928575F"/>
    <w:rsid w:val="59447455"/>
    <w:rsid w:val="5948623B"/>
    <w:rsid w:val="59500F20"/>
    <w:rsid w:val="595613E4"/>
    <w:rsid w:val="59641238"/>
    <w:rsid w:val="596915B6"/>
    <w:rsid w:val="596F6EA2"/>
    <w:rsid w:val="597B4491"/>
    <w:rsid w:val="597F00D0"/>
    <w:rsid w:val="59813E27"/>
    <w:rsid w:val="598246D9"/>
    <w:rsid w:val="59860E68"/>
    <w:rsid w:val="5999775C"/>
    <w:rsid w:val="59A06C22"/>
    <w:rsid w:val="59B154EF"/>
    <w:rsid w:val="59B341F9"/>
    <w:rsid w:val="59C90861"/>
    <w:rsid w:val="59D663D3"/>
    <w:rsid w:val="59E22462"/>
    <w:rsid w:val="59EE0D48"/>
    <w:rsid w:val="59F009FC"/>
    <w:rsid w:val="5A02025E"/>
    <w:rsid w:val="5A052B0F"/>
    <w:rsid w:val="5A0A4376"/>
    <w:rsid w:val="5A17551B"/>
    <w:rsid w:val="5A18176B"/>
    <w:rsid w:val="5A27509D"/>
    <w:rsid w:val="5A281731"/>
    <w:rsid w:val="5A33506A"/>
    <w:rsid w:val="5A447649"/>
    <w:rsid w:val="5A4E3DB2"/>
    <w:rsid w:val="5A5D1F26"/>
    <w:rsid w:val="5A5D4D4F"/>
    <w:rsid w:val="5A6130E8"/>
    <w:rsid w:val="5A6541FD"/>
    <w:rsid w:val="5A6547A3"/>
    <w:rsid w:val="5A823E2E"/>
    <w:rsid w:val="5A832F81"/>
    <w:rsid w:val="5A844F42"/>
    <w:rsid w:val="5A93584F"/>
    <w:rsid w:val="5A9B2E21"/>
    <w:rsid w:val="5A9C5F6A"/>
    <w:rsid w:val="5AA41B7C"/>
    <w:rsid w:val="5AAA771F"/>
    <w:rsid w:val="5AB319D3"/>
    <w:rsid w:val="5AE3587C"/>
    <w:rsid w:val="5AF87D2A"/>
    <w:rsid w:val="5AFE1EE4"/>
    <w:rsid w:val="5AFE3A6A"/>
    <w:rsid w:val="5B0D1AC5"/>
    <w:rsid w:val="5B1474D3"/>
    <w:rsid w:val="5B172E21"/>
    <w:rsid w:val="5B1C76EE"/>
    <w:rsid w:val="5B2D7FCA"/>
    <w:rsid w:val="5B31244E"/>
    <w:rsid w:val="5B396751"/>
    <w:rsid w:val="5B3B613A"/>
    <w:rsid w:val="5B3B7AC3"/>
    <w:rsid w:val="5B4355CC"/>
    <w:rsid w:val="5B5100D8"/>
    <w:rsid w:val="5B5C077C"/>
    <w:rsid w:val="5B6707C9"/>
    <w:rsid w:val="5B6B0B41"/>
    <w:rsid w:val="5B723C11"/>
    <w:rsid w:val="5B740FB5"/>
    <w:rsid w:val="5B844E5B"/>
    <w:rsid w:val="5B87716B"/>
    <w:rsid w:val="5B8918DE"/>
    <w:rsid w:val="5B8A542D"/>
    <w:rsid w:val="5B990415"/>
    <w:rsid w:val="5BB9149B"/>
    <w:rsid w:val="5BBC2AA8"/>
    <w:rsid w:val="5BC23D02"/>
    <w:rsid w:val="5BC32CC0"/>
    <w:rsid w:val="5BC35EA3"/>
    <w:rsid w:val="5BC85B9D"/>
    <w:rsid w:val="5BE75F7E"/>
    <w:rsid w:val="5BF4310E"/>
    <w:rsid w:val="5BF52194"/>
    <w:rsid w:val="5C0036CB"/>
    <w:rsid w:val="5C0C2F01"/>
    <w:rsid w:val="5C2928A3"/>
    <w:rsid w:val="5C4624B0"/>
    <w:rsid w:val="5C49380A"/>
    <w:rsid w:val="5C4C4925"/>
    <w:rsid w:val="5C580926"/>
    <w:rsid w:val="5C6717DB"/>
    <w:rsid w:val="5C695C61"/>
    <w:rsid w:val="5C7D113E"/>
    <w:rsid w:val="5C917317"/>
    <w:rsid w:val="5C944F45"/>
    <w:rsid w:val="5C990294"/>
    <w:rsid w:val="5CBB3EBE"/>
    <w:rsid w:val="5CC20876"/>
    <w:rsid w:val="5CC96CEA"/>
    <w:rsid w:val="5CCC7DB2"/>
    <w:rsid w:val="5CD52965"/>
    <w:rsid w:val="5CDF4634"/>
    <w:rsid w:val="5CE0516A"/>
    <w:rsid w:val="5CF641A9"/>
    <w:rsid w:val="5CF80A79"/>
    <w:rsid w:val="5CFC0CF6"/>
    <w:rsid w:val="5D113773"/>
    <w:rsid w:val="5D1906A7"/>
    <w:rsid w:val="5D2B7728"/>
    <w:rsid w:val="5D2D1FFE"/>
    <w:rsid w:val="5D417B9B"/>
    <w:rsid w:val="5D554CDE"/>
    <w:rsid w:val="5D6E7F35"/>
    <w:rsid w:val="5D72314E"/>
    <w:rsid w:val="5D8A016B"/>
    <w:rsid w:val="5D9A1B41"/>
    <w:rsid w:val="5DA57954"/>
    <w:rsid w:val="5DB50A35"/>
    <w:rsid w:val="5DCC07C4"/>
    <w:rsid w:val="5DCD35DF"/>
    <w:rsid w:val="5DD718D5"/>
    <w:rsid w:val="5DDA15FC"/>
    <w:rsid w:val="5DE90932"/>
    <w:rsid w:val="5DF01CEA"/>
    <w:rsid w:val="5DF96357"/>
    <w:rsid w:val="5DFE1641"/>
    <w:rsid w:val="5E116BA5"/>
    <w:rsid w:val="5E172EAC"/>
    <w:rsid w:val="5E2869A9"/>
    <w:rsid w:val="5E287EF9"/>
    <w:rsid w:val="5E370582"/>
    <w:rsid w:val="5E3A0814"/>
    <w:rsid w:val="5E4E2914"/>
    <w:rsid w:val="5E506658"/>
    <w:rsid w:val="5E551BAC"/>
    <w:rsid w:val="5E6145BD"/>
    <w:rsid w:val="5E666973"/>
    <w:rsid w:val="5E7623C1"/>
    <w:rsid w:val="5E85034B"/>
    <w:rsid w:val="5E886B60"/>
    <w:rsid w:val="5E890733"/>
    <w:rsid w:val="5E8B30B5"/>
    <w:rsid w:val="5EA90E0E"/>
    <w:rsid w:val="5EB17EA8"/>
    <w:rsid w:val="5EB45CB2"/>
    <w:rsid w:val="5EED7A7C"/>
    <w:rsid w:val="5F127C4E"/>
    <w:rsid w:val="5F28570A"/>
    <w:rsid w:val="5F2F65D0"/>
    <w:rsid w:val="5F300E3B"/>
    <w:rsid w:val="5F302FAE"/>
    <w:rsid w:val="5F461712"/>
    <w:rsid w:val="5F5D1782"/>
    <w:rsid w:val="5F605B48"/>
    <w:rsid w:val="5F672A4A"/>
    <w:rsid w:val="5F733E17"/>
    <w:rsid w:val="5F9E3844"/>
    <w:rsid w:val="5FAA46EA"/>
    <w:rsid w:val="5FE73C59"/>
    <w:rsid w:val="5FE81719"/>
    <w:rsid w:val="5FEE4999"/>
    <w:rsid w:val="5FF37571"/>
    <w:rsid w:val="5FFD6304"/>
    <w:rsid w:val="600A1B47"/>
    <w:rsid w:val="60144038"/>
    <w:rsid w:val="60236723"/>
    <w:rsid w:val="602562A2"/>
    <w:rsid w:val="605D7095"/>
    <w:rsid w:val="60640038"/>
    <w:rsid w:val="60663A70"/>
    <w:rsid w:val="60816108"/>
    <w:rsid w:val="608F1788"/>
    <w:rsid w:val="609F324B"/>
    <w:rsid w:val="609F7202"/>
    <w:rsid w:val="60A00017"/>
    <w:rsid w:val="60A32699"/>
    <w:rsid w:val="60A86A90"/>
    <w:rsid w:val="60A91BC8"/>
    <w:rsid w:val="60BD23F1"/>
    <w:rsid w:val="60BF6F04"/>
    <w:rsid w:val="60D13045"/>
    <w:rsid w:val="60D63C76"/>
    <w:rsid w:val="60E62391"/>
    <w:rsid w:val="60EE05DE"/>
    <w:rsid w:val="60F041BA"/>
    <w:rsid w:val="60F34EEC"/>
    <w:rsid w:val="60F62397"/>
    <w:rsid w:val="61021193"/>
    <w:rsid w:val="61030094"/>
    <w:rsid w:val="610367E0"/>
    <w:rsid w:val="610B46C5"/>
    <w:rsid w:val="610C575E"/>
    <w:rsid w:val="611B2D32"/>
    <w:rsid w:val="61256438"/>
    <w:rsid w:val="6130771F"/>
    <w:rsid w:val="61407309"/>
    <w:rsid w:val="61415830"/>
    <w:rsid w:val="61466637"/>
    <w:rsid w:val="614A556E"/>
    <w:rsid w:val="61524664"/>
    <w:rsid w:val="61754DFA"/>
    <w:rsid w:val="6179622B"/>
    <w:rsid w:val="617D693A"/>
    <w:rsid w:val="618652C3"/>
    <w:rsid w:val="61881DE7"/>
    <w:rsid w:val="61950155"/>
    <w:rsid w:val="61A13EED"/>
    <w:rsid w:val="61CD59DA"/>
    <w:rsid w:val="61E40B82"/>
    <w:rsid w:val="61EB4E3B"/>
    <w:rsid w:val="61F44E34"/>
    <w:rsid w:val="6203232F"/>
    <w:rsid w:val="62373300"/>
    <w:rsid w:val="62393803"/>
    <w:rsid w:val="62624BFB"/>
    <w:rsid w:val="62660929"/>
    <w:rsid w:val="626E32BA"/>
    <w:rsid w:val="626F00F4"/>
    <w:rsid w:val="627B45CD"/>
    <w:rsid w:val="6282046B"/>
    <w:rsid w:val="628539DD"/>
    <w:rsid w:val="6289239B"/>
    <w:rsid w:val="62960764"/>
    <w:rsid w:val="62971645"/>
    <w:rsid w:val="629D3C20"/>
    <w:rsid w:val="629F72A5"/>
    <w:rsid w:val="62A0014E"/>
    <w:rsid w:val="62B75BF3"/>
    <w:rsid w:val="62B86118"/>
    <w:rsid w:val="62C014B3"/>
    <w:rsid w:val="62C81513"/>
    <w:rsid w:val="62C8554D"/>
    <w:rsid w:val="62E07A21"/>
    <w:rsid w:val="62FC6FD5"/>
    <w:rsid w:val="63170721"/>
    <w:rsid w:val="631E4683"/>
    <w:rsid w:val="632A5294"/>
    <w:rsid w:val="6332364B"/>
    <w:rsid w:val="63331639"/>
    <w:rsid w:val="634F1331"/>
    <w:rsid w:val="635057AE"/>
    <w:rsid w:val="635B39F8"/>
    <w:rsid w:val="63791255"/>
    <w:rsid w:val="6380401B"/>
    <w:rsid w:val="638654C1"/>
    <w:rsid w:val="638F2201"/>
    <w:rsid w:val="639240A4"/>
    <w:rsid w:val="63991E44"/>
    <w:rsid w:val="639F56A1"/>
    <w:rsid w:val="63BA737C"/>
    <w:rsid w:val="63C55F12"/>
    <w:rsid w:val="63D71394"/>
    <w:rsid w:val="63E308FF"/>
    <w:rsid w:val="63E547EE"/>
    <w:rsid w:val="63EF367B"/>
    <w:rsid w:val="640115D4"/>
    <w:rsid w:val="6408099E"/>
    <w:rsid w:val="64094CA5"/>
    <w:rsid w:val="64237518"/>
    <w:rsid w:val="642B31BE"/>
    <w:rsid w:val="64337C4D"/>
    <w:rsid w:val="64354827"/>
    <w:rsid w:val="644F5D2A"/>
    <w:rsid w:val="6458788A"/>
    <w:rsid w:val="645A1458"/>
    <w:rsid w:val="645D27DD"/>
    <w:rsid w:val="645F3F73"/>
    <w:rsid w:val="64711567"/>
    <w:rsid w:val="648265D6"/>
    <w:rsid w:val="64874278"/>
    <w:rsid w:val="648C2C6F"/>
    <w:rsid w:val="648F2C02"/>
    <w:rsid w:val="64940B19"/>
    <w:rsid w:val="649D7EEB"/>
    <w:rsid w:val="649E1558"/>
    <w:rsid w:val="64AA4BB2"/>
    <w:rsid w:val="64C03E93"/>
    <w:rsid w:val="64C80CCD"/>
    <w:rsid w:val="64CB5C3A"/>
    <w:rsid w:val="64D44EF1"/>
    <w:rsid w:val="64E0389C"/>
    <w:rsid w:val="64EC7A70"/>
    <w:rsid w:val="64EF70CD"/>
    <w:rsid w:val="64F61375"/>
    <w:rsid w:val="64F73F05"/>
    <w:rsid w:val="650B43EB"/>
    <w:rsid w:val="65154FE2"/>
    <w:rsid w:val="6518564C"/>
    <w:rsid w:val="651F5B5A"/>
    <w:rsid w:val="65413D42"/>
    <w:rsid w:val="65417BCD"/>
    <w:rsid w:val="65417DE0"/>
    <w:rsid w:val="654A7B31"/>
    <w:rsid w:val="654B5CE5"/>
    <w:rsid w:val="65501C23"/>
    <w:rsid w:val="656053F1"/>
    <w:rsid w:val="6560737E"/>
    <w:rsid w:val="656E7312"/>
    <w:rsid w:val="659A1BE7"/>
    <w:rsid w:val="659C0A99"/>
    <w:rsid w:val="65A01A09"/>
    <w:rsid w:val="65B240BA"/>
    <w:rsid w:val="65B35A3A"/>
    <w:rsid w:val="65CC1790"/>
    <w:rsid w:val="65ED7E93"/>
    <w:rsid w:val="65EF1E6A"/>
    <w:rsid w:val="65F11122"/>
    <w:rsid w:val="65F32A4D"/>
    <w:rsid w:val="65F85615"/>
    <w:rsid w:val="65F9002C"/>
    <w:rsid w:val="66120500"/>
    <w:rsid w:val="66193A6B"/>
    <w:rsid w:val="66355CAD"/>
    <w:rsid w:val="66746074"/>
    <w:rsid w:val="66842DB8"/>
    <w:rsid w:val="66A002B9"/>
    <w:rsid w:val="66A70FDF"/>
    <w:rsid w:val="66A86609"/>
    <w:rsid w:val="66B15E4C"/>
    <w:rsid w:val="66BD2317"/>
    <w:rsid w:val="66CD1ED3"/>
    <w:rsid w:val="66D9224D"/>
    <w:rsid w:val="66EE7E3A"/>
    <w:rsid w:val="673C624E"/>
    <w:rsid w:val="6744475B"/>
    <w:rsid w:val="674E0EF4"/>
    <w:rsid w:val="675317B0"/>
    <w:rsid w:val="675F05E0"/>
    <w:rsid w:val="677D78BE"/>
    <w:rsid w:val="679F2489"/>
    <w:rsid w:val="67A32A0D"/>
    <w:rsid w:val="67A36C57"/>
    <w:rsid w:val="67AB66D1"/>
    <w:rsid w:val="67B4432C"/>
    <w:rsid w:val="67B57EF5"/>
    <w:rsid w:val="67B867FC"/>
    <w:rsid w:val="67BB471E"/>
    <w:rsid w:val="67D82ECB"/>
    <w:rsid w:val="67EF159D"/>
    <w:rsid w:val="680E437C"/>
    <w:rsid w:val="683607D8"/>
    <w:rsid w:val="683A615D"/>
    <w:rsid w:val="68527392"/>
    <w:rsid w:val="68770BAF"/>
    <w:rsid w:val="687B7CBA"/>
    <w:rsid w:val="68805629"/>
    <w:rsid w:val="689A36DE"/>
    <w:rsid w:val="689D7972"/>
    <w:rsid w:val="689F6FA0"/>
    <w:rsid w:val="68AF230C"/>
    <w:rsid w:val="68BA103A"/>
    <w:rsid w:val="68C149FF"/>
    <w:rsid w:val="68CD2BE2"/>
    <w:rsid w:val="68DD4062"/>
    <w:rsid w:val="68E1051C"/>
    <w:rsid w:val="68E730F7"/>
    <w:rsid w:val="68F33E74"/>
    <w:rsid w:val="69023694"/>
    <w:rsid w:val="69025A67"/>
    <w:rsid w:val="69100FD1"/>
    <w:rsid w:val="691D51D1"/>
    <w:rsid w:val="691E5E18"/>
    <w:rsid w:val="694E5087"/>
    <w:rsid w:val="695B1E42"/>
    <w:rsid w:val="69760E9A"/>
    <w:rsid w:val="69841735"/>
    <w:rsid w:val="69934604"/>
    <w:rsid w:val="69935006"/>
    <w:rsid w:val="69986B9C"/>
    <w:rsid w:val="69995885"/>
    <w:rsid w:val="69AC7C29"/>
    <w:rsid w:val="69B3027D"/>
    <w:rsid w:val="69CF25FD"/>
    <w:rsid w:val="69D227F8"/>
    <w:rsid w:val="69DF2770"/>
    <w:rsid w:val="69F57C50"/>
    <w:rsid w:val="6A1205F4"/>
    <w:rsid w:val="6A2342F6"/>
    <w:rsid w:val="6A466A71"/>
    <w:rsid w:val="6A5635C7"/>
    <w:rsid w:val="6A62360C"/>
    <w:rsid w:val="6A667328"/>
    <w:rsid w:val="6A675D63"/>
    <w:rsid w:val="6A6952FA"/>
    <w:rsid w:val="6A84017F"/>
    <w:rsid w:val="6A8527D2"/>
    <w:rsid w:val="6A8B556D"/>
    <w:rsid w:val="6A8C5C3E"/>
    <w:rsid w:val="6A935CDB"/>
    <w:rsid w:val="6AAB4411"/>
    <w:rsid w:val="6AB561CC"/>
    <w:rsid w:val="6ACD2100"/>
    <w:rsid w:val="6AD553E0"/>
    <w:rsid w:val="6AF113CF"/>
    <w:rsid w:val="6AF21921"/>
    <w:rsid w:val="6AF3594C"/>
    <w:rsid w:val="6AFA5E41"/>
    <w:rsid w:val="6B08548B"/>
    <w:rsid w:val="6B0D49C2"/>
    <w:rsid w:val="6B193204"/>
    <w:rsid w:val="6B266127"/>
    <w:rsid w:val="6B2C135C"/>
    <w:rsid w:val="6B391ECD"/>
    <w:rsid w:val="6B4A13AC"/>
    <w:rsid w:val="6B573E92"/>
    <w:rsid w:val="6B5B2130"/>
    <w:rsid w:val="6B8C3C7C"/>
    <w:rsid w:val="6B8D0120"/>
    <w:rsid w:val="6B9E20E1"/>
    <w:rsid w:val="6BC47BF4"/>
    <w:rsid w:val="6BD07595"/>
    <w:rsid w:val="6BD4540A"/>
    <w:rsid w:val="6BE31A21"/>
    <w:rsid w:val="6BED2B65"/>
    <w:rsid w:val="6BF211A4"/>
    <w:rsid w:val="6BF53844"/>
    <w:rsid w:val="6BF86EE9"/>
    <w:rsid w:val="6C05299A"/>
    <w:rsid w:val="6C170C69"/>
    <w:rsid w:val="6C2F0842"/>
    <w:rsid w:val="6C453D7B"/>
    <w:rsid w:val="6C573759"/>
    <w:rsid w:val="6C5D6B4E"/>
    <w:rsid w:val="6C6076E3"/>
    <w:rsid w:val="6C646455"/>
    <w:rsid w:val="6C780136"/>
    <w:rsid w:val="6C8E0FFA"/>
    <w:rsid w:val="6C9552B3"/>
    <w:rsid w:val="6C962F20"/>
    <w:rsid w:val="6C9E22BE"/>
    <w:rsid w:val="6CAA3C45"/>
    <w:rsid w:val="6CD65955"/>
    <w:rsid w:val="6CEC2BB0"/>
    <w:rsid w:val="6CEF67FA"/>
    <w:rsid w:val="6CF64EF0"/>
    <w:rsid w:val="6D040C67"/>
    <w:rsid w:val="6D0631DC"/>
    <w:rsid w:val="6D2047CC"/>
    <w:rsid w:val="6D204993"/>
    <w:rsid w:val="6D31216F"/>
    <w:rsid w:val="6D366587"/>
    <w:rsid w:val="6D3F2E03"/>
    <w:rsid w:val="6D5B6D7D"/>
    <w:rsid w:val="6D685E09"/>
    <w:rsid w:val="6D8B5D4C"/>
    <w:rsid w:val="6D914C80"/>
    <w:rsid w:val="6D9D6131"/>
    <w:rsid w:val="6DBF75AB"/>
    <w:rsid w:val="6DE1416E"/>
    <w:rsid w:val="6DEE3E41"/>
    <w:rsid w:val="6DF23F84"/>
    <w:rsid w:val="6DF3415B"/>
    <w:rsid w:val="6DF737BF"/>
    <w:rsid w:val="6E007267"/>
    <w:rsid w:val="6E171B19"/>
    <w:rsid w:val="6E3258C2"/>
    <w:rsid w:val="6E40122D"/>
    <w:rsid w:val="6E464B5F"/>
    <w:rsid w:val="6E4C18B7"/>
    <w:rsid w:val="6E685299"/>
    <w:rsid w:val="6E812A44"/>
    <w:rsid w:val="6EA86FB9"/>
    <w:rsid w:val="6EC42838"/>
    <w:rsid w:val="6EC96FDC"/>
    <w:rsid w:val="6EDB7784"/>
    <w:rsid w:val="6EDF4B1D"/>
    <w:rsid w:val="6EE1645A"/>
    <w:rsid w:val="6EF504D9"/>
    <w:rsid w:val="6EF65FAD"/>
    <w:rsid w:val="6F0729E5"/>
    <w:rsid w:val="6F0E0EF4"/>
    <w:rsid w:val="6F0F495C"/>
    <w:rsid w:val="6F202220"/>
    <w:rsid w:val="6F341CBE"/>
    <w:rsid w:val="6F520EB6"/>
    <w:rsid w:val="6F722478"/>
    <w:rsid w:val="6F7C2B3A"/>
    <w:rsid w:val="6F907558"/>
    <w:rsid w:val="6FA34967"/>
    <w:rsid w:val="6FA3519E"/>
    <w:rsid w:val="6FA72053"/>
    <w:rsid w:val="6FA91104"/>
    <w:rsid w:val="6FAB7060"/>
    <w:rsid w:val="6FAD0EC6"/>
    <w:rsid w:val="6FBB418E"/>
    <w:rsid w:val="6FCA0284"/>
    <w:rsid w:val="6FDC1316"/>
    <w:rsid w:val="6FFC7A26"/>
    <w:rsid w:val="700A279C"/>
    <w:rsid w:val="700A289A"/>
    <w:rsid w:val="702E338D"/>
    <w:rsid w:val="70472125"/>
    <w:rsid w:val="7049749B"/>
    <w:rsid w:val="704B7905"/>
    <w:rsid w:val="70555E14"/>
    <w:rsid w:val="705B2D30"/>
    <w:rsid w:val="705F307E"/>
    <w:rsid w:val="706B2486"/>
    <w:rsid w:val="70795DF6"/>
    <w:rsid w:val="707A5D2F"/>
    <w:rsid w:val="708D5960"/>
    <w:rsid w:val="70964422"/>
    <w:rsid w:val="70A14A64"/>
    <w:rsid w:val="70AF6CE9"/>
    <w:rsid w:val="70D13BA0"/>
    <w:rsid w:val="70DF3DEB"/>
    <w:rsid w:val="70F02FDD"/>
    <w:rsid w:val="70F72510"/>
    <w:rsid w:val="71041721"/>
    <w:rsid w:val="711C1F43"/>
    <w:rsid w:val="712B05F9"/>
    <w:rsid w:val="713033D0"/>
    <w:rsid w:val="71310096"/>
    <w:rsid w:val="71367E84"/>
    <w:rsid w:val="7137184D"/>
    <w:rsid w:val="713A67B3"/>
    <w:rsid w:val="7141659B"/>
    <w:rsid w:val="71461837"/>
    <w:rsid w:val="7147509B"/>
    <w:rsid w:val="714A356A"/>
    <w:rsid w:val="716D4D24"/>
    <w:rsid w:val="717031CE"/>
    <w:rsid w:val="717943F5"/>
    <w:rsid w:val="717A2BA1"/>
    <w:rsid w:val="718E70D3"/>
    <w:rsid w:val="719D7468"/>
    <w:rsid w:val="71AA1A3E"/>
    <w:rsid w:val="71B16C44"/>
    <w:rsid w:val="71BD4685"/>
    <w:rsid w:val="71C47B9F"/>
    <w:rsid w:val="71C64D4D"/>
    <w:rsid w:val="71D72F17"/>
    <w:rsid w:val="720158A7"/>
    <w:rsid w:val="720431A7"/>
    <w:rsid w:val="72084942"/>
    <w:rsid w:val="720B4718"/>
    <w:rsid w:val="72364C69"/>
    <w:rsid w:val="723B2B91"/>
    <w:rsid w:val="72517987"/>
    <w:rsid w:val="725D5B96"/>
    <w:rsid w:val="726B76F8"/>
    <w:rsid w:val="7272039C"/>
    <w:rsid w:val="727539C2"/>
    <w:rsid w:val="72771182"/>
    <w:rsid w:val="7298444E"/>
    <w:rsid w:val="729F1F2D"/>
    <w:rsid w:val="729F3D2C"/>
    <w:rsid w:val="72BF29DE"/>
    <w:rsid w:val="72C00C08"/>
    <w:rsid w:val="72C55A19"/>
    <w:rsid w:val="72E97BD6"/>
    <w:rsid w:val="72EF358D"/>
    <w:rsid w:val="733535A0"/>
    <w:rsid w:val="734049AA"/>
    <w:rsid w:val="734B2DDD"/>
    <w:rsid w:val="735F142D"/>
    <w:rsid w:val="737140B0"/>
    <w:rsid w:val="73773E99"/>
    <w:rsid w:val="73790128"/>
    <w:rsid w:val="737B0312"/>
    <w:rsid w:val="73854C6C"/>
    <w:rsid w:val="738C6771"/>
    <w:rsid w:val="7395289F"/>
    <w:rsid w:val="73994803"/>
    <w:rsid w:val="73B2046C"/>
    <w:rsid w:val="73D0280C"/>
    <w:rsid w:val="73D82C3C"/>
    <w:rsid w:val="73DB5FEE"/>
    <w:rsid w:val="73F809EA"/>
    <w:rsid w:val="73FD7489"/>
    <w:rsid w:val="740560EA"/>
    <w:rsid w:val="740630C3"/>
    <w:rsid w:val="7409473C"/>
    <w:rsid w:val="741825DF"/>
    <w:rsid w:val="74191290"/>
    <w:rsid w:val="741B7290"/>
    <w:rsid w:val="743B7AE7"/>
    <w:rsid w:val="74410FE0"/>
    <w:rsid w:val="74415F16"/>
    <w:rsid w:val="74441E0D"/>
    <w:rsid w:val="74482FCD"/>
    <w:rsid w:val="744A091C"/>
    <w:rsid w:val="744B1E8E"/>
    <w:rsid w:val="74624E03"/>
    <w:rsid w:val="74853218"/>
    <w:rsid w:val="74A14393"/>
    <w:rsid w:val="74A63B78"/>
    <w:rsid w:val="74C93C97"/>
    <w:rsid w:val="74CE2BD2"/>
    <w:rsid w:val="74E863D4"/>
    <w:rsid w:val="74F63296"/>
    <w:rsid w:val="750B59B7"/>
    <w:rsid w:val="75217B9D"/>
    <w:rsid w:val="75233611"/>
    <w:rsid w:val="7526215A"/>
    <w:rsid w:val="754B473A"/>
    <w:rsid w:val="75557790"/>
    <w:rsid w:val="7563558E"/>
    <w:rsid w:val="756C6CED"/>
    <w:rsid w:val="758C7F0A"/>
    <w:rsid w:val="75951408"/>
    <w:rsid w:val="759931D9"/>
    <w:rsid w:val="759D251D"/>
    <w:rsid w:val="75A10102"/>
    <w:rsid w:val="75A46BE9"/>
    <w:rsid w:val="75AC62F8"/>
    <w:rsid w:val="75CD2CE4"/>
    <w:rsid w:val="75CF5A6D"/>
    <w:rsid w:val="75D55086"/>
    <w:rsid w:val="75D967BC"/>
    <w:rsid w:val="75DE5D07"/>
    <w:rsid w:val="75DF0B1D"/>
    <w:rsid w:val="75F1030D"/>
    <w:rsid w:val="75F67D67"/>
    <w:rsid w:val="75FC2A02"/>
    <w:rsid w:val="76107D1F"/>
    <w:rsid w:val="761B1B02"/>
    <w:rsid w:val="7621586B"/>
    <w:rsid w:val="76275680"/>
    <w:rsid w:val="76407584"/>
    <w:rsid w:val="76497B53"/>
    <w:rsid w:val="76566161"/>
    <w:rsid w:val="765F4EDC"/>
    <w:rsid w:val="76624EAE"/>
    <w:rsid w:val="767C6AAC"/>
    <w:rsid w:val="768C68BB"/>
    <w:rsid w:val="768E66A6"/>
    <w:rsid w:val="7690234D"/>
    <w:rsid w:val="76B161B7"/>
    <w:rsid w:val="76B5093C"/>
    <w:rsid w:val="76B525F5"/>
    <w:rsid w:val="76BE1E79"/>
    <w:rsid w:val="76C47E08"/>
    <w:rsid w:val="76CA4F08"/>
    <w:rsid w:val="76CA7546"/>
    <w:rsid w:val="76CC5988"/>
    <w:rsid w:val="76CE039A"/>
    <w:rsid w:val="76D81A08"/>
    <w:rsid w:val="76DD351E"/>
    <w:rsid w:val="76DE0141"/>
    <w:rsid w:val="76E15D37"/>
    <w:rsid w:val="76E17E2E"/>
    <w:rsid w:val="76E843CB"/>
    <w:rsid w:val="76E92569"/>
    <w:rsid w:val="76F355A0"/>
    <w:rsid w:val="770B16B4"/>
    <w:rsid w:val="771A2F81"/>
    <w:rsid w:val="77200EDF"/>
    <w:rsid w:val="77234096"/>
    <w:rsid w:val="772B210D"/>
    <w:rsid w:val="77371ACB"/>
    <w:rsid w:val="77385348"/>
    <w:rsid w:val="77395E4B"/>
    <w:rsid w:val="77500471"/>
    <w:rsid w:val="77510092"/>
    <w:rsid w:val="77563F8A"/>
    <w:rsid w:val="77726B37"/>
    <w:rsid w:val="77743BE2"/>
    <w:rsid w:val="779C0093"/>
    <w:rsid w:val="779E3B4F"/>
    <w:rsid w:val="77A27551"/>
    <w:rsid w:val="77A33CC4"/>
    <w:rsid w:val="77A47D6F"/>
    <w:rsid w:val="77AA0E39"/>
    <w:rsid w:val="77B65BA5"/>
    <w:rsid w:val="77B93451"/>
    <w:rsid w:val="77C037EA"/>
    <w:rsid w:val="77C2288C"/>
    <w:rsid w:val="77C87CA3"/>
    <w:rsid w:val="77CE53B2"/>
    <w:rsid w:val="77D52F39"/>
    <w:rsid w:val="77D70418"/>
    <w:rsid w:val="77E42137"/>
    <w:rsid w:val="77F73C96"/>
    <w:rsid w:val="77FF6F5A"/>
    <w:rsid w:val="78135070"/>
    <w:rsid w:val="78136816"/>
    <w:rsid w:val="7821767D"/>
    <w:rsid w:val="782F2090"/>
    <w:rsid w:val="78360FF5"/>
    <w:rsid w:val="783D64E5"/>
    <w:rsid w:val="784A396E"/>
    <w:rsid w:val="784C3862"/>
    <w:rsid w:val="785A4719"/>
    <w:rsid w:val="785C18C1"/>
    <w:rsid w:val="78734995"/>
    <w:rsid w:val="78815DDC"/>
    <w:rsid w:val="788C29D5"/>
    <w:rsid w:val="78907379"/>
    <w:rsid w:val="78910918"/>
    <w:rsid w:val="7897689C"/>
    <w:rsid w:val="78986994"/>
    <w:rsid w:val="789E6904"/>
    <w:rsid w:val="78A212A6"/>
    <w:rsid w:val="78B070B9"/>
    <w:rsid w:val="78B70DC3"/>
    <w:rsid w:val="78C278D7"/>
    <w:rsid w:val="78C6157A"/>
    <w:rsid w:val="78C728CE"/>
    <w:rsid w:val="78ED0AB4"/>
    <w:rsid w:val="79031042"/>
    <w:rsid w:val="790F0960"/>
    <w:rsid w:val="79237617"/>
    <w:rsid w:val="793356DB"/>
    <w:rsid w:val="793772CE"/>
    <w:rsid w:val="794371D6"/>
    <w:rsid w:val="79441DF1"/>
    <w:rsid w:val="79494A81"/>
    <w:rsid w:val="79596609"/>
    <w:rsid w:val="795C4D8E"/>
    <w:rsid w:val="795E49B7"/>
    <w:rsid w:val="796C66A3"/>
    <w:rsid w:val="79817CB5"/>
    <w:rsid w:val="798746C4"/>
    <w:rsid w:val="798B3305"/>
    <w:rsid w:val="79A344D3"/>
    <w:rsid w:val="79C722DE"/>
    <w:rsid w:val="79C7606B"/>
    <w:rsid w:val="79C7747A"/>
    <w:rsid w:val="79E2299F"/>
    <w:rsid w:val="79F07130"/>
    <w:rsid w:val="7A011425"/>
    <w:rsid w:val="7A0848F5"/>
    <w:rsid w:val="7A090472"/>
    <w:rsid w:val="7A0F459A"/>
    <w:rsid w:val="7A11399D"/>
    <w:rsid w:val="7A17279A"/>
    <w:rsid w:val="7A1D51AA"/>
    <w:rsid w:val="7A337E4D"/>
    <w:rsid w:val="7A3408ED"/>
    <w:rsid w:val="7A356238"/>
    <w:rsid w:val="7A48224C"/>
    <w:rsid w:val="7A5E4C0C"/>
    <w:rsid w:val="7A6C16BC"/>
    <w:rsid w:val="7A736997"/>
    <w:rsid w:val="7A795439"/>
    <w:rsid w:val="7A854531"/>
    <w:rsid w:val="7A8F5A40"/>
    <w:rsid w:val="7A911233"/>
    <w:rsid w:val="7A933E82"/>
    <w:rsid w:val="7AA26CFF"/>
    <w:rsid w:val="7AAC67D4"/>
    <w:rsid w:val="7AB53CBE"/>
    <w:rsid w:val="7AB801CE"/>
    <w:rsid w:val="7AB96430"/>
    <w:rsid w:val="7AC649C5"/>
    <w:rsid w:val="7ACD101D"/>
    <w:rsid w:val="7AD7381C"/>
    <w:rsid w:val="7ADC31F0"/>
    <w:rsid w:val="7AE44B5A"/>
    <w:rsid w:val="7AEB6171"/>
    <w:rsid w:val="7B075C4A"/>
    <w:rsid w:val="7B122091"/>
    <w:rsid w:val="7B154CB6"/>
    <w:rsid w:val="7B205640"/>
    <w:rsid w:val="7B271ACC"/>
    <w:rsid w:val="7B28186A"/>
    <w:rsid w:val="7B4C428A"/>
    <w:rsid w:val="7B5E060E"/>
    <w:rsid w:val="7B8227A2"/>
    <w:rsid w:val="7B862503"/>
    <w:rsid w:val="7BA046C2"/>
    <w:rsid w:val="7BA97827"/>
    <w:rsid w:val="7BAA5B44"/>
    <w:rsid w:val="7BCE62FC"/>
    <w:rsid w:val="7BD85E62"/>
    <w:rsid w:val="7BEA4BE1"/>
    <w:rsid w:val="7BED2A59"/>
    <w:rsid w:val="7BEF13BC"/>
    <w:rsid w:val="7C05330D"/>
    <w:rsid w:val="7C074CF6"/>
    <w:rsid w:val="7C096E18"/>
    <w:rsid w:val="7C167366"/>
    <w:rsid w:val="7C230886"/>
    <w:rsid w:val="7C28494C"/>
    <w:rsid w:val="7C2B1A7B"/>
    <w:rsid w:val="7C4C5980"/>
    <w:rsid w:val="7C515172"/>
    <w:rsid w:val="7C6327C1"/>
    <w:rsid w:val="7C637369"/>
    <w:rsid w:val="7C700C54"/>
    <w:rsid w:val="7C807077"/>
    <w:rsid w:val="7C8377FC"/>
    <w:rsid w:val="7C8D35F1"/>
    <w:rsid w:val="7C8D4863"/>
    <w:rsid w:val="7C932D68"/>
    <w:rsid w:val="7CA725DE"/>
    <w:rsid w:val="7CA836B5"/>
    <w:rsid w:val="7CAA29BE"/>
    <w:rsid w:val="7CAC0BC6"/>
    <w:rsid w:val="7CBF50D9"/>
    <w:rsid w:val="7CC46FB9"/>
    <w:rsid w:val="7CCF4F2A"/>
    <w:rsid w:val="7CD555B1"/>
    <w:rsid w:val="7CDA14D9"/>
    <w:rsid w:val="7CF24FAB"/>
    <w:rsid w:val="7D004073"/>
    <w:rsid w:val="7D0E138E"/>
    <w:rsid w:val="7D306185"/>
    <w:rsid w:val="7D3301EF"/>
    <w:rsid w:val="7D402701"/>
    <w:rsid w:val="7D407FDC"/>
    <w:rsid w:val="7D4E4256"/>
    <w:rsid w:val="7D575335"/>
    <w:rsid w:val="7D58272B"/>
    <w:rsid w:val="7D65427D"/>
    <w:rsid w:val="7D704B5D"/>
    <w:rsid w:val="7D767753"/>
    <w:rsid w:val="7D7B4CE3"/>
    <w:rsid w:val="7D8052F4"/>
    <w:rsid w:val="7D882D6F"/>
    <w:rsid w:val="7D9876CB"/>
    <w:rsid w:val="7DA62108"/>
    <w:rsid w:val="7DA77870"/>
    <w:rsid w:val="7DA862C6"/>
    <w:rsid w:val="7DAD2009"/>
    <w:rsid w:val="7DB76331"/>
    <w:rsid w:val="7DB937A1"/>
    <w:rsid w:val="7DEE4F29"/>
    <w:rsid w:val="7DEF62A0"/>
    <w:rsid w:val="7DF02678"/>
    <w:rsid w:val="7E023AD6"/>
    <w:rsid w:val="7E0879FD"/>
    <w:rsid w:val="7E0F48BB"/>
    <w:rsid w:val="7E1033DC"/>
    <w:rsid w:val="7E2353BC"/>
    <w:rsid w:val="7E2424ED"/>
    <w:rsid w:val="7E4107B0"/>
    <w:rsid w:val="7E430F47"/>
    <w:rsid w:val="7E444E2C"/>
    <w:rsid w:val="7E517C52"/>
    <w:rsid w:val="7E5F2743"/>
    <w:rsid w:val="7E606711"/>
    <w:rsid w:val="7E6947CD"/>
    <w:rsid w:val="7E7178F7"/>
    <w:rsid w:val="7E836EA8"/>
    <w:rsid w:val="7E9A12EA"/>
    <w:rsid w:val="7E9F0584"/>
    <w:rsid w:val="7EB61631"/>
    <w:rsid w:val="7EC42501"/>
    <w:rsid w:val="7EC539A1"/>
    <w:rsid w:val="7ECA6995"/>
    <w:rsid w:val="7EDA6062"/>
    <w:rsid w:val="7EDC75D2"/>
    <w:rsid w:val="7EEA1CAF"/>
    <w:rsid w:val="7EF60904"/>
    <w:rsid w:val="7EFA2E85"/>
    <w:rsid w:val="7F1D027F"/>
    <w:rsid w:val="7F206C9C"/>
    <w:rsid w:val="7F2D6A17"/>
    <w:rsid w:val="7F451646"/>
    <w:rsid w:val="7F48617D"/>
    <w:rsid w:val="7F5670C5"/>
    <w:rsid w:val="7F674DB2"/>
    <w:rsid w:val="7F766E53"/>
    <w:rsid w:val="7F793D65"/>
    <w:rsid w:val="7F7C62BC"/>
    <w:rsid w:val="7F9611A3"/>
    <w:rsid w:val="7F9C55A2"/>
    <w:rsid w:val="7F9E7758"/>
    <w:rsid w:val="7FA22DEB"/>
    <w:rsid w:val="7FB66984"/>
    <w:rsid w:val="7FB75E1A"/>
    <w:rsid w:val="7FB81199"/>
    <w:rsid w:val="7FB92698"/>
    <w:rsid w:val="7FBA1360"/>
    <w:rsid w:val="7FC6640B"/>
    <w:rsid w:val="7FCC33D5"/>
    <w:rsid w:val="7FCC73DB"/>
    <w:rsid w:val="7FD94BDD"/>
    <w:rsid w:val="7FF40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0">
    <w:name w:val="Default Paragraph Font"/>
    <w:semiHidden/>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style>
  <w:style w:type="paragraph" w:styleId="4">
    <w:name w:val="Body Text"/>
    <w:basedOn w:val="1"/>
    <w:qFormat/>
    <w:uiPriority w:val="0"/>
    <w:pPr>
      <w:spacing w:after="120"/>
    </w:pPr>
    <w:rPr>
      <w:kern w:val="0"/>
      <w:sz w:val="20"/>
    </w:rPr>
  </w:style>
  <w:style w:type="paragraph" w:styleId="5">
    <w:name w:val="Plain Text"/>
    <w:basedOn w:val="1"/>
    <w:qFormat/>
    <w:uiPriority w:val="0"/>
    <w:rPr>
      <w:rFonts w:ascii="宋体" w:hAnsi="Courier New"/>
      <w:kern w:val="0"/>
      <w:sz w:val="20"/>
      <w:szCs w:val="21"/>
    </w:rPr>
  </w:style>
  <w:style w:type="paragraph" w:styleId="6">
    <w:name w:val="footer"/>
    <w:basedOn w:val="1"/>
    <w:qFormat/>
    <w:uiPriority w:val="0"/>
    <w:pPr>
      <w:tabs>
        <w:tab w:val="center" w:pos="4153"/>
        <w:tab w:val="right" w:pos="8306"/>
      </w:tabs>
      <w:snapToGrid w:val="0"/>
      <w:jc w:val="left"/>
    </w:pPr>
    <w:rPr>
      <w:kern w:val="0"/>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8">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1">
    <w:name w:val="Strong"/>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character" w:styleId="14">
    <w:name w:val="annotation reference"/>
    <w:basedOn w:val="10"/>
    <w:qFormat/>
    <w:uiPriority w:val="0"/>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List Paragraph"/>
    <w:basedOn w:val="1"/>
    <w:qFormat/>
    <w:uiPriority w:val="34"/>
    <w:pPr>
      <w:ind w:firstLine="420" w:firstLineChars="200"/>
    </w:pPr>
  </w:style>
  <w:style w:type="paragraph" w:customStyle="1" w:styleId="18">
    <w:name w:val="样式4"/>
    <w:basedOn w:val="1"/>
    <w:qFormat/>
    <w:uiPriority w:val="0"/>
    <w:pPr>
      <w:numPr>
        <w:ilvl w:val="3"/>
        <w:numId w:val="1"/>
      </w:numPr>
    </w:p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1">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2">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3">
    <w:name w:val="weby11"/>
    <w:qFormat/>
    <w:uiPriority w:val="0"/>
    <w:rPr>
      <w:rFonts w:hint="default" w:ascii="Times New Roman" w:hAnsi="Times New Roman"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36543</Words>
  <Characters>38008</Characters>
  <Lines>0</Lines>
  <Paragraphs>0</Paragraphs>
  <TotalTime>4</TotalTime>
  <ScaleCrop>false</ScaleCrop>
  <LinksUpToDate>false</LinksUpToDate>
  <CharactersWithSpaces>40821</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小高</cp:lastModifiedBy>
  <dcterms:modified xsi:type="dcterms:W3CDTF">2018-05-16T03:17:56Z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