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hAnsi="宋体" w:cs="华文中宋"/>
          <w:b/>
          <w:bCs/>
          <w:sz w:val="72"/>
          <w:szCs w:val="72"/>
        </w:rPr>
      </w:pPr>
      <w:r>
        <w:rPr>
          <w:rFonts w:hint="eastAsia" w:ascii="黑体" w:hAnsi="黑体" w:eastAsia="黑体"/>
          <w:sz w:val="24"/>
        </w:rPr>
        <w:drawing>
          <wp:anchor distT="0" distB="0" distL="114300" distR="114300" simplePos="0" relativeHeight="251654144" behindDoc="0" locked="0" layoutInCell="1" allowOverlap="1">
            <wp:simplePos x="0" y="0"/>
            <wp:positionH relativeFrom="column">
              <wp:posOffset>20320</wp:posOffset>
            </wp:positionH>
            <wp:positionV relativeFrom="paragraph">
              <wp:posOffset>-248920</wp:posOffset>
            </wp:positionV>
            <wp:extent cx="563880" cy="563880"/>
            <wp:effectExtent l="0" t="0" r="7620" b="7620"/>
            <wp:wrapNone/>
            <wp:docPr id="1" name="图片 3" descr="]AG)UZM~ZR38RTGTRZ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AG)UZM~ZR38RTGTRZ6@0(3"/>
                    <pic:cNvPicPr>
                      <a:picLocks noChangeAspect="1"/>
                    </pic:cNvPicPr>
                  </pic:nvPicPr>
                  <pic:blipFill>
                    <a:blip r:embed="rId8" cstate="print"/>
                    <a:stretch>
                      <a:fillRect/>
                    </a:stretch>
                  </pic:blipFill>
                  <pic:spPr>
                    <a:xfrm>
                      <a:off x="0" y="0"/>
                      <a:ext cx="563880" cy="563880"/>
                    </a:xfrm>
                    <a:prstGeom prst="rect">
                      <a:avLst/>
                    </a:prstGeom>
                    <a:noFill/>
                    <a:ln w="9525">
                      <a:noFill/>
                    </a:ln>
                  </pic:spPr>
                </pic:pic>
              </a:graphicData>
            </a:graphic>
          </wp:anchor>
        </w:drawing>
      </w: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p>
    <w:p>
      <w:pPr>
        <w:snapToGrid w:val="0"/>
        <w:jc w:val="center"/>
        <w:rPr>
          <w:rFonts w:ascii="宋体" w:hAnsi="宋体" w:cs="华文中宋"/>
          <w:b/>
          <w:bCs/>
          <w:sz w:val="72"/>
          <w:szCs w:val="72"/>
        </w:rPr>
      </w:pPr>
      <w:r>
        <w:rPr>
          <w:rFonts w:hint="eastAsia" w:ascii="宋体" w:hAnsi="宋体" w:cs="华文中宋"/>
          <w:b/>
          <w:bCs/>
          <w:sz w:val="72"/>
          <w:szCs w:val="72"/>
        </w:rPr>
        <w:t>货物类</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9"/>
        <w:spacing w:line="360" w:lineRule="auto"/>
        <w:ind w:firstLine="745" w:firstLineChars="232"/>
        <w:jc w:val="left"/>
        <w:rPr>
          <w:rFonts w:hint="eastAsia" w:ascii="宋体" w:hAnsi="宋体" w:eastAsia="宋体"/>
          <w:b/>
          <w:sz w:val="32"/>
          <w:lang w:eastAsia="zh-CN"/>
        </w:rPr>
      </w:pPr>
      <w:r>
        <w:rPr>
          <w:rFonts w:hint="eastAsia" w:ascii="宋体" w:hAnsi="宋体"/>
          <w:b/>
          <w:sz w:val="32"/>
        </w:rPr>
        <w:t>项目编号：</w:t>
      </w:r>
      <w:r>
        <w:rPr>
          <w:rFonts w:hint="eastAsia" w:ascii="宋体" w:hAnsi="宋体"/>
          <w:b/>
          <w:sz w:val="32"/>
          <w:lang w:eastAsia="zh-CN"/>
        </w:rPr>
        <w:t>GZBC20HG12013-3</w:t>
      </w:r>
    </w:p>
    <w:p>
      <w:pPr>
        <w:pStyle w:val="9"/>
        <w:spacing w:line="360" w:lineRule="auto"/>
        <w:ind w:firstLine="745" w:firstLineChars="232"/>
        <w:jc w:val="left"/>
        <w:rPr>
          <w:rFonts w:hint="eastAsia" w:ascii="宋体" w:hAnsi="宋体" w:eastAsia="宋体"/>
          <w:b/>
          <w:sz w:val="32"/>
          <w:lang w:eastAsia="zh-CN"/>
        </w:rPr>
      </w:pPr>
      <w:r>
        <w:rPr>
          <w:rFonts w:hint="eastAsia" w:ascii="宋体" w:hAnsi="宋体"/>
          <w:b/>
          <w:sz w:val="32"/>
        </w:rPr>
        <w:t>项目名称：</w:t>
      </w:r>
      <w:r>
        <w:rPr>
          <w:rFonts w:hint="eastAsia" w:ascii="宋体" w:hAnsi="宋体"/>
          <w:b/>
          <w:sz w:val="32"/>
          <w:lang w:eastAsia="zh-CN"/>
        </w:rPr>
        <w:t>服刑人员生活物资--副食品（2019-2021年度）补充采购项目（重招第二次）</w:t>
      </w:r>
    </w:p>
    <w:p>
      <w:pPr>
        <w:pStyle w:val="9"/>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ascii="宋体" w:hAnsi="宋体" w:cs="华文中宋"/>
          <w:sz w:val="30"/>
          <w:szCs w:val="30"/>
        </w:rPr>
      </w:pPr>
      <w:r>
        <w:rPr>
          <w:rFonts w:hint="eastAsia" w:ascii="宋体" w:hAnsi="宋体" w:cs="华文中宋"/>
          <w:sz w:val="30"/>
          <w:szCs w:val="30"/>
        </w:rPr>
        <w:t>广州宝诚招标代理咨询有限公司</w:t>
      </w:r>
    </w:p>
    <w:p>
      <w:pPr>
        <w:jc w:val="center"/>
        <w:rPr>
          <w:rFonts w:ascii="宋体" w:hAnsi="宋体" w:cs="华文中宋"/>
          <w:sz w:val="30"/>
          <w:szCs w:val="30"/>
        </w:rPr>
      </w:pPr>
      <w:r>
        <w:rPr>
          <w:rFonts w:hint="eastAsia" w:ascii="宋体" w:hAnsi="宋体" w:cs="华文中宋"/>
          <w:sz w:val="30"/>
          <w:szCs w:val="30"/>
        </w:rPr>
        <w:t>发布日期：2021</w:t>
      </w:r>
      <w:r>
        <w:rPr>
          <w:rFonts w:ascii="宋体" w:hAnsi="宋体" w:cs="华文中宋"/>
          <w:sz w:val="30"/>
          <w:szCs w:val="30"/>
        </w:rPr>
        <w:t>年</w:t>
      </w:r>
      <w:r>
        <w:rPr>
          <w:rFonts w:hint="eastAsia" w:ascii="宋体" w:hAnsi="宋体" w:cs="华文中宋"/>
          <w:sz w:val="30"/>
          <w:szCs w:val="30"/>
          <w:lang w:val="en-US" w:eastAsia="zh-CN"/>
        </w:rPr>
        <w:t>3</w:t>
      </w:r>
      <w:r>
        <w:rPr>
          <w:rFonts w:ascii="宋体" w:hAnsi="宋体" w:cs="华文中宋"/>
          <w:sz w:val="30"/>
          <w:szCs w:val="30"/>
        </w:rPr>
        <w:t>月</w:t>
      </w:r>
      <w:r>
        <w:rPr>
          <w:rFonts w:hint="eastAsia" w:ascii="宋体" w:hAnsi="宋体" w:cs="华文中宋"/>
          <w:sz w:val="30"/>
          <w:szCs w:val="30"/>
          <w:lang w:val="en-US" w:eastAsia="zh-CN"/>
        </w:rPr>
        <w:t>5</w:t>
      </w:r>
      <w:r>
        <w:rPr>
          <w:rFonts w:hint="eastAsia" w:ascii="宋体" w:hAnsi="宋体" w:cs="华文中宋"/>
          <w:sz w:val="30"/>
          <w:szCs w:val="30"/>
        </w:rPr>
        <w:t>日</w:t>
      </w:r>
    </w:p>
    <w:p>
      <w:pPr>
        <w:autoSpaceDE w:val="0"/>
        <w:autoSpaceDN w:val="0"/>
        <w:adjustRightInd w:val="0"/>
        <w:snapToGrid w:val="0"/>
        <w:spacing w:before="156" w:beforeLines="50" w:after="156" w:afterLines="50" w:line="360" w:lineRule="auto"/>
        <w:jc w:val="center"/>
        <w:rPr>
          <w:rFonts w:ascii="宋体" w:hAnsi="宋体"/>
          <w:b/>
          <w:sz w:val="44"/>
          <w:szCs w:val="44"/>
        </w:rPr>
      </w:pPr>
      <w:r>
        <w:rPr>
          <w:rFonts w:hint="eastAsia" w:ascii="宋体" w:hAnsi="宋体"/>
          <w:b/>
          <w:sz w:val="44"/>
          <w:szCs w:val="44"/>
        </w:rPr>
        <w:br w:type="page"/>
      </w:r>
    </w:p>
    <w:p>
      <w:pPr>
        <w:autoSpaceDE w:val="0"/>
        <w:autoSpaceDN w:val="0"/>
        <w:adjustRightInd w:val="0"/>
        <w:snapToGrid w:val="0"/>
        <w:spacing w:before="156" w:beforeLines="50" w:after="156"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szCs w:val="21"/>
        </w:rPr>
        <w:t>投标人如需对项目提出询问或质疑，应在规定时间内按招标文件附件中的询问函和质疑函的格式提交。</w:t>
      </w:r>
    </w:p>
    <w:p>
      <w:pPr>
        <w:tabs>
          <w:tab w:val="left" w:pos="709"/>
        </w:tabs>
        <w:adjustRightInd w:val="0"/>
        <w:snapToGrid w:val="0"/>
        <w:spacing w:line="360" w:lineRule="auto"/>
        <w:ind w:left="632" w:hanging="632" w:hangingChars="300"/>
        <w:rPr>
          <w:rFonts w:ascii="宋体"/>
          <w:b/>
          <w:szCs w:val="21"/>
        </w:rPr>
      </w:pPr>
      <w:r>
        <w:rPr>
          <w:rFonts w:hint="eastAsia" w:ascii="宋体" w:hAnsi="宋体"/>
          <w:b/>
          <w:szCs w:val="21"/>
        </w:rPr>
        <w:t>九、招标代理服务费发票类型开具须知：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br w:type="page"/>
      </w: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15"/>
        <w:tabs>
          <w:tab w:val="right" w:leader="dot" w:pos="9746"/>
          <w:tab w:val="clear" w:pos="9060"/>
        </w:tabs>
      </w:pPr>
      <w:r>
        <w:rPr>
          <w:b w:val="0"/>
          <w:sz w:val="32"/>
          <w:szCs w:val="32"/>
        </w:rPr>
        <w:fldChar w:fldCharType="begin"/>
      </w:r>
      <w:r>
        <w:rPr>
          <w:rStyle w:val="23"/>
          <w:b w:val="0"/>
          <w:color w:val="auto"/>
          <w:sz w:val="32"/>
          <w:szCs w:val="32"/>
        </w:rPr>
        <w:instrText xml:space="preserve"> TOC \o "1-1" \h \z \u </w:instrText>
      </w:r>
      <w:r>
        <w:rPr>
          <w:b w:val="0"/>
          <w:sz w:val="32"/>
          <w:szCs w:val="32"/>
        </w:rPr>
        <w:fldChar w:fldCharType="separate"/>
      </w:r>
      <w:r>
        <w:fldChar w:fldCharType="begin"/>
      </w:r>
      <w:r>
        <w:instrText xml:space="preserve"> HYPERLINK \l "_Toc4954" </w:instrText>
      </w:r>
      <w:r>
        <w:fldChar w:fldCharType="separate"/>
      </w:r>
      <w:r>
        <w:rPr>
          <w:rFonts w:hint="eastAsia"/>
          <w:bCs/>
        </w:rPr>
        <w:t>第一章  投标邀请函</w:t>
      </w:r>
      <w:r>
        <w:tab/>
      </w:r>
      <w:r>
        <w:fldChar w:fldCharType="begin"/>
      </w:r>
      <w:r>
        <w:instrText xml:space="preserve"> PAGEREF _Toc4954 </w:instrText>
      </w:r>
      <w:r>
        <w:fldChar w:fldCharType="separate"/>
      </w:r>
      <w:r>
        <w:t>4</w:t>
      </w:r>
      <w:r>
        <w:fldChar w:fldCharType="end"/>
      </w:r>
      <w:r>
        <w:fldChar w:fldCharType="end"/>
      </w:r>
    </w:p>
    <w:p>
      <w:pPr>
        <w:pStyle w:val="15"/>
        <w:tabs>
          <w:tab w:val="right" w:leader="dot" w:pos="9746"/>
          <w:tab w:val="clear" w:pos="9060"/>
        </w:tabs>
      </w:pPr>
      <w:r>
        <w:fldChar w:fldCharType="begin"/>
      </w:r>
      <w:r>
        <w:instrText xml:space="preserve"> HYPERLINK \l "_Toc3939" </w:instrText>
      </w:r>
      <w:r>
        <w:fldChar w:fldCharType="separate"/>
      </w:r>
      <w:r>
        <w:rPr>
          <w:bCs/>
        </w:rPr>
        <w:t>第</w:t>
      </w:r>
      <w:r>
        <w:rPr>
          <w:rFonts w:hint="eastAsia"/>
          <w:bCs/>
        </w:rPr>
        <w:t>二</w:t>
      </w:r>
      <w:r>
        <w:rPr>
          <w:bCs/>
        </w:rPr>
        <w:t>章  投标资料表</w:t>
      </w:r>
      <w:r>
        <w:tab/>
      </w:r>
      <w:r>
        <w:fldChar w:fldCharType="begin"/>
      </w:r>
      <w:r>
        <w:instrText xml:space="preserve"> PAGEREF _Toc3939 </w:instrText>
      </w:r>
      <w:r>
        <w:fldChar w:fldCharType="separate"/>
      </w:r>
      <w:r>
        <w:t>7</w:t>
      </w:r>
      <w:r>
        <w:fldChar w:fldCharType="end"/>
      </w:r>
      <w:r>
        <w:fldChar w:fldCharType="end"/>
      </w:r>
    </w:p>
    <w:p>
      <w:pPr>
        <w:pStyle w:val="15"/>
        <w:tabs>
          <w:tab w:val="right" w:leader="dot" w:pos="9746"/>
          <w:tab w:val="clear" w:pos="9060"/>
        </w:tabs>
      </w:pPr>
      <w:r>
        <w:fldChar w:fldCharType="begin"/>
      </w:r>
      <w:r>
        <w:instrText xml:space="preserve"> HYPERLINK \l "_Toc16193" </w:instrText>
      </w:r>
      <w:r>
        <w:fldChar w:fldCharType="separate"/>
      </w:r>
      <w:r>
        <w:rPr>
          <w:rFonts w:hint="eastAsia"/>
          <w:bCs/>
        </w:rPr>
        <w:t>第三章  评分体系与标准</w:t>
      </w:r>
      <w:r>
        <w:tab/>
      </w:r>
      <w:r>
        <w:fldChar w:fldCharType="begin"/>
      </w:r>
      <w:r>
        <w:instrText xml:space="preserve"> PAGEREF _Toc16193 </w:instrText>
      </w:r>
      <w:r>
        <w:fldChar w:fldCharType="separate"/>
      </w:r>
      <w:r>
        <w:t>9</w:t>
      </w:r>
      <w:r>
        <w:fldChar w:fldCharType="end"/>
      </w:r>
      <w:r>
        <w:fldChar w:fldCharType="end"/>
      </w:r>
    </w:p>
    <w:p>
      <w:pPr>
        <w:pStyle w:val="15"/>
        <w:tabs>
          <w:tab w:val="right" w:leader="dot" w:pos="9746"/>
          <w:tab w:val="clear" w:pos="9060"/>
        </w:tabs>
      </w:pPr>
      <w:r>
        <w:fldChar w:fldCharType="begin"/>
      </w:r>
      <w:r>
        <w:instrText xml:space="preserve"> HYPERLINK \l "_Toc16012" </w:instrText>
      </w:r>
      <w:r>
        <w:fldChar w:fldCharType="separate"/>
      </w:r>
      <w:r>
        <w:rPr>
          <w:rFonts w:hint="eastAsia"/>
          <w:bCs/>
        </w:rPr>
        <w:t>第四章  用户需求书</w:t>
      </w:r>
      <w:r>
        <w:tab/>
      </w:r>
      <w:r>
        <w:fldChar w:fldCharType="begin"/>
      </w:r>
      <w:r>
        <w:instrText xml:space="preserve"> PAGEREF _Toc16012 </w:instrText>
      </w:r>
      <w:r>
        <w:fldChar w:fldCharType="separate"/>
      </w:r>
      <w:r>
        <w:t>17</w:t>
      </w:r>
      <w:r>
        <w:fldChar w:fldCharType="end"/>
      </w:r>
      <w:r>
        <w:fldChar w:fldCharType="end"/>
      </w:r>
    </w:p>
    <w:p>
      <w:pPr>
        <w:pStyle w:val="15"/>
        <w:tabs>
          <w:tab w:val="right" w:leader="dot" w:pos="9746"/>
          <w:tab w:val="clear" w:pos="9060"/>
        </w:tabs>
      </w:pPr>
      <w:r>
        <w:fldChar w:fldCharType="begin"/>
      </w:r>
      <w:r>
        <w:instrText xml:space="preserve"> HYPERLINK \l "_Toc12788" </w:instrText>
      </w:r>
      <w:r>
        <w:fldChar w:fldCharType="separate"/>
      </w:r>
      <w:r>
        <w:rPr>
          <w:rFonts w:hint="eastAsia"/>
          <w:bCs/>
        </w:rPr>
        <w:t>第五章  合同通用条款</w:t>
      </w:r>
      <w:r>
        <w:tab/>
      </w:r>
      <w:r>
        <w:fldChar w:fldCharType="begin"/>
      </w:r>
      <w:r>
        <w:instrText xml:space="preserve"> PAGEREF _Toc12788 </w:instrText>
      </w:r>
      <w:r>
        <w:fldChar w:fldCharType="separate"/>
      </w:r>
      <w:r>
        <w:t>30</w:t>
      </w:r>
      <w:r>
        <w:fldChar w:fldCharType="end"/>
      </w:r>
      <w:r>
        <w:fldChar w:fldCharType="end"/>
      </w:r>
    </w:p>
    <w:p>
      <w:pPr>
        <w:pStyle w:val="15"/>
        <w:tabs>
          <w:tab w:val="right" w:leader="dot" w:pos="9746"/>
          <w:tab w:val="clear" w:pos="9060"/>
        </w:tabs>
      </w:pPr>
      <w:r>
        <w:fldChar w:fldCharType="begin"/>
      </w:r>
      <w:r>
        <w:instrText xml:space="preserve"> HYPERLINK \l "_Toc30288" </w:instrText>
      </w:r>
      <w:r>
        <w:fldChar w:fldCharType="separate"/>
      </w:r>
      <w:r>
        <w:rPr>
          <w:rFonts w:hint="eastAsia"/>
          <w:bCs/>
        </w:rPr>
        <w:t>第六章  投标文件格式</w:t>
      </w:r>
      <w:r>
        <w:tab/>
      </w:r>
      <w:r>
        <w:fldChar w:fldCharType="begin"/>
      </w:r>
      <w:r>
        <w:instrText xml:space="preserve"> PAGEREF _Toc30288 </w:instrText>
      </w:r>
      <w:r>
        <w:fldChar w:fldCharType="separate"/>
      </w:r>
      <w:r>
        <w:t>41</w:t>
      </w:r>
      <w:r>
        <w:fldChar w:fldCharType="end"/>
      </w:r>
      <w:r>
        <w:fldChar w:fldCharType="end"/>
      </w:r>
    </w:p>
    <w:p>
      <w:pPr>
        <w:pStyle w:val="15"/>
        <w:tabs>
          <w:tab w:val="right" w:leader="dot" w:pos="9746"/>
          <w:tab w:val="clear" w:pos="9060"/>
        </w:tabs>
      </w:pPr>
      <w:r>
        <w:fldChar w:fldCharType="begin"/>
      </w:r>
      <w:r>
        <w:instrText xml:space="preserve"> HYPERLINK \l "_Toc8183" </w:instrText>
      </w:r>
      <w:r>
        <w:fldChar w:fldCharType="separate"/>
      </w:r>
      <w:r>
        <w:rPr>
          <w:rFonts w:hint="eastAsia"/>
          <w:bCs/>
        </w:rPr>
        <w:t>第七章  投标人须知（通用条款）</w:t>
      </w:r>
      <w:r>
        <w:tab/>
      </w:r>
      <w:r>
        <w:fldChar w:fldCharType="begin"/>
      </w:r>
      <w:r>
        <w:instrText xml:space="preserve"> PAGEREF _Toc8183 </w:instrText>
      </w:r>
      <w:r>
        <w:fldChar w:fldCharType="separate"/>
      </w:r>
      <w:r>
        <w:t>57</w:t>
      </w:r>
      <w:r>
        <w:fldChar w:fldCharType="end"/>
      </w:r>
      <w:r>
        <w:fldChar w:fldCharType="end"/>
      </w:r>
    </w:p>
    <w:p>
      <w:pPr>
        <w:ind w:left="2940" w:leftChars="1400"/>
        <w:jc w:val="left"/>
        <w:rPr>
          <w:rFonts w:cs="Calibri"/>
          <w:sz w:val="32"/>
          <w:szCs w:val="32"/>
          <w:shd w:val="clear" w:color="FFFFFF" w:fill="D9D9D9"/>
        </w:rPr>
      </w:pPr>
      <w:r>
        <w:rPr>
          <w:rFonts w:cs="Calibri"/>
          <w:szCs w:val="32"/>
        </w:rPr>
        <w:fldChar w:fldCharType="end"/>
      </w:r>
    </w:p>
    <w:p>
      <w:pPr>
        <w:rPr>
          <w:rFonts w:cs="Calibri"/>
          <w:sz w:val="32"/>
          <w:szCs w:val="32"/>
        </w:rPr>
      </w:pPr>
      <w:r>
        <w:rPr>
          <w:rFonts w:cs="Calibri"/>
          <w:sz w:val="32"/>
          <w:szCs w:val="32"/>
        </w:rPr>
        <w:br w:type="page"/>
      </w:r>
    </w:p>
    <w:p>
      <w:pPr>
        <w:pStyle w:val="15"/>
        <w:rPr>
          <w:sz w:val="24"/>
        </w:rPr>
      </w:pPr>
      <w:bookmarkStart w:id="0" w:name="_Toc480529433"/>
      <w:bookmarkStart w:id="1" w:name="_Toc463018928"/>
      <w:r>
        <w:rPr>
          <w:rFonts w:hint="eastAsia"/>
        </w:rPr>
        <w:t>（专用条款）</w:t>
      </w:r>
      <w:bookmarkEnd w:id="0"/>
      <w:bookmarkEnd w:id="1"/>
    </w:p>
    <w:p>
      <w:pPr>
        <w:adjustRightInd w:val="0"/>
        <w:snapToGrid w:val="0"/>
        <w:spacing w:before="156" w:beforeLines="50" w:after="156" w:afterLines="50"/>
        <w:jc w:val="center"/>
        <w:outlineLvl w:val="0"/>
        <w:rPr>
          <w:rFonts w:ascii="宋体" w:hAnsi="宋体"/>
          <w:b/>
          <w:bCs/>
          <w:sz w:val="30"/>
          <w:szCs w:val="30"/>
        </w:rPr>
      </w:pPr>
      <w:bookmarkStart w:id="2" w:name="_Toc463018929"/>
      <w:bookmarkStart w:id="3" w:name="_Toc4954"/>
      <w:bookmarkStart w:id="4" w:name="_Toc480529434"/>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rPr>
        <w:t>广州宝诚招标代理咨询有限公司（</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szCs w:val="21"/>
          <w:lang w:eastAsia="zh-CN"/>
        </w:rPr>
        <w:t>广东省广州监狱</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服刑人员生活物资--副食品（2019-2021年度）补充采购项目（重招第二次）</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3"/>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GZBC20HG12013-3</w:t>
      </w:r>
    </w:p>
    <w:p>
      <w:pPr>
        <w:numPr>
          <w:ilvl w:val="0"/>
          <w:numId w:val="3"/>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服刑人员生活物资--副食品（2019-2021年度）补充采购项目（重招第二次）</w:t>
      </w:r>
    </w:p>
    <w:p>
      <w:pPr>
        <w:numPr>
          <w:ilvl w:val="0"/>
          <w:numId w:val="3"/>
        </w:numPr>
        <w:adjustRightInd w:val="0"/>
        <w:snapToGrid w:val="0"/>
        <w:spacing w:line="360" w:lineRule="auto"/>
        <w:rPr>
          <w:rFonts w:ascii="宋体" w:hAnsi="宋体"/>
          <w:bCs/>
          <w:szCs w:val="20"/>
        </w:rPr>
      </w:pPr>
      <w:r>
        <w:rPr>
          <w:rFonts w:hint="eastAsia" w:ascii="宋体" w:hAnsi="宋体" w:cs="宋体"/>
          <w:szCs w:val="21"/>
        </w:rPr>
        <w:t>采购项目预算金额：人民币</w:t>
      </w:r>
      <w:r>
        <w:rPr>
          <w:rFonts w:hint="eastAsia" w:ascii="宋体" w:hAnsi="宋体" w:cs="宋体"/>
          <w:szCs w:val="21"/>
          <w:lang w:eastAsia="zh-CN"/>
        </w:rPr>
        <w:t>96</w:t>
      </w:r>
      <w:r>
        <w:rPr>
          <w:rFonts w:hint="eastAsia" w:ascii="宋体" w:hAnsi="宋体" w:cs="宋体"/>
          <w:szCs w:val="21"/>
        </w:rPr>
        <w:t>万元</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采购数量：1项</w:t>
      </w:r>
    </w:p>
    <w:p>
      <w:pPr>
        <w:numPr>
          <w:ilvl w:val="0"/>
          <w:numId w:val="3"/>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4"/>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000000"/>
        <w:tblLayout w:type="autofit"/>
        <w:tblCellMar>
          <w:top w:w="0" w:type="dxa"/>
          <w:left w:w="108" w:type="dxa"/>
          <w:bottom w:w="0" w:type="dxa"/>
          <w:right w:w="108" w:type="dxa"/>
        </w:tblCellMar>
      </w:tblPr>
      <w:tblGrid>
        <w:gridCol w:w="2720"/>
        <w:gridCol w:w="2438"/>
        <w:gridCol w:w="2713"/>
        <w:gridCol w:w="2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000000"/>
          <w:tblCellMar>
            <w:top w:w="0" w:type="dxa"/>
            <w:left w:w="108" w:type="dxa"/>
            <w:bottom w:w="0" w:type="dxa"/>
            <w:right w:w="108" w:type="dxa"/>
          </w:tblCellMar>
        </w:tblPrEx>
        <w:trPr>
          <w:cantSplit/>
          <w:trHeight w:val="607" w:hRule="atLeast"/>
          <w:jc w:val="center"/>
        </w:trPr>
        <w:tc>
          <w:tcPr>
            <w:tcW w:w="1366" w:type="pct"/>
            <w:shd w:val="clear" w:color="auto" w:fill="auto"/>
            <w:vAlign w:val="center"/>
          </w:tcPr>
          <w:p>
            <w:pPr>
              <w:widowControl/>
              <w:snapToGrid w:val="0"/>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项目名称</w:t>
            </w:r>
          </w:p>
        </w:tc>
        <w:tc>
          <w:tcPr>
            <w:tcW w:w="1224" w:type="pct"/>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采购类型</w:t>
            </w:r>
          </w:p>
        </w:tc>
        <w:tc>
          <w:tcPr>
            <w:tcW w:w="1362" w:type="pct"/>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服务期限</w:t>
            </w:r>
          </w:p>
        </w:tc>
        <w:tc>
          <w:tcPr>
            <w:tcW w:w="1046" w:type="pct"/>
            <w:shd w:val="clear" w:color="auto" w:fill="auto"/>
            <w:vAlign w:val="center"/>
          </w:tcPr>
          <w:p>
            <w:pPr>
              <w:widowControl/>
              <w:jc w:val="center"/>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000000"/>
          <w:tblCellMar>
            <w:top w:w="0" w:type="dxa"/>
            <w:left w:w="108" w:type="dxa"/>
            <w:bottom w:w="0" w:type="dxa"/>
            <w:right w:w="108" w:type="dxa"/>
          </w:tblCellMar>
        </w:tblPrEx>
        <w:trPr>
          <w:cantSplit/>
          <w:trHeight w:val="868" w:hRule="atLeast"/>
          <w:jc w:val="center"/>
        </w:trPr>
        <w:tc>
          <w:tcPr>
            <w:tcW w:w="1366" w:type="pct"/>
            <w:shd w:val="clear" w:color="auto" w:fill="auto"/>
            <w:vAlign w:val="center"/>
          </w:tcPr>
          <w:p>
            <w:pPr>
              <w:widowControl/>
              <w:jc w:val="center"/>
              <w:rPr>
                <w:rFonts w:hint="eastAsia" w:asciiTheme="minorEastAsia" w:hAnsiTheme="minorEastAsia" w:eastAsiaTheme="minorEastAsia" w:cstheme="minorEastAsia"/>
                <w:bCs/>
                <w:kern w:val="0"/>
                <w:szCs w:val="21"/>
                <w:lang w:eastAsia="zh-CN"/>
              </w:rPr>
            </w:pPr>
            <w:r>
              <w:rPr>
                <w:rFonts w:hint="eastAsia" w:asciiTheme="minorEastAsia" w:hAnsiTheme="minorEastAsia" w:eastAsiaTheme="minorEastAsia" w:cstheme="minorEastAsia"/>
                <w:bCs/>
                <w:kern w:val="0"/>
                <w:szCs w:val="21"/>
                <w:lang w:eastAsia="zh-CN"/>
              </w:rPr>
              <w:t>服刑人员生活物资--副食品（2019-2021年度）补充采购项目（重招第二次）</w:t>
            </w:r>
          </w:p>
        </w:tc>
        <w:tc>
          <w:tcPr>
            <w:tcW w:w="1224" w:type="pct"/>
            <w:shd w:val="clear" w:color="auto" w:fill="auto"/>
            <w:vAlign w:val="center"/>
          </w:tcPr>
          <w:p>
            <w:pPr>
              <w:keepNext/>
              <w:adjustRightInd w:val="0"/>
              <w:ind w:firstLine="12"/>
              <w:jc w:val="center"/>
              <w:textAlignment w:val="center"/>
              <w:rPr>
                <w:rFonts w:asciiTheme="minorEastAsia" w:hAnsiTheme="minorEastAsia" w:eastAsiaTheme="minorEastAsia" w:cstheme="minorEastAsia"/>
                <w:kern w:val="28"/>
                <w:szCs w:val="21"/>
              </w:rPr>
            </w:pPr>
            <w:r>
              <w:rPr>
                <w:rFonts w:hint="eastAsia" w:asciiTheme="minorEastAsia" w:hAnsiTheme="minorEastAsia" w:eastAsiaTheme="minorEastAsia" w:cstheme="minorEastAsia"/>
                <w:kern w:val="28"/>
                <w:szCs w:val="21"/>
              </w:rPr>
              <w:t>货物</w:t>
            </w:r>
          </w:p>
        </w:tc>
        <w:tc>
          <w:tcPr>
            <w:tcW w:w="1362" w:type="pct"/>
            <w:shd w:val="clear" w:color="auto" w:fill="auto"/>
            <w:vAlign w:val="center"/>
          </w:tcPr>
          <w:p>
            <w:pPr>
              <w:keepNext/>
              <w:adjustRightInd w:val="0"/>
              <w:ind w:firstLine="12"/>
              <w:jc w:val="center"/>
              <w:textAlignment w:val="center"/>
              <w:rPr>
                <w:rFonts w:hint="default" w:asciiTheme="minorEastAsia" w:hAnsiTheme="minorEastAsia" w:eastAsiaTheme="minorEastAsia" w:cstheme="minorEastAsia"/>
                <w:kern w:val="28"/>
                <w:szCs w:val="21"/>
                <w:lang w:val="en-US" w:eastAsia="zh-CN"/>
              </w:rPr>
            </w:pPr>
            <w:r>
              <w:rPr>
                <w:rFonts w:hint="eastAsia" w:asciiTheme="minorEastAsia" w:hAnsiTheme="minorEastAsia" w:eastAsiaTheme="minorEastAsia" w:cstheme="minorEastAsia"/>
                <w:kern w:val="28"/>
                <w:szCs w:val="21"/>
                <w:lang w:val="en-US" w:eastAsia="zh-CN"/>
              </w:rPr>
              <w:t>6个月</w:t>
            </w:r>
          </w:p>
        </w:tc>
        <w:tc>
          <w:tcPr>
            <w:tcW w:w="1046" w:type="pct"/>
            <w:shd w:val="clear" w:color="auto" w:fill="auto"/>
            <w:vAlign w:val="center"/>
          </w:tcPr>
          <w:p>
            <w:pPr>
              <w:keepNext/>
              <w:adjustRightInd w:val="0"/>
              <w:ind w:firstLine="120"/>
              <w:jc w:val="center"/>
              <w:textAlignment w:val="center"/>
              <w:rPr>
                <w:rFonts w:asciiTheme="minorEastAsia" w:hAnsiTheme="minorEastAsia" w:eastAsiaTheme="minorEastAsia" w:cstheme="minorEastAsia"/>
                <w:szCs w:val="21"/>
              </w:rPr>
            </w:pPr>
            <w:r>
              <w:rPr>
                <w:rFonts w:hint="eastAsia" w:ascii="宋体" w:hAnsi="宋体" w:cs="宋体"/>
                <w:szCs w:val="21"/>
              </w:rPr>
              <w:t>人民币</w:t>
            </w:r>
            <w:r>
              <w:rPr>
                <w:rFonts w:hint="eastAsia" w:ascii="宋体" w:hAnsi="宋体" w:cs="宋体"/>
                <w:szCs w:val="21"/>
                <w:lang w:eastAsia="zh-CN"/>
              </w:rPr>
              <w:t>96</w:t>
            </w:r>
            <w:r>
              <w:rPr>
                <w:rFonts w:hint="eastAsia" w:ascii="宋体" w:hAnsi="宋体" w:cs="宋体"/>
                <w:szCs w:val="21"/>
              </w:rPr>
              <w:t>万元</w:t>
            </w:r>
          </w:p>
        </w:tc>
      </w:tr>
    </w:tbl>
    <w:p>
      <w:pPr>
        <w:adjustRightInd w:val="0"/>
        <w:snapToGrid w:val="0"/>
        <w:spacing w:line="360" w:lineRule="auto"/>
        <w:rPr>
          <w:rFonts w:ascii="宋体" w:hAnsi="宋体"/>
          <w:bCs/>
          <w:szCs w:val="20"/>
        </w:rPr>
      </w:pPr>
    </w:p>
    <w:p>
      <w:pPr>
        <w:numPr>
          <w:ilvl w:val="0"/>
          <w:numId w:val="4"/>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等。</w:t>
      </w:r>
    </w:p>
    <w:p>
      <w:pPr>
        <w:numPr>
          <w:ilvl w:val="0"/>
          <w:numId w:val="4"/>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3"/>
        </w:numPr>
        <w:tabs>
          <w:tab w:val="center" w:pos="4156"/>
        </w:tabs>
        <w:adjustRightInd w:val="0"/>
        <w:snapToGrid w:val="0"/>
        <w:spacing w:line="360" w:lineRule="auto"/>
        <w:rPr>
          <w:rFonts w:ascii="宋体" w:hAnsi="宋体"/>
          <w:bCs/>
          <w:szCs w:val="20"/>
        </w:rPr>
      </w:pPr>
      <w:r>
        <w:rPr>
          <w:rFonts w:hint="eastAsia" w:ascii="宋体" w:hAnsi="宋体"/>
          <w:bCs/>
          <w:szCs w:val="20"/>
        </w:rPr>
        <w:t>供应商资格：</w:t>
      </w:r>
      <w:r>
        <w:rPr>
          <w:rFonts w:hint="eastAsia" w:ascii="宋体" w:hAnsi="宋体"/>
          <w:bCs/>
          <w:szCs w:val="20"/>
        </w:rPr>
        <w:tab/>
      </w:r>
    </w:p>
    <w:p>
      <w:pPr>
        <w:numPr>
          <w:ilvl w:val="0"/>
          <w:numId w:val="5"/>
        </w:numPr>
        <w:adjustRightInd w:val="0"/>
        <w:snapToGrid w:val="0"/>
        <w:spacing w:line="360" w:lineRule="auto"/>
        <w:rPr>
          <w:rFonts w:ascii="宋体" w:hAnsi="宋体"/>
          <w:bCs/>
          <w:szCs w:val="20"/>
        </w:rPr>
      </w:pPr>
      <w:r>
        <w:rPr>
          <w:rFonts w:hint="eastAsia" w:ascii="宋体" w:hAnsi="宋体"/>
          <w:bCs/>
          <w:szCs w:val="20"/>
        </w:rPr>
        <w:t>供应商应具备《中华人民共和国政府采购法》第二十二条规定的条件：</w:t>
      </w:r>
    </w:p>
    <w:p>
      <w:pPr>
        <w:numPr>
          <w:ilvl w:val="0"/>
          <w:numId w:val="6"/>
        </w:numPr>
        <w:tabs>
          <w:tab w:val="left" w:pos="567"/>
        </w:tabs>
        <w:adjustRightInd w:val="0"/>
        <w:snapToGrid w:val="0"/>
        <w:spacing w:line="360" w:lineRule="auto"/>
        <w:ind w:left="567" w:hanging="425"/>
        <w:rPr>
          <w:rFonts w:ascii="宋体" w:hAnsi="宋体"/>
          <w:bCs/>
          <w:szCs w:val="21"/>
        </w:rPr>
      </w:pPr>
      <w:r>
        <w:rPr>
          <w:rFonts w:ascii="宋体" w:hAnsi="宋体" w:cs="宋体"/>
          <w:szCs w:val="21"/>
        </w:rPr>
        <w:t>供应商具有独立承担民事责任能力的在中华人民共和国境内注册的法人或其他组织（提供企业法人或者其他组织营业执照（或事业法人登记证或身份证等相关证明）副本复印件，分支机构投标，须取得具有法人资格的总公司出具给分支机构的授权书，并提供总公司和分支机构的营业执照复印件。已由总公司授权的，总公司取得的相关资质证书对分支机构有效，法律法规或者行业另有规定的除外</w:t>
      </w:r>
      <w:r>
        <w:rPr>
          <w:rFonts w:hint="eastAsia" w:ascii="宋体" w:hAnsi="宋体"/>
          <w:bCs/>
          <w:szCs w:val="21"/>
        </w:rPr>
        <w:t>；</w:t>
      </w:r>
    </w:p>
    <w:p>
      <w:pPr>
        <w:numPr>
          <w:ilvl w:val="0"/>
          <w:numId w:val="6"/>
        </w:numPr>
        <w:tabs>
          <w:tab w:val="left" w:pos="567"/>
        </w:tabs>
        <w:adjustRightInd w:val="0"/>
        <w:snapToGrid w:val="0"/>
        <w:spacing w:line="360" w:lineRule="auto"/>
        <w:ind w:left="567" w:hanging="425"/>
        <w:rPr>
          <w:rFonts w:ascii="宋体" w:hAnsi="宋体"/>
          <w:bCs/>
          <w:szCs w:val="20"/>
        </w:rPr>
      </w:pPr>
      <w:r>
        <w:rPr>
          <w:rFonts w:ascii="宋体" w:hAnsi="宋体" w:cs="宋体"/>
          <w:szCs w:val="21"/>
        </w:rPr>
        <w:t>供应商必须具有良好的商业信誉和健全的财务会计制度（提供 2019 年的财务状况报告或者 2020 年基本户开户银行出具的资信证明）</w:t>
      </w:r>
      <w:r>
        <w:rPr>
          <w:rFonts w:hint="eastAsia" w:ascii="宋体" w:hAnsi="宋体"/>
          <w:bCs/>
          <w:szCs w:val="21"/>
        </w:rPr>
        <w:t>；</w:t>
      </w:r>
    </w:p>
    <w:p>
      <w:pPr>
        <w:numPr>
          <w:ilvl w:val="0"/>
          <w:numId w:val="6"/>
        </w:numPr>
        <w:tabs>
          <w:tab w:val="left" w:pos="567"/>
        </w:tabs>
        <w:adjustRightInd w:val="0"/>
        <w:snapToGrid w:val="0"/>
        <w:spacing w:line="360" w:lineRule="auto"/>
        <w:ind w:left="567" w:hanging="425"/>
        <w:rPr>
          <w:rFonts w:ascii="宋体" w:hAnsi="宋体"/>
          <w:bCs/>
          <w:szCs w:val="20"/>
        </w:rPr>
      </w:pPr>
      <w:r>
        <w:rPr>
          <w:rFonts w:ascii="宋体" w:hAnsi="宋体" w:cs="宋体"/>
          <w:szCs w:val="21"/>
        </w:rPr>
        <w:t>供应商有依法缴纳税收和社会保障资金的良好记录（提供磋商截止之日前 6 个月任意 1 个月依法缴纳税收和社会保障资金相关证明材料；如依法免税和依法不需要缴纳社会保障资金，则须提供相应文件证明其依法免税和不需要缴纳社会保障资金）</w:t>
      </w:r>
      <w:r>
        <w:rPr>
          <w:rFonts w:hint="eastAsia" w:ascii="宋体" w:hAnsi="宋体"/>
          <w:bCs/>
          <w:szCs w:val="20"/>
        </w:rPr>
        <w:t>；</w:t>
      </w:r>
    </w:p>
    <w:p>
      <w:pPr>
        <w:numPr>
          <w:ilvl w:val="0"/>
          <w:numId w:val="5"/>
        </w:numPr>
        <w:adjustRightInd w:val="0"/>
        <w:snapToGrid w:val="0"/>
        <w:spacing w:line="360" w:lineRule="auto"/>
        <w:rPr>
          <w:rFonts w:ascii="宋体" w:hAnsi="宋体" w:cs="宋体"/>
          <w:bCs/>
          <w:kern w:val="0"/>
          <w:szCs w:val="21"/>
        </w:rPr>
      </w:pPr>
      <w:r>
        <w:rPr>
          <w:rFonts w:hint="eastAsia" w:ascii="宋体" w:hAnsi="宋体"/>
          <w:bCs/>
          <w:szCs w:val="20"/>
        </w:rPr>
        <w:t>供应商</w:t>
      </w:r>
      <w:r>
        <w:rPr>
          <w:rFonts w:ascii="宋体" w:hAnsi="宋体" w:cs="宋体"/>
          <w:szCs w:val="21"/>
        </w:rPr>
        <w:t>已登记并领</w:t>
      </w:r>
      <w:r>
        <w:rPr>
          <w:rFonts w:hint="eastAsia" w:ascii="宋体" w:hAnsi="宋体" w:cs="宋体"/>
          <w:szCs w:val="21"/>
        </w:rPr>
        <w:t>取</w:t>
      </w:r>
      <w:r>
        <w:rPr>
          <w:rFonts w:ascii="宋体" w:hAnsi="宋体" w:cs="宋体"/>
          <w:szCs w:val="21"/>
        </w:rPr>
        <w:t>本项目磋商文件</w:t>
      </w:r>
      <w:r>
        <w:rPr>
          <w:rFonts w:hint="eastAsia" w:ascii="宋体" w:hAnsi="宋体" w:cs="宋体"/>
          <w:bCs/>
          <w:kern w:val="0"/>
          <w:szCs w:val="21"/>
        </w:rPr>
        <w:t>。</w:t>
      </w:r>
    </w:p>
    <w:p>
      <w:pPr>
        <w:numPr>
          <w:ilvl w:val="0"/>
          <w:numId w:val="5"/>
        </w:numPr>
        <w:adjustRightInd w:val="0"/>
        <w:snapToGrid w:val="0"/>
        <w:spacing w:line="360" w:lineRule="auto"/>
        <w:rPr>
          <w:rFonts w:hint="default" w:eastAsiaTheme="minorEastAsia"/>
          <w:lang w:val="en-US" w:eastAsia="zh-CN"/>
        </w:rPr>
      </w:pPr>
      <w:r>
        <w:rPr>
          <w:rFonts w:hint="eastAsia" w:asciiTheme="minorEastAsia" w:hAnsiTheme="minorEastAsia" w:eastAsiaTheme="minorEastAsia" w:cstheme="minorEastAsia"/>
          <w:kern w:val="28"/>
          <w:szCs w:val="21"/>
        </w:rPr>
        <w:t>本项目不接受联合体投标。</w:t>
      </w:r>
    </w:p>
    <w:p>
      <w:pPr>
        <w:numPr>
          <w:ilvl w:val="0"/>
          <w:numId w:val="5"/>
        </w:numPr>
        <w:adjustRightInd w:val="0"/>
        <w:snapToGrid w:val="0"/>
        <w:spacing w:line="360" w:lineRule="auto"/>
        <w:rPr>
          <w:rFonts w:hint="default" w:eastAsiaTheme="minorEastAsia"/>
          <w:lang w:val="en-US" w:eastAsia="zh-CN"/>
        </w:rPr>
      </w:pPr>
      <w:r>
        <w:rPr>
          <w:rFonts w:hint="eastAsia" w:asciiTheme="minorEastAsia" w:hAnsiTheme="minorEastAsia" w:eastAsiaTheme="minorEastAsia" w:cstheme="minorEastAsia"/>
          <w:kern w:val="28"/>
          <w:szCs w:val="21"/>
          <w:lang w:val="en-US" w:eastAsia="zh-CN"/>
        </w:rPr>
        <w:t>具有有效的《食品经营许可证》</w:t>
      </w:r>
    </w:p>
    <w:p>
      <w:pPr>
        <w:numPr>
          <w:ilvl w:val="0"/>
          <w:numId w:val="3"/>
        </w:numPr>
        <w:adjustRightInd w:val="0"/>
        <w:snapToGrid w:val="0"/>
        <w:spacing w:line="360" w:lineRule="auto"/>
        <w:rPr>
          <w:rFonts w:ascii="宋体" w:hAnsi="宋体" w:cs="宋体"/>
          <w:b/>
          <w:szCs w:val="21"/>
        </w:rPr>
      </w:pPr>
      <w:r>
        <w:rPr>
          <w:rFonts w:hint="eastAsia" w:ascii="宋体" w:hAnsi="宋体" w:cs="宋体"/>
          <w:b/>
          <w:kern w:val="0"/>
          <w:szCs w:val="21"/>
        </w:rPr>
        <w:t xml:space="preserve"> </w:t>
      </w:r>
      <w:r>
        <w:rPr>
          <w:rFonts w:hint="eastAsia" w:ascii="宋体" w:hAnsi="宋体"/>
          <w:b/>
          <w:szCs w:val="21"/>
        </w:rPr>
        <w:t>获取招标文件方式：</w:t>
      </w:r>
    </w:p>
    <w:p>
      <w:pPr>
        <w:numPr>
          <w:ilvl w:val="0"/>
          <w:numId w:val="7"/>
        </w:numPr>
        <w:tabs>
          <w:tab w:val="left" w:pos="426"/>
        </w:tabs>
        <w:adjustRightInd w:val="0"/>
        <w:snapToGrid w:val="0"/>
        <w:spacing w:line="360" w:lineRule="auto"/>
        <w:rPr>
          <w:rFonts w:ascii="宋体" w:hAnsi="宋体"/>
          <w:bCs/>
          <w:kern w:val="0"/>
          <w:szCs w:val="21"/>
        </w:rPr>
      </w:pPr>
      <w:r>
        <w:rPr>
          <w:rFonts w:hint="eastAsia" w:ascii="宋体" w:hAnsi="宋体"/>
          <w:bCs/>
          <w:kern w:val="0"/>
          <w:szCs w:val="21"/>
        </w:rPr>
        <w:t>购买招标文件经办人，需提供：</w:t>
      </w:r>
    </w:p>
    <w:p>
      <w:pPr>
        <w:pStyle w:val="9"/>
        <w:ind w:left="420" w:leftChars="200"/>
        <w:rPr>
          <w:rFonts w:ascii="宋体" w:hAnsi="宋体"/>
          <w:bCs/>
          <w:sz w:val="21"/>
          <w:szCs w:val="21"/>
        </w:rPr>
      </w:pPr>
      <w:r>
        <w:rPr>
          <w:rFonts w:hint="eastAsia" w:ascii="宋体" w:hAnsi="宋体"/>
          <w:bCs/>
          <w:sz w:val="21"/>
          <w:szCs w:val="21"/>
        </w:rPr>
        <w:t>A）有效的营业执照（或事业单位法人证书,或社会团体法人登记证书,或执业许可证）复印件；如投标人为自然人的需提供自然人身份证明；</w:t>
      </w:r>
    </w:p>
    <w:p>
      <w:pPr>
        <w:pStyle w:val="17"/>
        <w:widowControl w:val="0"/>
        <w:adjustRightInd w:val="0"/>
        <w:snapToGrid w:val="0"/>
        <w:spacing w:before="0" w:beforeAutospacing="0" w:after="0" w:afterAutospacing="0" w:line="360" w:lineRule="auto"/>
        <w:ind w:firstLine="420" w:firstLineChars="200"/>
        <w:jc w:val="both"/>
        <w:rPr>
          <w:bCs/>
          <w:sz w:val="21"/>
          <w:szCs w:val="21"/>
        </w:rPr>
      </w:pPr>
      <w:r>
        <w:rPr>
          <w:rFonts w:hint="eastAsia"/>
          <w:bCs/>
          <w:sz w:val="21"/>
          <w:szCs w:val="21"/>
        </w:rPr>
        <w:t>B)经办人如是法定代表人，需提供法定代表人证明书及法定代表人身份证复印件；</w:t>
      </w:r>
    </w:p>
    <w:p>
      <w:pPr>
        <w:pStyle w:val="17"/>
        <w:widowControl w:val="0"/>
        <w:adjustRightInd w:val="0"/>
        <w:snapToGrid w:val="0"/>
        <w:spacing w:before="0" w:beforeAutospacing="0" w:after="0" w:afterAutospacing="0" w:line="360" w:lineRule="auto"/>
        <w:ind w:firstLine="630" w:firstLineChars="300"/>
        <w:jc w:val="both"/>
        <w:rPr>
          <w:bCs/>
          <w:sz w:val="21"/>
          <w:szCs w:val="21"/>
        </w:rPr>
      </w:pPr>
      <w:r>
        <w:rPr>
          <w:rFonts w:hint="eastAsia"/>
          <w:bCs/>
          <w:sz w:val="21"/>
          <w:szCs w:val="21"/>
        </w:rPr>
        <w:t>经办人如是投标人授权代表，需提供法定代表人授权委托书及授权代表身份证复印件；</w:t>
      </w:r>
    </w:p>
    <w:p>
      <w:pPr>
        <w:pStyle w:val="17"/>
        <w:widowControl w:val="0"/>
        <w:adjustRightInd w:val="0"/>
        <w:snapToGrid w:val="0"/>
        <w:spacing w:before="0" w:beforeAutospacing="0" w:after="0" w:afterAutospacing="0" w:line="360" w:lineRule="auto"/>
        <w:ind w:left="420" w:leftChars="200"/>
        <w:jc w:val="both"/>
        <w:rPr>
          <w:b/>
          <w:sz w:val="21"/>
          <w:szCs w:val="21"/>
        </w:rPr>
      </w:pPr>
      <w:r>
        <w:rPr>
          <w:rFonts w:hint="eastAsia"/>
          <w:bCs/>
          <w:sz w:val="21"/>
          <w:szCs w:val="21"/>
        </w:rPr>
        <w:t xml:space="preserve">C)供应商应登入采购代理机构网站（ </w:t>
      </w:r>
      <w:r>
        <w:fldChar w:fldCharType="begin"/>
      </w:r>
      <w:r>
        <w:instrText xml:space="preserve"> HYPERLINK "http://www.baochengdaili.com/），点击网站左下方" </w:instrText>
      </w:r>
      <w:r>
        <w:fldChar w:fldCharType="separate"/>
      </w:r>
      <w:r>
        <w:rPr>
          <w:rFonts w:hint="eastAsia"/>
          <w:bCs/>
          <w:sz w:val="21"/>
          <w:szCs w:val="21"/>
        </w:rPr>
        <w:t>http://www.baochengdaili.com/），点击网站左下方“文件下载”的更多，选择最后一页中的“《购买文件登记表》”下载。</w:t>
      </w:r>
      <w:r>
        <w:rPr>
          <w:rFonts w:hint="eastAsia"/>
          <w:bCs/>
          <w:sz w:val="21"/>
          <w:szCs w:val="21"/>
        </w:rPr>
        <w:fldChar w:fldCharType="end"/>
      </w:r>
    </w:p>
    <w:p>
      <w:pPr>
        <w:numPr>
          <w:ilvl w:val="0"/>
          <w:numId w:val="7"/>
        </w:numPr>
        <w:tabs>
          <w:tab w:val="left" w:pos="426"/>
        </w:tabs>
        <w:adjustRightInd w:val="0"/>
        <w:snapToGrid w:val="0"/>
        <w:spacing w:line="360" w:lineRule="auto"/>
        <w:rPr>
          <w:rFonts w:ascii="宋体" w:hAnsi="宋体"/>
          <w:b/>
          <w:szCs w:val="21"/>
        </w:rPr>
      </w:pPr>
      <w:r>
        <w:rPr>
          <w:rFonts w:hint="eastAsia" w:ascii="宋体" w:hAnsi="宋体"/>
          <w:bCs/>
          <w:szCs w:val="21"/>
        </w:rPr>
        <w:t>采购代理机构在招标文件发售期间</w:t>
      </w:r>
      <w:r>
        <w:rPr>
          <w:rFonts w:ascii="宋体" w:hAnsi="宋体"/>
          <w:bCs/>
          <w:szCs w:val="21"/>
        </w:rPr>
        <w:t>通过“</w:t>
      </w:r>
      <w:r>
        <w:rPr>
          <w:rFonts w:ascii="宋体" w:hAnsi="宋体"/>
          <w:b/>
          <w:szCs w:val="21"/>
          <w:u w:val="single"/>
        </w:rPr>
        <w:t>信用中国</w:t>
      </w:r>
      <w:r>
        <w:rPr>
          <w:rFonts w:ascii="宋体" w:hAnsi="宋体"/>
          <w:bCs/>
          <w:szCs w:val="21"/>
        </w:rPr>
        <w:t>”（www.creditchina.gov.cn）</w:t>
      </w:r>
      <w:r>
        <w:rPr>
          <w:rFonts w:hint="eastAsia" w:ascii="宋体" w:hAnsi="宋体"/>
          <w:bCs/>
          <w:szCs w:val="21"/>
        </w:rPr>
        <w:t>和</w:t>
      </w:r>
      <w:r>
        <w:rPr>
          <w:rFonts w:hint="eastAsia" w:ascii="宋体" w:hAnsi="宋体"/>
          <w:b/>
          <w:szCs w:val="21"/>
          <w:u w:val="single"/>
        </w:rPr>
        <w:t>“</w:t>
      </w:r>
      <w:r>
        <w:rPr>
          <w:rFonts w:ascii="宋体" w:hAnsi="宋体"/>
          <w:b/>
          <w:szCs w:val="21"/>
          <w:u w:val="single"/>
        </w:rPr>
        <w:t>中国政府采购网</w:t>
      </w:r>
      <w:r>
        <w:rPr>
          <w:rFonts w:hint="eastAsia" w:ascii="宋体" w:hAnsi="宋体"/>
          <w:b/>
          <w:szCs w:val="21"/>
          <w:u w:val="single"/>
        </w:rPr>
        <w:t>”</w:t>
      </w:r>
      <w:r>
        <w:rPr>
          <w:rFonts w:ascii="宋体" w:hAnsi="宋体"/>
          <w:bCs/>
          <w:szCs w:val="21"/>
        </w:rPr>
        <w:t>（www.ccgp.gov.cn）查询</w:t>
      </w:r>
      <w:r>
        <w:rPr>
          <w:rFonts w:hint="eastAsia" w:ascii="宋体" w:hAnsi="宋体"/>
          <w:bCs/>
          <w:szCs w:val="21"/>
        </w:rPr>
        <w:t>供应商信用记录。采购代理机构</w:t>
      </w:r>
      <w:r>
        <w:rPr>
          <w:rFonts w:ascii="宋体" w:hAnsi="宋体"/>
          <w:bCs/>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szCs w:val="21"/>
        </w:rPr>
        <w:t>（处罚期限届满的除外）</w:t>
      </w:r>
      <w:r>
        <w:rPr>
          <w:rFonts w:ascii="宋体" w:hAnsi="宋体"/>
          <w:bCs/>
          <w:szCs w:val="21"/>
        </w:rPr>
        <w:t>。</w:t>
      </w:r>
    </w:p>
    <w:p>
      <w:pPr>
        <w:pStyle w:val="30"/>
        <w:tabs>
          <w:tab w:val="left" w:pos="426"/>
        </w:tabs>
        <w:adjustRightInd w:val="0"/>
        <w:snapToGrid w:val="0"/>
        <w:spacing w:line="360" w:lineRule="auto"/>
        <w:ind w:left="420" w:firstLine="0" w:firstLineChars="0"/>
      </w:pPr>
      <w:r>
        <w:rPr>
          <w:rFonts w:hint="eastAsia" w:ascii="宋体" w:hAnsi="宋体"/>
          <w:b/>
          <w:szCs w:val="21"/>
        </w:rPr>
        <w:t>注1：已办理报名并成功购买招标文件的供应商参加投标的，不代表通过资格、符合性评审。</w:t>
      </w:r>
    </w:p>
    <w:p>
      <w:pPr>
        <w:numPr>
          <w:ilvl w:val="0"/>
          <w:numId w:val="3"/>
        </w:numPr>
        <w:adjustRightInd w:val="0"/>
        <w:snapToGrid w:val="0"/>
        <w:spacing w:line="360" w:lineRule="auto"/>
        <w:rPr>
          <w:rFonts w:hAnsi="宋体"/>
          <w:szCs w:val="18"/>
        </w:rPr>
      </w:pPr>
      <w:r>
        <w:rPr>
          <w:rFonts w:hint="eastAsia" w:ascii="宋体" w:hAnsi="宋体"/>
          <w:szCs w:val="21"/>
        </w:rPr>
        <w:t>符合资格的供应商应当在</w:t>
      </w:r>
      <w:r>
        <w:rPr>
          <w:rFonts w:hint="eastAsia" w:ascii="宋体" w:hAnsi="宋体"/>
          <w:color w:val="FF0000"/>
          <w:szCs w:val="21"/>
        </w:rPr>
        <w:t>2021年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8</w:t>
      </w:r>
      <w:r>
        <w:rPr>
          <w:rFonts w:hint="eastAsia" w:ascii="宋体" w:hAnsi="宋体"/>
          <w:bCs/>
          <w:color w:val="FF0000"/>
          <w:szCs w:val="21"/>
        </w:rPr>
        <w:t>日</w:t>
      </w:r>
      <w:r>
        <w:rPr>
          <w:rFonts w:hint="eastAsia" w:ascii="宋体" w:hAnsi="宋体"/>
          <w:color w:val="FF0000"/>
          <w:szCs w:val="21"/>
        </w:rPr>
        <w:t>至2021年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color w:val="FF0000"/>
          <w:szCs w:val="21"/>
          <w:lang w:val="en-US" w:eastAsia="zh-CN"/>
        </w:rPr>
        <w:t>12</w:t>
      </w:r>
      <w:r>
        <w:rPr>
          <w:rFonts w:hint="eastAsia" w:ascii="宋体" w:hAnsi="宋体"/>
          <w:bCs/>
          <w:color w:val="FF0000"/>
          <w:szCs w:val="21"/>
        </w:rPr>
        <w:t>日</w:t>
      </w:r>
      <w:r>
        <w:rPr>
          <w:rFonts w:hint="eastAsia" w:ascii="宋体" w:hAnsi="宋体"/>
          <w:szCs w:val="21"/>
        </w:rPr>
        <w:t>期间（办公时间内：工作日9：00-17：30，法定节假日除外，不少于5个工作日）到广州宝诚招标代理咨询有限公司（详细地址：</w:t>
      </w:r>
      <w:r>
        <w:rPr>
          <w:rFonts w:hint="eastAsia" w:ascii="宋体" w:hAnsi="宋体"/>
          <w:szCs w:val="21"/>
          <w:lang w:eastAsia="zh-CN"/>
        </w:rPr>
        <w:t>广州市番禺区南村镇捷顺路9号二栋1806房（敏捷上城国际1期2栋1806）</w:t>
      </w:r>
      <w:r>
        <w:rPr>
          <w:rFonts w:hint="eastAsia" w:ascii="宋体" w:hAnsi="宋体"/>
          <w:szCs w:val="21"/>
        </w:rPr>
        <w:t>。购买招标文件，招标文件每套售价人民币300.00元，售后不退。</w:t>
      </w:r>
      <w:r>
        <w:rPr>
          <w:rFonts w:hint="eastAsia" w:hAnsi="宋体"/>
          <w:szCs w:val="18"/>
        </w:rPr>
        <w:t>如采用汇款方式购买招标文件请汇至以下账户：</w:t>
      </w:r>
    </w:p>
    <w:p>
      <w:pPr>
        <w:pStyle w:val="11"/>
        <w:spacing w:line="360" w:lineRule="auto"/>
        <w:ind w:firstLine="420" w:firstLineChars="200"/>
        <w:rPr>
          <w:rFonts w:ascii="Times New Roman" w:hAnsi="宋体"/>
          <w:kern w:val="2"/>
          <w:sz w:val="21"/>
          <w:szCs w:val="18"/>
        </w:rPr>
      </w:pPr>
      <w:r>
        <w:rPr>
          <w:rFonts w:hint="eastAsia" w:ascii="Times New Roman" w:hAnsi="宋体"/>
          <w:kern w:val="2"/>
          <w:sz w:val="21"/>
          <w:szCs w:val="18"/>
        </w:rPr>
        <w:t>收款人名称：广州宝诚招标代理咨询有限公司</w:t>
      </w:r>
    </w:p>
    <w:p>
      <w:pPr>
        <w:pStyle w:val="11"/>
        <w:spacing w:line="360" w:lineRule="auto"/>
        <w:ind w:firstLine="420" w:firstLineChars="200"/>
        <w:rPr>
          <w:rFonts w:ascii="Times New Roman" w:hAnsi="宋体"/>
          <w:kern w:val="2"/>
          <w:sz w:val="21"/>
          <w:szCs w:val="18"/>
        </w:rPr>
      </w:pPr>
      <w:r>
        <w:rPr>
          <w:rFonts w:hint="eastAsia" w:ascii="Times New Roman" w:hAnsi="宋体"/>
          <w:kern w:val="2"/>
          <w:sz w:val="21"/>
          <w:szCs w:val="18"/>
        </w:rPr>
        <w:t>开户银行：中国民生银行股份有限公司广州华南支行（人民币）</w:t>
      </w:r>
    </w:p>
    <w:p>
      <w:pPr>
        <w:pStyle w:val="11"/>
        <w:spacing w:line="360" w:lineRule="auto"/>
        <w:ind w:firstLine="420" w:firstLineChars="200"/>
      </w:pPr>
      <w:r>
        <w:rPr>
          <w:rFonts w:hint="eastAsia" w:ascii="Times New Roman" w:hAnsi="宋体"/>
          <w:kern w:val="2"/>
          <w:sz w:val="21"/>
          <w:szCs w:val="18"/>
        </w:rPr>
        <w:t>账    号：696614971</w:t>
      </w:r>
    </w:p>
    <w:p>
      <w:pPr>
        <w:numPr>
          <w:ilvl w:val="0"/>
          <w:numId w:val="3"/>
        </w:numPr>
        <w:adjustRightInd w:val="0"/>
        <w:snapToGrid w:val="0"/>
        <w:spacing w:line="360" w:lineRule="auto"/>
        <w:rPr>
          <w:rFonts w:ascii="宋体" w:hAnsi="宋体" w:cs="宋体"/>
          <w:bCs/>
          <w:kern w:val="0"/>
          <w:szCs w:val="21"/>
        </w:rPr>
      </w:pPr>
      <w:r>
        <w:rPr>
          <w:rFonts w:hint="eastAsia" w:ascii="宋体" w:hAnsi="宋体"/>
          <w:bCs/>
          <w:szCs w:val="20"/>
        </w:rPr>
        <w:t>投标截止时间：</w:t>
      </w:r>
      <w:r>
        <w:rPr>
          <w:rFonts w:hint="eastAsia" w:ascii="宋体" w:hAnsi="宋体"/>
          <w:bCs/>
          <w:color w:val="FF0000"/>
          <w:szCs w:val="20"/>
        </w:rPr>
        <w:t>2021年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日10时00分</w:t>
      </w:r>
      <w:r>
        <w:rPr>
          <w:rFonts w:hint="eastAsia" w:ascii="宋体" w:hAnsi="宋体"/>
          <w:bCs/>
          <w:szCs w:val="20"/>
        </w:rPr>
        <w:t>。</w:t>
      </w:r>
    </w:p>
    <w:p>
      <w:pPr>
        <w:numPr>
          <w:ilvl w:val="0"/>
          <w:numId w:val="3"/>
        </w:numPr>
        <w:adjustRightInd w:val="0"/>
        <w:snapToGrid w:val="0"/>
        <w:spacing w:line="360" w:lineRule="auto"/>
        <w:rPr>
          <w:rFonts w:ascii="宋体" w:hAnsi="宋体" w:cs="宋体"/>
          <w:bCs/>
          <w:kern w:val="0"/>
          <w:szCs w:val="21"/>
        </w:rPr>
      </w:pPr>
      <w:r>
        <w:rPr>
          <w:rFonts w:hint="eastAsia" w:ascii="宋体" w:hAnsi="宋体"/>
          <w:bCs/>
          <w:szCs w:val="20"/>
        </w:rPr>
        <w:t>提交投标文件地点：</w:t>
      </w:r>
      <w:r>
        <w:rPr>
          <w:rFonts w:hint="eastAsia" w:ascii="宋体" w:hAnsi="宋体" w:cs="宋体"/>
          <w:bCs/>
          <w:kern w:val="0"/>
          <w:szCs w:val="21"/>
          <w:lang w:eastAsia="zh-CN"/>
        </w:rPr>
        <w:t>广州市番禺区南村镇捷顺路9号二栋1806房（敏捷上城国际1期2栋1806）</w:t>
      </w:r>
      <w:r>
        <w:rPr>
          <w:rFonts w:hint="eastAsia" w:ascii="宋体" w:hAnsi="宋体" w:cs="宋体"/>
          <w:bCs/>
          <w:kern w:val="0"/>
          <w:szCs w:val="21"/>
        </w:rPr>
        <w:t>。广州宝诚招标代理咨询有限公司会议室。</w:t>
      </w:r>
    </w:p>
    <w:p>
      <w:pPr>
        <w:numPr>
          <w:ilvl w:val="0"/>
          <w:numId w:val="3"/>
        </w:numPr>
        <w:tabs>
          <w:tab w:val="left" w:pos="567"/>
          <w:tab w:val="clear" w:pos="425"/>
        </w:tabs>
        <w:adjustRightInd w:val="0"/>
        <w:snapToGrid w:val="0"/>
        <w:spacing w:line="360" w:lineRule="auto"/>
        <w:ind w:left="728" w:hanging="728"/>
        <w:rPr>
          <w:rFonts w:ascii="宋体" w:hAnsi="宋体"/>
          <w:bCs/>
          <w:szCs w:val="20"/>
        </w:rPr>
      </w:pPr>
      <w:r>
        <w:rPr>
          <w:rFonts w:hint="eastAsia" w:ascii="宋体" w:hAnsi="宋体"/>
          <w:bCs/>
          <w:szCs w:val="20"/>
        </w:rPr>
        <w:t>开标时间：</w:t>
      </w:r>
      <w:r>
        <w:rPr>
          <w:rFonts w:hint="eastAsia" w:ascii="宋体" w:hAnsi="宋体"/>
          <w:bCs/>
          <w:color w:val="FF0000"/>
          <w:szCs w:val="20"/>
        </w:rPr>
        <w:t>2021年</w:t>
      </w:r>
      <w:r>
        <w:rPr>
          <w:rFonts w:hint="eastAsia" w:ascii="宋体" w:hAnsi="宋体"/>
          <w:bCs/>
          <w:color w:val="FF0000"/>
          <w:szCs w:val="20"/>
          <w:lang w:val="en-US" w:eastAsia="zh-CN"/>
        </w:rPr>
        <w:t>3</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日10时00分</w:t>
      </w:r>
      <w:r>
        <w:rPr>
          <w:rFonts w:hint="eastAsia" w:ascii="宋体" w:hAnsi="宋体"/>
          <w:bCs/>
          <w:szCs w:val="20"/>
        </w:rPr>
        <w:t>。</w:t>
      </w:r>
    </w:p>
    <w:p>
      <w:pPr>
        <w:numPr>
          <w:ilvl w:val="0"/>
          <w:numId w:val="3"/>
        </w:numPr>
        <w:tabs>
          <w:tab w:val="left" w:pos="567"/>
          <w:tab w:val="clear" w:pos="425"/>
        </w:tabs>
        <w:adjustRightInd w:val="0"/>
        <w:snapToGrid w:val="0"/>
        <w:spacing w:line="360" w:lineRule="auto"/>
        <w:ind w:left="728" w:hanging="728"/>
        <w:rPr>
          <w:rFonts w:ascii="宋体" w:hAnsi="宋体"/>
          <w:bCs/>
          <w:szCs w:val="20"/>
        </w:rPr>
      </w:pPr>
      <w:r>
        <w:rPr>
          <w:rFonts w:hint="eastAsia" w:ascii="宋体" w:hAnsi="宋体"/>
          <w:bCs/>
          <w:szCs w:val="20"/>
        </w:rPr>
        <w:t>开标地点：</w:t>
      </w:r>
      <w:r>
        <w:rPr>
          <w:rFonts w:hint="eastAsia" w:ascii="宋体" w:hAnsi="宋体"/>
          <w:szCs w:val="21"/>
          <w:lang w:eastAsia="zh-CN"/>
        </w:rPr>
        <w:t>广州市番禺区南村镇捷顺路9号二栋1806房（敏捷上城国际1期2栋1806）</w:t>
      </w:r>
      <w:r>
        <w:rPr>
          <w:rFonts w:hint="eastAsia" w:ascii="宋体" w:hAnsi="宋体"/>
          <w:szCs w:val="21"/>
        </w:rPr>
        <w:t>。</w:t>
      </w:r>
      <w:r>
        <w:rPr>
          <w:rFonts w:hint="eastAsia" w:ascii="宋体" w:hAnsi="宋体" w:cs="宋体"/>
          <w:bCs/>
          <w:kern w:val="0"/>
          <w:szCs w:val="21"/>
        </w:rPr>
        <w:t>广州宝诚招标代理咨询有限公司会议室。</w:t>
      </w:r>
      <w:r>
        <w:rPr>
          <w:rFonts w:hint="eastAsia" w:ascii="宋体" w:hAnsi="宋体"/>
          <w:bCs/>
          <w:szCs w:val="20"/>
        </w:rPr>
        <w:t xml:space="preserve"> </w:t>
      </w:r>
    </w:p>
    <w:p>
      <w:pPr>
        <w:numPr>
          <w:ilvl w:val="0"/>
          <w:numId w:val="3"/>
        </w:numPr>
        <w:tabs>
          <w:tab w:val="left" w:pos="567"/>
          <w:tab w:val="clear" w:pos="425"/>
        </w:tabs>
        <w:adjustRightInd w:val="0"/>
        <w:snapToGrid w:val="0"/>
        <w:spacing w:line="360" w:lineRule="auto"/>
        <w:ind w:left="728" w:hanging="728"/>
        <w:rPr>
          <w:rFonts w:ascii="宋体" w:hAnsi="宋体"/>
          <w:b/>
          <w:bCs/>
          <w:szCs w:val="20"/>
        </w:rPr>
      </w:pPr>
      <w:r>
        <w:rPr>
          <w:rFonts w:hint="eastAsia" w:ascii="宋体" w:hAnsi="宋体"/>
          <w:bCs/>
          <w:szCs w:val="20"/>
        </w:rPr>
        <w:t>本公告期限（5个工作日）自</w:t>
      </w:r>
      <w:r>
        <w:rPr>
          <w:rFonts w:hint="eastAsia" w:ascii="宋体" w:hAnsi="宋体"/>
          <w:color w:val="FF0000"/>
          <w:szCs w:val="21"/>
        </w:rPr>
        <w:t>2021年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8</w:t>
      </w:r>
      <w:r>
        <w:rPr>
          <w:rFonts w:hint="eastAsia" w:ascii="宋体" w:hAnsi="宋体"/>
          <w:bCs/>
          <w:color w:val="FF0000"/>
          <w:szCs w:val="21"/>
        </w:rPr>
        <w:t>日</w:t>
      </w:r>
      <w:r>
        <w:rPr>
          <w:rFonts w:hint="eastAsia" w:ascii="宋体" w:hAnsi="宋体"/>
          <w:color w:val="FF0000"/>
          <w:szCs w:val="21"/>
        </w:rPr>
        <w:t>至2021年</w:t>
      </w:r>
      <w:r>
        <w:rPr>
          <w:rFonts w:hint="eastAsia" w:ascii="宋体" w:hAnsi="宋体"/>
          <w:color w:val="FF0000"/>
          <w:szCs w:val="21"/>
          <w:lang w:val="en-US" w:eastAsia="zh-CN"/>
        </w:rPr>
        <w:t>3</w:t>
      </w:r>
      <w:r>
        <w:rPr>
          <w:rFonts w:hint="eastAsia" w:ascii="宋体" w:hAnsi="宋体"/>
          <w:bCs/>
          <w:color w:val="FF0000"/>
          <w:szCs w:val="21"/>
        </w:rPr>
        <w:t>月</w:t>
      </w:r>
      <w:r>
        <w:rPr>
          <w:rFonts w:hint="eastAsia" w:ascii="宋体" w:hAnsi="宋体"/>
          <w:bCs/>
          <w:color w:val="FF0000"/>
          <w:szCs w:val="21"/>
          <w:lang w:val="en-US" w:eastAsia="zh-CN"/>
        </w:rPr>
        <w:t>12</w:t>
      </w:r>
      <w:r>
        <w:rPr>
          <w:rFonts w:hint="eastAsia" w:ascii="宋体" w:hAnsi="宋体"/>
          <w:bCs/>
          <w:color w:val="FF0000"/>
          <w:szCs w:val="21"/>
        </w:rPr>
        <w:t>日</w:t>
      </w:r>
      <w:r>
        <w:rPr>
          <w:rFonts w:hint="eastAsia" w:ascii="宋体" w:hAnsi="宋体"/>
          <w:bCs/>
          <w:szCs w:val="20"/>
        </w:rPr>
        <w:t>止。</w:t>
      </w:r>
    </w:p>
    <w:p>
      <w:pPr>
        <w:numPr>
          <w:ilvl w:val="0"/>
          <w:numId w:val="3"/>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adjustRightInd w:val="0"/>
        <w:snapToGrid w:val="0"/>
        <w:spacing w:line="360" w:lineRule="auto"/>
        <w:ind w:firstLine="420" w:firstLineChars="200"/>
        <w:rPr>
          <w:rFonts w:ascii="宋体" w:hAnsi="宋体"/>
          <w:bCs/>
          <w:szCs w:val="21"/>
        </w:rPr>
      </w:pPr>
      <w:r>
        <w:rPr>
          <w:rFonts w:hint="eastAsia" w:ascii="宋体" w:hAnsi="宋体"/>
          <w:szCs w:val="21"/>
        </w:rPr>
        <w:t>采购代理机构网站（</w:t>
      </w:r>
      <w:r>
        <w:rPr>
          <w:rFonts w:hint="eastAsia" w:ascii="宋体" w:hAnsi="宋体"/>
          <w:bCs/>
          <w:szCs w:val="21"/>
        </w:rPr>
        <w:t xml:space="preserve"> http://www.baochengdaili.com/）。</w:t>
      </w:r>
    </w:p>
    <w:p>
      <w:pPr>
        <w:numPr>
          <w:ilvl w:val="0"/>
          <w:numId w:val="3"/>
        </w:numPr>
        <w:tabs>
          <w:tab w:val="left" w:pos="728"/>
        </w:tabs>
        <w:adjustRightInd w:val="0"/>
        <w:snapToGrid w:val="0"/>
        <w:spacing w:line="360" w:lineRule="auto"/>
        <w:rPr>
          <w:rFonts w:ascii="宋体" w:hAnsi="宋体" w:cs="宋体"/>
          <w:b/>
          <w:bCs/>
          <w:szCs w:val="21"/>
        </w:rPr>
      </w:pPr>
      <w:r>
        <w:rPr>
          <w:rFonts w:ascii="宋体" w:hAnsi="宋体"/>
          <w:b/>
          <w:szCs w:val="21"/>
        </w:rPr>
        <w:t>联系</w:t>
      </w:r>
      <w:r>
        <w:rPr>
          <w:rFonts w:hint="eastAsia" w:ascii="宋体" w:hAnsi="宋体"/>
          <w:b/>
          <w:szCs w:val="21"/>
        </w:rPr>
        <w:t>事项：</w:t>
      </w:r>
    </w:p>
    <w:tbl>
      <w:tblPr>
        <w:tblStyle w:val="18"/>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(一)采购代理机构：广州宝诚招标代理咨询有限公司</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广州市番禺区南村镇捷顺路9号二栋1806房（敏捷上城国际1期2栋1806）</w:t>
            </w:r>
            <w:r>
              <w:rPr>
                <w:rFonts w:hint="eastAsia" w:ascii="宋体" w:hAnsi="宋体"/>
                <w:szCs w:val="21"/>
              </w:rPr>
              <w:t>。</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联系人：高先生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联系电话：020-37887429</w:t>
            </w:r>
          </w:p>
        </w:tc>
      </w:tr>
      <w:tr>
        <w:tblPrEx>
          <w:shd w:val="clear" w:color="auto" w:fill="F8FCFF"/>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传真：020-37887429</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邮编：510650</w:t>
            </w:r>
          </w:p>
        </w:tc>
      </w:tr>
    </w:tbl>
    <w:p>
      <w:pPr>
        <w:rPr>
          <w:rFonts w:ascii="宋体" w:hAnsi="宋体" w:cs="宋体"/>
          <w:bCs/>
          <w:kern w:val="0"/>
          <w:szCs w:val="21"/>
        </w:rPr>
      </w:pPr>
    </w:p>
    <w:tbl>
      <w:tblPr>
        <w:tblStyle w:val="18"/>
        <w:tblW w:w="9836" w:type="dxa"/>
        <w:tblCellSpacing w:w="15" w:type="dxa"/>
        <w:tblInd w:w="0" w:type="dxa"/>
        <w:shd w:val="clear" w:color="auto" w:fill="F8FCFF"/>
        <w:tblLayout w:type="fixed"/>
        <w:tblCellMar>
          <w:top w:w="15" w:type="dxa"/>
          <w:left w:w="15" w:type="dxa"/>
          <w:bottom w:w="15" w:type="dxa"/>
          <w:right w:w="15" w:type="dxa"/>
        </w:tblCellMar>
      </w:tblPr>
      <w:tblGrid>
        <w:gridCol w:w="5141"/>
        <w:gridCol w:w="4695"/>
      </w:tblGrid>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keepNext w:val="0"/>
              <w:keepLines w:val="0"/>
              <w:widowControl/>
              <w:suppressLineNumbers w:val="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(二)采购人： 广东省广州监狱</w:t>
            </w:r>
          </w:p>
        </w:tc>
        <w:tc>
          <w:tcPr>
            <w:tcW w:w="4650" w:type="dxa"/>
            <w:shd w:val="clear" w:color="auto" w:fill="F8FCFF"/>
            <w:vAlign w:val="center"/>
          </w:tcPr>
          <w:p>
            <w:pPr>
              <w:keepNext w:val="0"/>
              <w:keepLines w:val="0"/>
              <w:widowControl/>
              <w:suppressLineNumbers w:val="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地址：广州市西村南京路14号</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hint="default"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联系人： 张先生</w:t>
            </w:r>
          </w:p>
        </w:tc>
        <w:tc>
          <w:tcPr>
            <w:tcW w:w="4650" w:type="dxa"/>
            <w:shd w:val="clear" w:color="auto" w:fill="F8FCFF"/>
            <w:vAlign w:val="center"/>
          </w:tcPr>
          <w:p>
            <w:pPr>
              <w:keepNext w:val="0"/>
              <w:keepLines w:val="0"/>
              <w:widowControl/>
              <w:suppressLineNumbers w:val="0"/>
              <w:jc w:val="left"/>
              <w:rPr>
                <w:rFonts w:hint="eastAsia" w:ascii="宋体" w:hAnsi="宋体" w:eastAsia="宋体" w:cs="Times New Roman"/>
                <w:kern w:val="2"/>
                <w:sz w:val="21"/>
                <w:szCs w:val="21"/>
                <w:lang w:val="en-US" w:eastAsia="zh-CN" w:bidi="ar-SA"/>
              </w:rPr>
            </w:pPr>
            <w:r>
              <w:rPr>
                <w:rFonts w:hint="eastAsia" w:ascii="宋体" w:hAnsi="宋体" w:eastAsia="宋体" w:cs="Times New Roman"/>
                <w:kern w:val="2"/>
                <w:sz w:val="21"/>
                <w:szCs w:val="21"/>
                <w:lang w:val="en-US" w:eastAsia="zh-CN" w:bidi="ar-SA"/>
              </w:rPr>
              <w:t xml:space="preserve">联系电话：020-26283615 </w:t>
            </w:r>
          </w:p>
        </w:tc>
      </w:tr>
      <w:tr>
        <w:tblPrEx>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 /</w:t>
            </w:r>
          </w:p>
        </w:tc>
      </w:tr>
    </w:tbl>
    <w:p>
      <w:pPr>
        <w:tabs>
          <w:tab w:val="right" w:pos="9180"/>
        </w:tabs>
        <w:adjustRightInd w:val="0"/>
        <w:snapToGrid w:val="0"/>
        <w:spacing w:line="360" w:lineRule="auto"/>
        <w:ind w:firstLine="435"/>
        <w:jc w:val="right"/>
        <w:rPr>
          <w:rFonts w:ascii="宋体" w:hAnsi="宋体"/>
          <w:b/>
        </w:rPr>
      </w:pPr>
    </w:p>
    <w:p>
      <w:pPr>
        <w:rPr>
          <w:rFonts w:ascii="宋体" w:hAnsi="宋体"/>
          <w:color w:val="FF0000"/>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156" w:beforeLines="50" w:after="156" w:afterLines="50"/>
        <w:jc w:val="center"/>
        <w:outlineLvl w:val="0"/>
        <w:rPr>
          <w:rFonts w:ascii="宋体" w:hAnsi="宋体"/>
          <w:b/>
          <w:bCs/>
          <w:sz w:val="28"/>
          <w:szCs w:val="28"/>
        </w:rPr>
      </w:pPr>
      <w:bookmarkStart w:id="5" w:name="_Toc3939"/>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bookmarkEnd w:id="5"/>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广东省广州监狱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名称：广州宝诚招标代理咨询有限公司</w:t>
            </w:r>
          </w:p>
          <w:p>
            <w:pPr>
              <w:adjustRightInd w:val="0"/>
              <w:snapToGrid w:val="0"/>
              <w:spacing w:line="320" w:lineRule="exact"/>
              <w:rPr>
                <w:rFonts w:hint="eastAsia" w:ascii="宋体" w:hAnsi="宋体" w:eastAsia="宋体"/>
                <w:szCs w:val="21"/>
                <w:lang w:eastAsia="zh-CN"/>
              </w:rPr>
            </w:pPr>
            <w:r>
              <w:rPr>
                <w:rFonts w:ascii="宋体" w:hAnsi="宋体"/>
                <w:szCs w:val="21"/>
              </w:rPr>
              <w:t>地址：</w:t>
            </w:r>
            <w:r>
              <w:rPr>
                <w:rFonts w:hint="eastAsia" w:ascii="宋体" w:hAnsi="宋体"/>
                <w:szCs w:val="21"/>
                <w:lang w:eastAsia="zh-CN"/>
              </w:rPr>
              <w:t>广州市番禺区南村镇捷顺路9号二栋1806房（敏捷上城国际1期2栋1806）</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rPr>
              <w:t>020-37887429</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rPr>
              <w:t>020-37887429</w:t>
            </w:r>
          </w:p>
          <w:p>
            <w:pPr>
              <w:adjustRightInd w:val="0"/>
              <w:snapToGrid w:val="0"/>
              <w:spacing w:line="320" w:lineRule="exact"/>
              <w:rPr>
                <w:rFonts w:ascii="宋体" w:hAnsi="宋体"/>
                <w:szCs w:val="21"/>
              </w:rPr>
            </w:pPr>
            <w:r>
              <w:rPr>
                <w:rFonts w:hint="eastAsia" w:ascii="宋体" w:hAnsi="宋体"/>
                <w:szCs w:val="21"/>
              </w:rPr>
              <w:t>电子邮箱：GZBCZB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color w:val="FF0000"/>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8"/>
              <w:tblW w:w="6366" w:type="dxa"/>
              <w:tblInd w:w="0" w:type="dxa"/>
              <w:tblLayout w:type="fixed"/>
              <w:tblCellMar>
                <w:top w:w="0" w:type="dxa"/>
                <w:left w:w="108" w:type="dxa"/>
                <w:bottom w:w="0" w:type="dxa"/>
                <w:right w:w="108" w:type="dxa"/>
              </w:tblCellMar>
            </w:tblPr>
            <w:tblGrid>
              <w:gridCol w:w="1283"/>
              <w:gridCol w:w="1537"/>
              <w:gridCol w:w="2480"/>
              <w:gridCol w:w="1066"/>
            </w:tblGrid>
            <w:tr>
              <w:tblPrEx>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联系人</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北京市海淀区西三环北路100号金玉大厦九楼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010-88822892/</w:t>
                  </w:r>
                </w:p>
                <w:p>
                  <w:pPr>
                    <w:pStyle w:val="10"/>
                    <w:jc w:val="center"/>
                    <w:rPr>
                      <w:rFonts w:hAnsi="宋体"/>
                      <w:color w:val="auto"/>
                      <w:sz w:val="21"/>
                      <w:szCs w:val="21"/>
                    </w:rPr>
                  </w:pPr>
                  <w:r>
                    <w:rPr>
                      <w:rFonts w:hint="eastAsia" w:hAnsi="宋体"/>
                      <w:color w:val="auto"/>
                      <w:sz w:val="21"/>
                      <w:szCs w:val="21"/>
                    </w:rPr>
                    <w:t>15011155178 010-88822659/</w:t>
                  </w:r>
                </w:p>
                <w:p>
                  <w:pPr>
                    <w:pStyle w:val="10"/>
                    <w:jc w:val="center"/>
                    <w:rPr>
                      <w:rFonts w:hAnsi="宋体"/>
                      <w:color w:val="auto"/>
                      <w:sz w:val="21"/>
                      <w:szCs w:val="21"/>
                    </w:rPr>
                  </w:pPr>
                  <w:r>
                    <w:rPr>
                      <w:rFonts w:hint="eastAsia"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安国山</w:t>
                  </w:r>
                </w:p>
                <w:p>
                  <w:pPr>
                    <w:pStyle w:val="10"/>
                    <w:jc w:val="center"/>
                    <w:rPr>
                      <w:rFonts w:hAnsi="宋体"/>
                      <w:color w:val="auto"/>
                      <w:sz w:val="21"/>
                      <w:szCs w:val="21"/>
                    </w:rPr>
                  </w:pPr>
                  <w:r>
                    <w:rPr>
                      <w:rFonts w:hint="eastAsia" w:hAnsi="宋体"/>
                      <w:color w:val="auto"/>
                      <w:sz w:val="21"/>
                      <w:szCs w:val="21"/>
                    </w:rPr>
                    <w:t>何 嘉</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广州市东风中路481号粤财大厦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020-83063201</w:t>
                  </w:r>
                </w:p>
                <w:p>
                  <w:pPr>
                    <w:pStyle w:val="10"/>
                    <w:jc w:val="center"/>
                    <w:rPr>
                      <w:rFonts w:hAnsi="宋体"/>
                      <w:color w:val="auto"/>
                      <w:sz w:val="21"/>
                      <w:szCs w:val="21"/>
                    </w:rPr>
                  </w:pPr>
                  <w:r>
                    <w:rPr>
                      <w:rFonts w:hint="eastAsia"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李世杰</w:t>
                  </w:r>
                </w:p>
              </w:tc>
            </w:tr>
            <w:tr>
              <w:tblPrEx>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东莞市东城区君豪商业中心9楼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13729920608</w:t>
                  </w:r>
                </w:p>
                <w:p>
                  <w:pPr>
                    <w:pStyle w:val="10"/>
                    <w:jc w:val="center"/>
                    <w:rPr>
                      <w:rFonts w:hAnsi="宋体"/>
                      <w:color w:val="auto"/>
                      <w:sz w:val="21"/>
                      <w:szCs w:val="21"/>
                    </w:rPr>
                  </w:pPr>
                  <w:r>
                    <w:rPr>
                      <w:rFonts w:hint="eastAsia" w:hAnsi="宋体"/>
                      <w:color w:val="auto"/>
                      <w:sz w:val="21"/>
                      <w:szCs w:val="21"/>
                    </w:rPr>
                    <w:t>13712393608</w:t>
                  </w:r>
                </w:p>
                <w:p>
                  <w:pPr>
                    <w:pStyle w:val="10"/>
                    <w:jc w:val="center"/>
                    <w:rPr>
                      <w:rFonts w:hAnsi="宋体"/>
                      <w:color w:val="auto"/>
                      <w:sz w:val="21"/>
                      <w:szCs w:val="21"/>
                    </w:rPr>
                  </w:pPr>
                  <w:r>
                    <w:rPr>
                      <w:rFonts w:hint="eastAsia" w:hAnsi="宋体"/>
                      <w:color w:val="auto"/>
                      <w:sz w:val="21"/>
                      <w:szCs w:val="21"/>
                    </w:rPr>
                    <w:t>0769-2332688-8013</w:t>
                  </w:r>
                </w:p>
                <w:p>
                  <w:pPr>
                    <w:pStyle w:val="10"/>
                    <w:jc w:val="center"/>
                    <w:rPr>
                      <w:rFonts w:hAnsi="宋体"/>
                      <w:color w:val="auto"/>
                      <w:sz w:val="21"/>
                      <w:szCs w:val="21"/>
                    </w:rPr>
                  </w:pPr>
                  <w:r>
                    <w:rPr>
                      <w:rFonts w:hint="eastAsia" w:hAnsi="宋体"/>
                      <w:color w:val="auto"/>
                      <w:sz w:val="21"/>
                      <w:szCs w:val="21"/>
                    </w:rPr>
                    <w:t>传真：0769-23326788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10"/>
                    <w:jc w:val="center"/>
                    <w:rPr>
                      <w:rFonts w:hAnsi="宋体"/>
                      <w:color w:val="auto"/>
                      <w:sz w:val="21"/>
                      <w:szCs w:val="21"/>
                    </w:rPr>
                  </w:pPr>
                  <w:r>
                    <w:rPr>
                      <w:rFonts w:hint="eastAsia" w:hAnsi="宋体"/>
                      <w:color w:val="auto"/>
                      <w:sz w:val="21"/>
                      <w:szCs w:val="21"/>
                    </w:rPr>
                    <w:t>谭彪</w:t>
                  </w:r>
                </w:p>
                <w:p>
                  <w:pPr>
                    <w:pStyle w:val="10"/>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8"/>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8"/>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3.4</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color w:val="FF0000"/>
                <w:szCs w:val="21"/>
              </w:rPr>
            </w:pPr>
            <w:r>
              <w:rPr>
                <w:rFonts w:hint="eastAsia" w:ascii="宋体" w:hAnsi="宋体"/>
                <w:szCs w:val="21"/>
              </w:rPr>
              <w:t>3.5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本项目无须递交投标保证金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3.6</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3.7</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jc w:val="left"/>
              <w:rPr>
                <w:rFonts w:ascii="宋体" w:hAnsi="宋体"/>
                <w:szCs w:val="21"/>
              </w:rPr>
            </w:pPr>
            <w:r>
              <w:rPr>
                <w:rFonts w:hint="eastAsia" w:ascii="宋体" w:hAnsi="宋体"/>
                <w:szCs w:val="21"/>
              </w:rPr>
              <w:t xml:space="preserve">1.响应文件正本 1 套，副本 4 套； </w:t>
            </w:r>
          </w:p>
          <w:p>
            <w:pPr>
              <w:adjustRightInd w:val="0"/>
              <w:snapToGrid w:val="0"/>
              <w:spacing w:line="320" w:lineRule="exact"/>
              <w:jc w:val="left"/>
              <w:rPr>
                <w:rFonts w:ascii="宋体" w:hAnsi="宋体"/>
                <w:szCs w:val="21"/>
              </w:rPr>
            </w:pPr>
            <w:r>
              <w:rPr>
                <w:rFonts w:hint="eastAsia" w:ascii="宋体" w:hAnsi="宋体"/>
                <w:szCs w:val="21"/>
              </w:rPr>
              <w:t xml:space="preserve">2.报价信封 1 份（含签字盖章的报价函、首轮报价一览表、报价明细表、 中小微企业声明函（含属于监狱企业的证明文件及《残疾人福利性单位声明函》）单独密封提交，并在封套上标明“报价信封”字样。报价信封内的文件无需装订或热熔））； </w:t>
            </w:r>
          </w:p>
          <w:p>
            <w:pPr>
              <w:adjustRightInd w:val="0"/>
              <w:snapToGrid w:val="0"/>
              <w:spacing w:line="320" w:lineRule="exact"/>
              <w:jc w:val="left"/>
              <w:rPr>
                <w:rFonts w:ascii="宋体" w:hAnsi="宋体"/>
                <w:szCs w:val="21"/>
              </w:rPr>
            </w:pPr>
            <w:r>
              <w:rPr>
                <w:rFonts w:hint="eastAsia" w:ascii="宋体" w:hAnsi="宋体"/>
                <w:szCs w:val="21"/>
              </w:rPr>
              <w:t>3.电子文件 1 份（电子文件为 U 盘介质，内含 WORD 文档一份，PDF 格式一份，PDF 内容必须是纸质响应文件正本扫描件（含盖章、签署）， 不留密码，无病毒，不压缩。）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rPr>
            </w:pPr>
            <w:r>
              <w:rPr>
                <w:rFonts w:hint="eastAsia" w:ascii="宋体" w:hAnsi="宋体"/>
                <w:bCs/>
                <w:szCs w:val="21"/>
              </w:rPr>
              <w:t>评标委员会由</w:t>
            </w:r>
            <w:r>
              <w:rPr>
                <w:rFonts w:hint="eastAsia" w:ascii="宋体" w:hAnsi="宋体"/>
                <w:bCs/>
                <w:szCs w:val="21"/>
                <w:lang w:val="en-US" w:eastAsia="zh-CN"/>
              </w:rPr>
              <w:t>5</w:t>
            </w:r>
            <w:r>
              <w:rPr>
                <w:rFonts w:hint="eastAsia" w:ascii="宋体" w:hAnsi="宋体"/>
                <w:bCs/>
                <w:szCs w:val="21"/>
              </w:rPr>
              <w:t>人组成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5.3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6.2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详见用户需求书、合同</w:t>
            </w:r>
          </w:p>
        </w:tc>
      </w:tr>
    </w:tbl>
    <w:p>
      <w:pPr>
        <w:rPr>
          <w:rFonts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6" w:name="_Toc16193"/>
      <w:bookmarkStart w:id="7" w:name="_Toc480529436"/>
      <w:bookmarkStart w:id="8" w:name="_Toc433648010"/>
      <w:r>
        <w:rPr>
          <w:rFonts w:hint="eastAsia" w:ascii="宋体" w:hAnsi="宋体"/>
          <w:b/>
          <w:bCs/>
          <w:sz w:val="28"/>
          <w:szCs w:val="28"/>
        </w:rPr>
        <w:t>第三章  评分体系与标准</w:t>
      </w:r>
      <w:bookmarkEnd w:id="6"/>
      <w:bookmarkEnd w:id="7"/>
      <w:bookmarkEnd w:id="8"/>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9"/>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9"/>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rPr>
            </w:pPr>
            <w:r>
              <w:rPr>
                <w:rFonts w:hint="eastAsia" w:ascii="宋体" w:hAnsi="宋体"/>
                <w:b/>
                <w:bCs/>
                <w:lang w:val="en-US" w:eastAsia="zh-CN"/>
              </w:rPr>
              <w:t>23</w:t>
            </w:r>
            <w:r>
              <w:rPr>
                <w:rFonts w:hint="eastAsia" w:ascii="宋体" w:hAnsi="宋体"/>
                <w:b/>
                <w:bCs/>
              </w:rPr>
              <w:t>%</w:t>
            </w:r>
          </w:p>
        </w:tc>
        <w:tc>
          <w:tcPr>
            <w:tcW w:w="3312" w:type="dxa"/>
            <w:vAlign w:val="center"/>
          </w:tcPr>
          <w:p>
            <w:pPr>
              <w:snapToGrid w:val="0"/>
              <w:jc w:val="center"/>
              <w:rPr>
                <w:rFonts w:ascii="宋体" w:hAnsi="宋体"/>
                <w:b/>
                <w:bCs/>
              </w:rPr>
            </w:pPr>
            <w:r>
              <w:rPr>
                <w:rFonts w:hint="eastAsia" w:ascii="宋体" w:hAnsi="宋体"/>
                <w:b/>
                <w:bCs/>
                <w:lang w:val="en-US" w:eastAsia="zh-CN"/>
              </w:rPr>
              <w:t>27</w:t>
            </w:r>
            <w:r>
              <w:rPr>
                <w:rFonts w:hint="eastAsia" w:ascii="宋体" w:hAnsi="宋体"/>
                <w:b/>
                <w:bCs/>
              </w:rPr>
              <w:t>%</w:t>
            </w:r>
          </w:p>
        </w:tc>
        <w:tc>
          <w:tcPr>
            <w:tcW w:w="3412" w:type="dxa"/>
            <w:vAlign w:val="center"/>
          </w:tcPr>
          <w:p>
            <w:pPr>
              <w:snapToGrid w:val="0"/>
              <w:jc w:val="center"/>
              <w:rPr>
                <w:rFonts w:ascii="宋体" w:hAnsi="宋体"/>
                <w:b/>
                <w:bCs/>
              </w:rPr>
            </w:pPr>
            <w:r>
              <w:rPr>
                <w:rFonts w:hint="eastAsia" w:ascii="宋体" w:hAnsi="宋体"/>
                <w:b/>
                <w:bCs/>
                <w:lang w:val="en-US" w:eastAsia="zh-CN"/>
              </w:rPr>
              <w:t>50</w:t>
            </w:r>
            <w:r>
              <w:rPr>
                <w:rFonts w:hint="eastAsia" w:ascii="宋体" w:hAnsi="宋体"/>
                <w:b/>
                <w:bCs/>
              </w:rPr>
              <w:t>%</w:t>
            </w:r>
          </w:p>
        </w:tc>
      </w:tr>
    </w:tbl>
    <w:p>
      <w:pPr>
        <w:numPr>
          <w:ilvl w:val="0"/>
          <w:numId w:val="9"/>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9"/>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8"/>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001" w:type="dxa"/>
            <w:tcBorders>
              <w:tl2br w:val="nil"/>
              <w:tr2bl w:val="nil"/>
            </w:tcBorders>
            <w:vAlign w:val="center"/>
          </w:tcPr>
          <w:p>
            <w:pPr>
              <w:spacing w:line="360" w:lineRule="auto"/>
              <w:jc w:val="center"/>
              <w:rPr>
                <w:rFonts w:ascii="宋体" w:hAns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1</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2</w:t>
            </w:r>
          </w:p>
        </w:tc>
        <w:tc>
          <w:tcPr>
            <w:tcW w:w="9001" w:type="dxa"/>
            <w:tcBorders>
              <w:tl2br w:val="nil"/>
              <w:tr2bl w:val="nil"/>
            </w:tcBorders>
            <w:vAlign w:val="center"/>
          </w:tcPr>
          <w:p>
            <w:pPr>
              <w:spacing w:line="360" w:lineRule="auto"/>
              <w:rPr>
                <w:rFonts w:ascii="宋体" w:hAnsi="宋体"/>
                <w:bCs/>
                <w:szCs w:val="21"/>
              </w:rPr>
            </w:pPr>
            <w:r>
              <w:rPr>
                <w:rFonts w:ascii="宋体" w:hAnsi="宋体" w:cs="宋体"/>
                <w:szCs w:val="21"/>
              </w:rPr>
              <w:t>供应商已登记并领</w:t>
            </w:r>
            <w:r>
              <w:rPr>
                <w:rFonts w:hint="eastAsia" w:ascii="宋体" w:hAnsi="宋体" w:cs="宋体"/>
                <w:szCs w:val="21"/>
              </w:rPr>
              <w:t>取</w:t>
            </w:r>
            <w:r>
              <w:rPr>
                <w:rFonts w:ascii="宋体" w:hAnsi="宋体" w:cs="宋体"/>
                <w:szCs w:val="21"/>
              </w:rPr>
              <w:t>本项目磋商文件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61" w:type="dxa"/>
            <w:tcBorders>
              <w:tl2br w:val="nil"/>
              <w:tr2bl w:val="nil"/>
            </w:tcBorders>
            <w:vAlign w:val="center"/>
          </w:tcPr>
          <w:p>
            <w:pPr>
              <w:spacing w:line="360" w:lineRule="auto"/>
              <w:jc w:val="center"/>
              <w:rPr>
                <w:rFonts w:ascii="宋体" w:hAnsi="宋体"/>
                <w:szCs w:val="21"/>
              </w:rPr>
            </w:pPr>
            <w:r>
              <w:rPr>
                <w:rFonts w:hint="eastAsia" w:ascii="宋体" w:hAnsi="宋体"/>
                <w:szCs w:val="21"/>
              </w:rPr>
              <w:t>3</w:t>
            </w:r>
          </w:p>
        </w:tc>
        <w:tc>
          <w:tcPr>
            <w:tcW w:w="9001" w:type="dxa"/>
            <w:tcBorders>
              <w:tl2br w:val="nil"/>
              <w:tr2bl w:val="nil"/>
            </w:tcBorders>
            <w:vAlign w:val="center"/>
          </w:tcPr>
          <w:p>
            <w:pPr>
              <w:spacing w:line="360" w:lineRule="auto"/>
              <w:rPr>
                <w:rFonts w:ascii="宋体" w:hAnsi="宋体"/>
                <w:bCs/>
                <w:szCs w:val="21"/>
              </w:rPr>
            </w:pPr>
            <w:r>
              <w:rPr>
                <w:rFonts w:hint="eastAsia" w:ascii="宋体" w:hAnsi="宋体" w:cs="宋体"/>
                <w:szCs w:val="21"/>
              </w:rPr>
              <w:t>本项目不接受联合体投标</w:t>
            </w:r>
          </w:p>
        </w:tc>
      </w:tr>
    </w:tbl>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p>
    <w:p>
      <w:pPr>
        <w:spacing w:line="360" w:lineRule="auto"/>
        <w:ind w:left="1000" w:leftChars="100" w:hanging="790" w:hangingChars="328"/>
        <w:jc w:val="center"/>
        <w:rPr>
          <w:rFonts w:ascii="宋体" w:hAnsi="宋体"/>
          <w:b/>
          <w:sz w:val="24"/>
        </w:rPr>
      </w:pPr>
      <w:r>
        <w:rPr>
          <w:rFonts w:hint="eastAsia" w:ascii="宋体" w:hAnsi="宋体"/>
          <w:b/>
          <w:sz w:val="24"/>
        </w:rPr>
        <w:t>符合性审查表</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Cs w:val="21"/>
              </w:rPr>
            </w:pPr>
            <w:r>
              <w:rPr>
                <w:rFonts w:hint="eastAsia" w:ascii="宋体" w:hAnsi="宋体"/>
                <w:b/>
                <w:szCs w:val="21"/>
              </w:rPr>
              <w:t>序号</w:t>
            </w:r>
          </w:p>
        </w:tc>
        <w:tc>
          <w:tcPr>
            <w:tcW w:w="9170" w:type="dxa"/>
            <w:tcBorders>
              <w:top w:val="single" w:color="auto" w:sz="12" w:space="0"/>
            </w:tcBorders>
            <w:vAlign w:val="center"/>
          </w:tcPr>
          <w:p>
            <w:pPr>
              <w:spacing w:line="360" w:lineRule="auto"/>
              <w:jc w:val="center"/>
              <w:rPr>
                <w:rFonts w:ascii="宋体" w:hAns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1</w:t>
            </w:r>
          </w:p>
        </w:tc>
        <w:tc>
          <w:tcPr>
            <w:tcW w:w="9170" w:type="dxa"/>
            <w:vAlign w:val="center"/>
          </w:tcPr>
          <w:p>
            <w:pPr>
              <w:outlineLvl w:val="2"/>
              <w:rPr>
                <w:rFonts w:ascii="宋体" w:hAnsi="宋体"/>
                <w:szCs w:val="21"/>
              </w:rPr>
            </w:pPr>
            <w:r>
              <w:rPr>
                <w:rFonts w:hint="eastAsia" w:ascii="宋体" w:hAnsi="宋体" w:cs="宋体"/>
                <w:szCs w:val="21"/>
              </w:rPr>
              <w:t>投标函、投标人资格声明函已提交并按照招标文件规定要求签署、盖章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ascii="宋体" w:hAnsi="宋体"/>
                <w:szCs w:val="21"/>
              </w:rPr>
            </w:pPr>
            <w:r>
              <w:rPr>
                <w:rFonts w:hint="eastAsia" w:ascii="宋体" w:hAnsi="宋体"/>
                <w:szCs w:val="21"/>
              </w:rPr>
              <w:t>2</w:t>
            </w:r>
          </w:p>
        </w:tc>
        <w:tc>
          <w:tcPr>
            <w:tcW w:w="9170" w:type="dxa"/>
            <w:vAlign w:val="center"/>
          </w:tcPr>
          <w:p>
            <w:pPr>
              <w:outlineLvl w:val="2"/>
              <w:rPr>
                <w:rFonts w:ascii="宋体" w:hAnsi="宋体" w:cs="宋体"/>
                <w:szCs w:val="21"/>
              </w:rPr>
            </w:pPr>
            <w:r>
              <w:rPr>
                <w:rFonts w:hint="eastAsia" w:ascii="宋体" w:hAnsi="宋体" w:cs="宋体"/>
                <w:szCs w:val="21"/>
              </w:rPr>
              <w:t>法定代表人证明书或法定代表人授权委托书已提交并按照招标文件规定要求签署、盖章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3</w:t>
            </w:r>
          </w:p>
        </w:tc>
        <w:tc>
          <w:tcPr>
            <w:tcW w:w="9170" w:type="dxa"/>
            <w:vAlign w:val="center"/>
          </w:tcPr>
          <w:p>
            <w:pPr>
              <w:outlineLvl w:val="2"/>
              <w:rPr>
                <w:rFonts w:hint="default" w:ascii="宋体" w:hAnsi="宋体" w:eastAsia="宋体" w:cs="宋体"/>
                <w:szCs w:val="21"/>
                <w:lang w:val="en-US" w:eastAsia="zh-CN"/>
              </w:rPr>
            </w:pPr>
            <w:r>
              <w:rPr>
                <w:rFonts w:hint="eastAsia" w:ascii="宋体" w:hAnsi="宋体" w:cs="宋体"/>
                <w:szCs w:val="21"/>
                <w:lang w:val="en-US" w:eastAsia="zh-CN"/>
              </w:rPr>
              <w:t>公平竞争承诺书</w:t>
            </w:r>
            <w:r>
              <w:rPr>
                <w:rFonts w:hint="eastAsia" w:ascii="宋体" w:hAnsi="宋体" w:cs="宋体"/>
                <w:szCs w:val="21"/>
              </w:rPr>
              <w:t>已提交并按照招标文件规定要求盖章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4</w:t>
            </w:r>
          </w:p>
        </w:tc>
        <w:tc>
          <w:tcPr>
            <w:tcW w:w="9170" w:type="dxa"/>
            <w:vAlign w:val="center"/>
          </w:tcPr>
          <w:p>
            <w:pPr>
              <w:spacing w:line="360" w:lineRule="auto"/>
              <w:rPr>
                <w:rFonts w:ascii="宋体" w:hAnsi="宋体"/>
                <w:szCs w:val="21"/>
              </w:rPr>
            </w:pPr>
            <w:r>
              <w:rPr>
                <w:rFonts w:hint="eastAsia" w:ascii="宋体" w:hAnsi="宋体"/>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5</w:t>
            </w:r>
          </w:p>
        </w:tc>
        <w:tc>
          <w:tcPr>
            <w:tcW w:w="9170" w:type="dxa"/>
            <w:vAlign w:val="center"/>
          </w:tcPr>
          <w:p>
            <w:pPr>
              <w:spacing w:line="360" w:lineRule="auto"/>
              <w:rPr>
                <w:rFonts w:ascii="宋体" w:hAnsi="宋体"/>
                <w:szCs w:val="21"/>
              </w:rPr>
            </w:pPr>
            <w:r>
              <w:rPr>
                <w:rFonts w:hint="eastAsia" w:ascii="宋体" w:hAnsi="宋体" w:cs="宋体"/>
                <w:szCs w:val="21"/>
              </w:rPr>
              <w:t>服务期满足招标文件要求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6</w:t>
            </w:r>
          </w:p>
        </w:tc>
        <w:tc>
          <w:tcPr>
            <w:tcW w:w="9170" w:type="dxa"/>
            <w:vAlign w:val="center"/>
          </w:tcPr>
          <w:p>
            <w:pPr>
              <w:spacing w:line="360" w:lineRule="auto"/>
              <w:rPr>
                <w:rFonts w:ascii="宋体" w:hAnsi="宋体" w:cs="宋体"/>
                <w:szCs w:val="21"/>
              </w:rPr>
            </w:pPr>
            <w:r>
              <w:rPr>
                <w:rFonts w:hint="eastAsia" w:ascii="宋体" w:hAnsi="宋体"/>
                <w:szCs w:val="21"/>
              </w:rPr>
              <w:t>能满足用户需求的主要参数（带“★”号条款）(如有)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7</w:t>
            </w:r>
          </w:p>
        </w:tc>
        <w:tc>
          <w:tcPr>
            <w:tcW w:w="9170" w:type="dxa"/>
            <w:vAlign w:val="center"/>
          </w:tcPr>
          <w:p>
            <w:pPr>
              <w:spacing w:line="360" w:lineRule="auto"/>
              <w:rPr>
                <w:rFonts w:ascii="宋体" w:hAnsi="宋体" w:cs="宋体"/>
                <w:szCs w:val="21"/>
              </w:rPr>
            </w:pPr>
            <w:r>
              <w:rPr>
                <w:rFonts w:hint="eastAsia" w:ascii="宋体" w:hAnsi="宋体" w:cs="宋体"/>
                <w:szCs w:val="21"/>
              </w:rPr>
              <w:t>未出现恶意竞争低于成本价的情形投标人投标报价合理的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8</w:t>
            </w:r>
          </w:p>
        </w:tc>
        <w:tc>
          <w:tcPr>
            <w:tcW w:w="9170" w:type="dxa"/>
            <w:vAlign w:val="center"/>
          </w:tcPr>
          <w:p>
            <w:pPr>
              <w:spacing w:line="360" w:lineRule="auto"/>
              <w:rPr>
                <w:rFonts w:ascii="宋体" w:hAns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val="en-US" w:eastAsia="zh-CN"/>
              </w:rPr>
              <w:t>9</w:t>
            </w:r>
          </w:p>
        </w:tc>
        <w:tc>
          <w:tcPr>
            <w:tcW w:w="9170" w:type="dxa"/>
            <w:tcBorders>
              <w:bottom w:val="single" w:color="auto" w:sz="12" w:space="0"/>
            </w:tcBorders>
            <w:vAlign w:val="center"/>
          </w:tcPr>
          <w:p>
            <w:pPr>
              <w:spacing w:line="360" w:lineRule="auto"/>
              <w:rPr>
                <w:rFonts w:ascii="宋体" w:hAnsi="宋体"/>
                <w:szCs w:val="21"/>
              </w:rPr>
            </w:pPr>
            <w:r>
              <w:rPr>
                <w:rFonts w:hint="eastAsia" w:ascii="宋体" w:hAnsi="宋体"/>
                <w:szCs w:val="21"/>
              </w:rPr>
              <w:t>未出现法律、法规、规章规定属于投标无效的其他情形</w:t>
            </w:r>
          </w:p>
        </w:tc>
      </w:tr>
    </w:tbl>
    <w:p>
      <w:pPr>
        <w:spacing w:line="360" w:lineRule="auto"/>
        <w:jc w:val="left"/>
        <w:textAlignment w:val="baseline"/>
        <w:rPr>
          <w:rStyle w:val="38"/>
          <w:rFonts w:ascii="宋体" w:hAnsi="宋体"/>
          <w:szCs w:val="21"/>
        </w:rPr>
      </w:pPr>
      <w:r>
        <w:rPr>
          <w:rStyle w:val="38"/>
          <w:rFonts w:hint="eastAsia" w:ascii="宋体" w:hAnsi="宋体"/>
          <w:szCs w:val="21"/>
        </w:rPr>
        <w:br w:type="page"/>
      </w:r>
    </w:p>
    <w:tbl>
      <w:tblPr>
        <w:tblStyle w:val="18"/>
        <w:tblW w:w="504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42"/>
        <w:gridCol w:w="1620"/>
        <w:gridCol w:w="68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restart"/>
            <w:tcBorders>
              <w:top w:val="single" w:color="000000" w:sz="4" w:space="0"/>
              <w:left w:val="single" w:color="000000" w:sz="4" w:space="0"/>
              <w:right w:val="single" w:color="000000" w:sz="4" w:space="0"/>
            </w:tcBorders>
            <w:vAlign w:val="center"/>
          </w:tcPr>
          <w:p>
            <w:pPr>
              <w:spacing w:line="360" w:lineRule="auto"/>
              <w:jc w:val="left"/>
              <w:textAlignment w:val="baseline"/>
              <w:rPr>
                <w:rStyle w:val="38"/>
                <w:rFonts w:ascii="宋体" w:hAnsi="宋体"/>
                <w:szCs w:val="21"/>
              </w:rPr>
            </w:pPr>
            <w:bookmarkStart w:id="9" w:name="_Toc26151"/>
            <w:bookmarkStart w:id="10" w:name="_Toc7324"/>
            <w:bookmarkStart w:id="11" w:name="_Toc17196"/>
            <w:r>
              <w:rPr>
                <w:rStyle w:val="38"/>
                <w:rFonts w:ascii="宋体" w:hAnsi="宋体"/>
                <w:szCs w:val="21"/>
              </w:rPr>
              <w:t>技术分</w:t>
            </w:r>
          </w:p>
          <w:p>
            <w:pPr>
              <w:spacing w:line="360" w:lineRule="auto"/>
              <w:jc w:val="left"/>
              <w:textAlignment w:val="baseline"/>
              <w:rPr>
                <w:rStyle w:val="38"/>
                <w:rFonts w:ascii="宋体" w:hAnsi="宋体"/>
                <w:szCs w:val="21"/>
              </w:rPr>
            </w:pPr>
            <w:r>
              <w:rPr>
                <w:rStyle w:val="38"/>
                <w:rFonts w:ascii="宋体" w:hAnsi="宋体"/>
                <w:szCs w:val="21"/>
              </w:rPr>
              <w:t>(满分</w:t>
            </w:r>
            <w:r>
              <w:rPr>
                <w:rStyle w:val="38"/>
                <w:rFonts w:hint="eastAsia" w:ascii="宋体" w:hAnsi="宋体"/>
                <w:szCs w:val="21"/>
                <w:lang w:val="en-US"/>
              </w:rPr>
              <w:t>23</w:t>
            </w:r>
            <w:r>
              <w:rPr>
                <w:rStyle w:val="38"/>
                <w:rFonts w:ascii="宋体" w:hAnsi="宋体"/>
                <w:szCs w:val="21"/>
              </w:rPr>
              <w:t>分)</w:t>
            </w: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货源保障能力 </w:t>
            </w:r>
            <w:r>
              <w:rPr>
                <w:rStyle w:val="38"/>
                <w:rFonts w:ascii="宋体" w:hAnsi="宋体"/>
                <w:szCs w:val="21"/>
                <w:lang w:val="en-US" w:eastAsia="zh-CN"/>
              </w:rPr>
              <w:t>(7.0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根据投标人与新鲜河粉、中筋面粉、油炸豆卜、鸡蛋、米粉等</w:t>
            </w:r>
            <w:r>
              <w:rPr>
                <w:rStyle w:val="38"/>
                <w:rFonts w:ascii="宋体" w:hAnsi="宋体"/>
                <w:szCs w:val="21"/>
                <w:lang w:val="en-US" w:eastAsia="zh-CN"/>
              </w:rPr>
              <w:t>5</w:t>
            </w:r>
            <w:r>
              <w:rPr>
                <w:rStyle w:val="38"/>
                <w:rFonts w:hint="eastAsia" w:ascii="宋体" w:hAnsi="宋体"/>
                <w:szCs w:val="21"/>
                <w:lang w:val="en-US" w:eastAsia="zh-CN"/>
              </w:rPr>
              <w:t xml:space="preserve">种副食品生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产商签订供货合同的情况进行评价：（采购量前</w:t>
            </w:r>
            <w:r>
              <w:rPr>
                <w:rStyle w:val="38"/>
                <w:rFonts w:hint="default" w:ascii="宋体" w:hAnsi="宋体"/>
                <w:szCs w:val="21"/>
                <w:lang w:val="en-US" w:eastAsia="zh-CN"/>
              </w:rPr>
              <w:t>5</w:t>
            </w:r>
            <w:r>
              <w:rPr>
                <w:rStyle w:val="38"/>
                <w:rFonts w:hint="eastAsia" w:ascii="宋体" w:hAnsi="宋体"/>
                <w:szCs w:val="21"/>
                <w:lang w:val="en-US" w:eastAsia="zh-CN"/>
              </w:rPr>
              <w:t>名） （</w:t>
            </w:r>
            <w:r>
              <w:rPr>
                <w:rStyle w:val="38"/>
                <w:rFonts w:hint="default" w:ascii="宋体" w:hAnsi="宋体"/>
                <w:szCs w:val="21"/>
                <w:lang w:val="en-US" w:eastAsia="zh-CN"/>
              </w:rPr>
              <w:t>1</w:t>
            </w:r>
            <w:r>
              <w:rPr>
                <w:rStyle w:val="38"/>
                <w:rFonts w:hint="eastAsia" w:ascii="宋体" w:hAnsi="宋体"/>
                <w:szCs w:val="21"/>
                <w:lang w:val="en-US" w:eastAsia="zh-CN"/>
              </w:rPr>
              <w:t xml:space="preserve">）与所投货物全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部生产商或代理商均签订供货合同的，得</w:t>
            </w:r>
            <w:r>
              <w:rPr>
                <w:rStyle w:val="38"/>
                <w:rFonts w:hint="default" w:ascii="宋体" w:hAnsi="宋体"/>
                <w:szCs w:val="21"/>
                <w:lang w:val="en-US" w:eastAsia="zh-CN"/>
              </w:rPr>
              <w:t>7</w:t>
            </w:r>
            <w:r>
              <w:rPr>
                <w:rStyle w:val="38"/>
                <w:rFonts w:hint="eastAsia" w:ascii="宋体" w:hAnsi="宋体"/>
                <w:szCs w:val="21"/>
                <w:lang w:val="en-US" w:eastAsia="zh-CN"/>
              </w:rPr>
              <w:t>分； （</w:t>
            </w:r>
            <w:r>
              <w:rPr>
                <w:rStyle w:val="38"/>
                <w:rFonts w:hint="default" w:ascii="宋体" w:hAnsi="宋体"/>
                <w:szCs w:val="21"/>
                <w:lang w:val="en-US" w:eastAsia="zh-CN"/>
              </w:rPr>
              <w:t>2</w:t>
            </w:r>
            <w:r>
              <w:rPr>
                <w:rStyle w:val="38"/>
                <w:rFonts w:hint="eastAsia" w:ascii="宋体" w:hAnsi="宋体"/>
                <w:szCs w:val="21"/>
                <w:lang w:val="en-US" w:eastAsia="zh-CN"/>
              </w:rPr>
              <w:t>）与所投货物</w:t>
            </w:r>
            <w:r>
              <w:rPr>
                <w:rStyle w:val="38"/>
                <w:rFonts w:hint="default" w:ascii="宋体" w:hAnsi="宋体"/>
                <w:szCs w:val="21"/>
                <w:lang w:val="en-US" w:eastAsia="zh-CN"/>
              </w:rPr>
              <w:t>80%</w:t>
            </w:r>
            <w:r>
              <w:rPr>
                <w:rStyle w:val="38"/>
                <w:rFonts w:hint="eastAsia" w:ascii="宋体" w:hAnsi="宋体"/>
                <w:szCs w:val="21"/>
                <w:lang w:val="en-US" w:eastAsia="zh-CN"/>
              </w:rPr>
              <w:t xml:space="preserve">以上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的生产商或代理商签订供货合同的，得</w:t>
            </w:r>
            <w:r>
              <w:rPr>
                <w:rStyle w:val="38"/>
                <w:rFonts w:hint="default" w:ascii="宋体" w:hAnsi="宋体"/>
                <w:szCs w:val="21"/>
                <w:lang w:val="en-US" w:eastAsia="zh-CN"/>
              </w:rPr>
              <w:t>5</w:t>
            </w:r>
            <w:r>
              <w:rPr>
                <w:rStyle w:val="38"/>
                <w:rFonts w:hint="eastAsia" w:ascii="宋体" w:hAnsi="宋体"/>
                <w:szCs w:val="21"/>
                <w:lang w:val="en-US" w:eastAsia="zh-CN"/>
              </w:rPr>
              <w:t>分； （</w:t>
            </w:r>
            <w:r>
              <w:rPr>
                <w:rStyle w:val="38"/>
                <w:rFonts w:hint="default" w:ascii="宋体" w:hAnsi="宋体"/>
                <w:szCs w:val="21"/>
                <w:lang w:val="en-US" w:eastAsia="zh-CN"/>
              </w:rPr>
              <w:t>3</w:t>
            </w:r>
            <w:r>
              <w:rPr>
                <w:rStyle w:val="38"/>
                <w:rFonts w:hint="eastAsia" w:ascii="宋体" w:hAnsi="宋体"/>
                <w:szCs w:val="21"/>
                <w:lang w:val="en-US" w:eastAsia="zh-CN"/>
              </w:rPr>
              <w:t>）与所投货物</w:t>
            </w:r>
            <w:r>
              <w:rPr>
                <w:rStyle w:val="38"/>
                <w:rFonts w:hint="default" w:ascii="宋体" w:hAnsi="宋体"/>
                <w:szCs w:val="21"/>
                <w:lang w:val="en-US" w:eastAsia="zh-CN"/>
              </w:rPr>
              <w:t>60%</w:t>
            </w:r>
            <w:r>
              <w:rPr>
                <w:rStyle w:val="38"/>
                <w:rFonts w:hint="eastAsia" w:ascii="宋体" w:hAnsi="宋体"/>
                <w:szCs w:val="21"/>
                <w:lang w:val="en-US" w:eastAsia="zh-CN"/>
              </w:rPr>
              <w:t xml:space="preserve">以上生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产商或代理商签订供货合同的，得</w:t>
            </w:r>
            <w:r>
              <w:rPr>
                <w:rStyle w:val="38"/>
                <w:rFonts w:hint="default" w:ascii="宋体" w:hAnsi="宋体"/>
                <w:szCs w:val="21"/>
                <w:lang w:val="en-US" w:eastAsia="zh-CN"/>
              </w:rPr>
              <w:t>2</w:t>
            </w:r>
            <w:r>
              <w:rPr>
                <w:rStyle w:val="38"/>
                <w:rFonts w:hint="eastAsia" w:ascii="宋体" w:hAnsi="宋体"/>
                <w:szCs w:val="21"/>
                <w:lang w:val="en-US" w:eastAsia="zh-CN"/>
              </w:rPr>
              <w:t>分； （</w:t>
            </w:r>
            <w:r>
              <w:rPr>
                <w:rStyle w:val="38"/>
                <w:rFonts w:hint="default" w:ascii="宋体" w:hAnsi="宋体"/>
                <w:szCs w:val="21"/>
                <w:lang w:val="en-US" w:eastAsia="zh-CN"/>
              </w:rPr>
              <w:t>4</w:t>
            </w:r>
            <w:r>
              <w:rPr>
                <w:rStyle w:val="38"/>
                <w:rFonts w:hint="eastAsia" w:ascii="宋体" w:hAnsi="宋体"/>
                <w:szCs w:val="21"/>
                <w:lang w:val="en-US" w:eastAsia="zh-CN"/>
              </w:rPr>
              <w:t>）与所投货物</w:t>
            </w:r>
            <w:r>
              <w:rPr>
                <w:rStyle w:val="38"/>
                <w:rFonts w:hint="default" w:ascii="宋体" w:hAnsi="宋体"/>
                <w:szCs w:val="21"/>
                <w:lang w:val="en-US" w:eastAsia="zh-CN"/>
              </w:rPr>
              <w:t>60%</w:t>
            </w:r>
            <w:r>
              <w:rPr>
                <w:rStyle w:val="38"/>
                <w:rFonts w:hint="eastAsia" w:ascii="宋体" w:hAnsi="宋体"/>
                <w:szCs w:val="21"/>
                <w:lang w:val="en-US" w:eastAsia="zh-CN"/>
              </w:rPr>
              <w:t xml:space="preserve">以下生产商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或代理商签订供货合同的，得</w:t>
            </w:r>
            <w:r>
              <w:rPr>
                <w:rStyle w:val="38"/>
                <w:rFonts w:hint="default" w:ascii="宋体" w:hAnsi="宋体"/>
                <w:szCs w:val="21"/>
                <w:lang w:val="en-US" w:eastAsia="zh-CN"/>
              </w:rPr>
              <w:t>0</w:t>
            </w:r>
            <w:r>
              <w:rPr>
                <w:rStyle w:val="38"/>
                <w:rFonts w:hint="eastAsia" w:ascii="宋体" w:hAnsi="宋体"/>
                <w:szCs w:val="21"/>
                <w:lang w:val="en-US" w:eastAsia="zh-CN"/>
              </w:rPr>
              <w:t xml:space="preserve">分。 以最高档次得分，不重复得分。 （提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供投标人与生产商或代理商签订的销售合同复印件、生产商营业执照、工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商登记信息及系统查询截图；若投标人是与代理商签订的销售合同，必须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另外提供生产商对代理商出具的产品代理证明相关文件复印件）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left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食品安全追溯能力 </w:t>
            </w:r>
            <w:r>
              <w:rPr>
                <w:rStyle w:val="38"/>
                <w:rFonts w:ascii="宋体" w:hAnsi="宋体"/>
                <w:szCs w:val="21"/>
                <w:lang w:val="en-US" w:eastAsia="zh-CN"/>
              </w:rPr>
              <w:t>(5.0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投标人具有食品安全（质量）追溯系统，食品安全追溯方案全面、科学、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合理、针对性强的，得</w:t>
            </w:r>
            <w:r>
              <w:rPr>
                <w:rStyle w:val="38"/>
                <w:rFonts w:ascii="宋体" w:hAnsi="宋体"/>
                <w:szCs w:val="21"/>
                <w:lang w:val="en-US" w:eastAsia="zh-CN"/>
              </w:rPr>
              <w:t>5</w:t>
            </w:r>
            <w:r>
              <w:rPr>
                <w:rStyle w:val="38"/>
                <w:rFonts w:hint="eastAsia" w:ascii="宋体" w:hAnsi="宋体"/>
                <w:szCs w:val="21"/>
                <w:lang w:val="en-US" w:eastAsia="zh-CN"/>
              </w:rPr>
              <w:t xml:space="preserve">分； 只提供食品安全追溯方案，方案全面、科学、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合理、针对性强的，得</w:t>
            </w:r>
            <w:r>
              <w:rPr>
                <w:rStyle w:val="38"/>
                <w:rFonts w:hint="default" w:ascii="宋体" w:hAnsi="宋体"/>
                <w:szCs w:val="21"/>
                <w:lang w:val="en-US" w:eastAsia="zh-CN"/>
              </w:rPr>
              <w:t>3</w:t>
            </w:r>
            <w:r>
              <w:rPr>
                <w:rStyle w:val="38"/>
                <w:rFonts w:hint="eastAsia" w:ascii="宋体" w:hAnsi="宋体"/>
                <w:szCs w:val="21"/>
                <w:lang w:val="en-US" w:eastAsia="zh-CN"/>
              </w:rPr>
              <w:t>分； 只提供食品安全追溯方案，方案不够全面、科 学、合理，针对性不强的，得</w:t>
            </w:r>
            <w:r>
              <w:rPr>
                <w:rStyle w:val="38"/>
                <w:rFonts w:hint="default" w:ascii="宋体" w:hAnsi="宋体"/>
                <w:szCs w:val="21"/>
                <w:lang w:val="en-US" w:eastAsia="zh-CN"/>
              </w:rPr>
              <w:t>1</w:t>
            </w:r>
            <w:r>
              <w:rPr>
                <w:rStyle w:val="38"/>
                <w:rFonts w:hint="eastAsia" w:ascii="宋体" w:hAnsi="宋体"/>
                <w:szCs w:val="21"/>
                <w:lang w:val="en-US" w:eastAsia="zh-CN"/>
              </w:rPr>
              <w:t xml:space="preserve">分； 未提供有关评比资料的不得分。 （提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供追溯系统的计算机软件著作权登记证书或购买合同、发票复印件，食品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安全溯源方案）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left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质量及安全保证措施 </w:t>
            </w:r>
            <w:r>
              <w:rPr>
                <w:rStyle w:val="38"/>
                <w:rFonts w:ascii="宋体" w:hAnsi="宋体"/>
                <w:szCs w:val="21"/>
                <w:lang w:val="en-US" w:eastAsia="zh-CN"/>
              </w:rPr>
              <w:t>(5.0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1</w:t>
            </w:r>
            <w:r>
              <w:rPr>
                <w:rStyle w:val="38"/>
                <w:rFonts w:hint="eastAsia" w:ascii="宋体" w:hAnsi="宋体"/>
                <w:szCs w:val="21"/>
                <w:lang w:val="en-US" w:eastAsia="zh-CN"/>
              </w:rPr>
              <w:t xml:space="preserve">、来源清晰具体、验收方案全面，质量及安全保证各环节措施具体、完善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，完全符合采购需求，得</w:t>
            </w:r>
            <w:r>
              <w:rPr>
                <w:rStyle w:val="38"/>
                <w:rFonts w:hint="default" w:ascii="宋体" w:hAnsi="宋体"/>
                <w:szCs w:val="21"/>
                <w:lang w:val="en-US" w:eastAsia="zh-CN"/>
              </w:rPr>
              <w:t>5</w:t>
            </w:r>
            <w:r>
              <w:rPr>
                <w:rStyle w:val="38"/>
                <w:rFonts w:hint="eastAsia" w:ascii="宋体" w:hAnsi="宋体"/>
                <w:szCs w:val="21"/>
                <w:lang w:val="en-US" w:eastAsia="zh-CN"/>
              </w:rPr>
              <w:t xml:space="preserve">分； </w:t>
            </w:r>
            <w:r>
              <w:rPr>
                <w:rStyle w:val="38"/>
                <w:rFonts w:hint="default" w:ascii="宋体" w:hAnsi="宋体"/>
                <w:szCs w:val="21"/>
                <w:lang w:val="en-US" w:eastAsia="zh-CN"/>
              </w:rPr>
              <w:t>2</w:t>
            </w:r>
            <w:r>
              <w:rPr>
                <w:rStyle w:val="38"/>
                <w:rFonts w:hint="eastAsia" w:ascii="宋体" w:hAnsi="宋体"/>
                <w:szCs w:val="21"/>
                <w:lang w:val="en-US" w:eastAsia="zh-CN"/>
              </w:rPr>
              <w:t xml:space="preserve">、来源清晰较具体、验收方案较全面，质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量及安全保证措施各环节基本合理、完善，基本符合采购需求，得</w:t>
            </w:r>
            <w:r>
              <w:rPr>
                <w:rStyle w:val="38"/>
                <w:rFonts w:hint="default" w:ascii="宋体" w:hAnsi="宋体"/>
                <w:szCs w:val="21"/>
                <w:lang w:val="en-US" w:eastAsia="zh-CN"/>
              </w:rPr>
              <w:t>3</w:t>
            </w:r>
            <w:r>
              <w:rPr>
                <w:rStyle w:val="38"/>
                <w:rFonts w:hint="eastAsia" w:ascii="宋体" w:hAnsi="宋体"/>
                <w:szCs w:val="21"/>
                <w:lang w:val="en-US" w:eastAsia="zh-CN"/>
              </w:rPr>
              <w:t xml:space="preserve">分； </w:t>
            </w:r>
            <w:r>
              <w:rPr>
                <w:rStyle w:val="38"/>
                <w:rFonts w:hint="default" w:ascii="宋体" w:hAnsi="宋体"/>
                <w:szCs w:val="21"/>
                <w:lang w:val="en-US" w:eastAsia="zh-CN"/>
              </w:rPr>
              <w:t xml:space="preserve">3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、有提供质量及安全保证措施，但来源不够清晰、验收方案不够全面，质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量及安全保证各环节措施不够具体、完善，得</w:t>
            </w:r>
            <w:r>
              <w:rPr>
                <w:rStyle w:val="38"/>
                <w:rFonts w:hint="default" w:ascii="宋体" w:hAnsi="宋体"/>
                <w:szCs w:val="21"/>
                <w:lang w:val="en-US" w:eastAsia="zh-CN"/>
              </w:rPr>
              <w:t>1</w:t>
            </w:r>
            <w:r>
              <w:rPr>
                <w:rStyle w:val="38"/>
                <w:rFonts w:hint="eastAsia" w:ascii="宋体" w:hAnsi="宋体"/>
                <w:szCs w:val="21"/>
                <w:lang w:val="en-US" w:eastAsia="zh-CN"/>
              </w:rPr>
              <w:t xml:space="preserve">分； </w:t>
            </w:r>
            <w:r>
              <w:rPr>
                <w:rStyle w:val="38"/>
                <w:rFonts w:hint="default" w:ascii="宋体" w:hAnsi="宋体"/>
                <w:szCs w:val="21"/>
                <w:lang w:val="en-US" w:eastAsia="zh-CN"/>
              </w:rPr>
              <w:t>4</w:t>
            </w:r>
            <w:r>
              <w:rPr>
                <w:rStyle w:val="38"/>
                <w:rFonts w:hint="eastAsia" w:ascii="宋体" w:hAnsi="宋体"/>
                <w:szCs w:val="21"/>
                <w:lang w:val="en-US" w:eastAsia="zh-CN"/>
              </w:rPr>
              <w:t xml:space="preserve">、未提供质量及安全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保证措施，或未提供投标产品来源，不得分。 （主要根据投标产品的来源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、加工、储存、运输、验收各环节的质量保证及食品安全措施进行评价）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left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配送服务方案 </w:t>
            </w:r>
            <w:r>
              <w:rPr>
                <w:rStyle w:val="38"/>
                <w:rFonts w:ascii="宋体" w:hAnsi="宋体"/>
                <w:szCs w:val="21"/>
                <w:lang w:val="en-US" w:eastAsia="zh-CN"/>
              </w:rPr>
              <w:t>(3.0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1</w:t>
            </w:r>
            <w:r>
              <w:rPr>
                <w:rStyle w:val="38"/>
                <w:rFonts w:hint="eastAsia" w:ascii="宋体" w:hAnsi="宋体"/>
                <w:szCs w:val="21"/>
                <w:lang w:val="en-US" w:eastAsia="zh-CN"/>
              </w:rPr>
              <w:t>、投标人对本项目的配送服务方案全面、科学、合理、针对性强，得</w:t>
            </w:r>
            <w:r>
              <w:rPr>
                <w:rStyle w:val="38"/>
                <w:rFonts w:hint="default" w:ascii="宋体" w:hAnsi="宋体"/>
                <w:szCs w:val="21"/>
                <w:lang w:val="en-US" w:eastAsia="zh-CN"/>
              </w:rPr>
              <w:t>3</w:t>
            </w:r>
            <w:r>
              <w:rPr>
                <w:rStyle w:val="38"/>
                <w:rFonts w:hint="eastAsia" w:ascii="宋体" w:hAnsi="宋体"/>
                <w:szCs w:val="21"/>
                <w:lang w:val="en-US" w:eastAsia="zh-CN"/>
              </w:rPr>
              <w:t xml:space="preserve">分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 </w:t>
            </w:r>
            <w:r>
              <w:rPr>
                <w:rStyle w:val="38"/>
                <w:rFonts w:hint="default" w:ascii="宋体" w:hAnsi="宋体"/>
                <w:szCs w:val="21"/>
                <w:lang w:val="en-US" w:eastAsia="zh-CN"/>
              </w:rPr>
              <w:t>2</w:t>
            </w:r>
            <w:r>
              <w:rPr>
                <w:rStyle w:val="38"/>
                <w:rFonts w:hint="eastAsia" w:ascii="宋体" w:hAnsi="宋体"/>
                <w:szCs w:val="21"/>
                <w:lang w:val="en-US" w:eastAsia="zh-CN"/>
              </w:rPr>
              <w:t xml:space="preserve">、投标人对本项目的配送服务方案基本全面、科学、合理，针对性一般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，得</w:t>
            </w:r>
            <w:r>
              <w:rPr>
                <w:rStyle w:val="38"/>
                <w:rFonts w:hint="default" w:ascii="宋体" w:hAnsi="宋体"/>
                <w:szCs w:val="21"/>
                <w:lang w:val="en-US" w:eastAsia="zh-CN"/>
              </w:rPr>
              <w:t>2</w:t>
            </w:r>
            <w:r>
              <w:rPr>
                <w:rStyle w:val="38"/>
                <w:rFonts w:hint="eastAsia" w:ascii="宋体" w:hAnsi="宋体"/>
                <w:szCs w:val="21"/>
                <w:lang w:val="en-US" w:eastAsia="zh-CN"/>
              </w:rPr>
              <w:t xml:space="preserve">分； </w:t>
            </w:r>
            <w:r>
              <w:rPr>
                <w:rStyle w:val="38"/>
                <w:rFonts w:hint="default" w:ascii="宋体" w:hAnsi="宋体"/>
                <w:szCs w:val="21"/>
                <w:lang w:val="en-US" w:eastAsia="zh-CN"/>
              </w:rPr>
              <w:t>3</w:t>
            </w:r>
            <w:r>
              <w:rPr>
                <w:rStyle w:val="38"/>
                <w:rFonts w:hint="eastAsia" w:ascii="宋体" w:hAnsi="宋体"/>
                <w:szCs w:val="21"/>
                <w:lang w:val="en-US" w:eastAsia="zh-CN"/>
              </w:rPr>
              <w:t xml:space="preserve">、投标人对本项目的配送服务方案不够全面、科学、合理，针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对性不强，得</w:t>
            </w:r>
            <w:r>
              <w:rPr>
                <w:rStyle w:val="38"/>
                <w:rFonts w:hint="default" w:ascii="宋体" w:hAnsi="宋体"/>
                <w:szCs w:val="21"/>
                <w:lang w:val="en-US" w:eastAsia="zh-CN"/>
              </w:rPr>
              <w:t>1</w:t>
            </w:r>
            <w:r>
              <w:rPr>
                <w:rStyle w:val="38"/>
                <w:rFonts w:hint="eastAsia" w:ascii="宋体" w:hAnsi="宋体"/>
                <w:szCs w:val="21"/>
                <w:lang w:val="en-US" w:eastAsia="zh-CN"/>
              </w:rPr>
              <w:t xml:space="preserve">分； </w:t>
            </w:r>
            <w:r>
              <w:rPr>
                <w:rStyle w:val="38"/>
                <w:rFonts w:hint="default" w:ascii="宋体" w:hAnsi="宋体"/>
                <w:szCs w:val="21"/>
                <w:lang w:val="en-US" w:eastAsia="zh-CN"/>
              </w:rPr>
              <w:t>4</w:t>
            </w:r>
            <w:r>
              <w:rPr>
                <w:rStyle w:val="38"/>
                <w:rFonts w:hint="eastAsia" w:ascii="宋体" w:hAnsi="宋体"/>
                <w:szCs w:val="21"/>
                <w:lang w:val="en-US" w:eastAsia="zh-CN"/>
              </w:rPr>
              <w:t>、没有项目配送服务方案不得分。 （主要根据食品包 装、运输、装卸、派发及善后处理等安排计划、专人服务，专人跟踪等进行评价）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应急响应 </w:t>
            </w:r>
            <w:r>
              <w:rPr>
                <w:rStyle w:val="38"/>
                <w:rFonts w:ascii="宋体" w:hAnsi="宋体"/>
                <w:szCs w:val="21"/>
                <w:lang w:val="en-US" w:eastAsia="zh-CN"/>
              </w:rPr>
              <w:t>(3.0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1</w:t>
            </w:r>
            <w:r>
              <w:rPr>
                <w:rStyle w:val="38"/>
                <w:rFonts w:hint="eastAsia" w:ascii="宋体" w:hAnsi="宋体"/>
                <w:szCs w:val="21"/>
                <w:lang w:val="en-US" w:eastAsia="zh-CN"/>
              </w:rPr>
              <w:t>、承诺采购人需应急供应时，在</w:t>
            </w:r>
            <w:r>
              <w:rPr>
                <w:rStyle w:val="38"/>
                <w:rFonts w:hint="default" w:ascii="宋体" w:hAnsi="宋体"/>
                <w:szCs w:val="21"/>
                <w:lang w:val="en-US" w:eastAsia="zh-CN"/>
              </w:rPr>
              <w:t>2</w:t>
            </w:r>
            <w:r>
              <w:rPr>
                <w:rStyle w:val="38"/>
                <w:rFonts w:hint="eastAsia" w:ascii="宋体" w:hAnsi="宋体"/>
                <w:szCs w:val="21"/>
                <w:lang w:val="en-US" w:eastAsia="zh-CN"/>
              </w:rPr>
              <w:t xml:space="preserve">小时（含）内将货物送达采购人配送地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点，得</w:t>
            </w:r>
            <w:r>
              <w:rPr>
                <w:rStyle w:val="38"/>
                <w:rFonts w:hint="default" w:ascii="宋体" w:hAnsi="宋体"/>
                <w:szCs w:val="21"/>
                <w:lang w:val="en-US" w:eastAsia="zh-CN"/>
              </w:rPr>
              <w:t>3</w:t>
            </w:r>
            <w:r>
              <w:rPr>
                <w:rStyle w:val="38"/>
                <w:rFonts w:hint="eastAsia" w:ascii="宋体" w:hAnsi="宋体"/>
                <w:szCs w:val="21"/>
                <w:lang w:val="en-US" w:eastAsia="zh-CN"/>
              </w:rPr>
              <w:t xml:space="preserve">分； </w:t>
            </w:r>
            <w:r>
              <w:rPr>
                <w:rStyle w:val="38"/>
                <w:rFonts w:hint="default" w:ascii="宋体" w:hAnsi="宋体"/>
                <w:szCs w:val="21"/>
                <w:lang w:val="en-US" w:eastAsia="zh-CN"/>
              </w:rPr>
              <w:t>2</w:t>
            </w:r>
            <w:r>
              <w:rPr>
                <w:rStyle w:val="38"/>
                <w:rFonts w:hint="eastAsia" w:ascii="宋体" w:hAnsi="宋体"/>
                <w:szCs w:val="21"/>
                <w:lang w:val="en-US" w:eastAsia="zh-CN"/>
              </w:rPr>
              <w:t>、承诺采购人需应急供应时，在</w:t>
            </w:r>
            <w:r>
              <w:rPr>
                <w:rStyle w:val="38"/>
                <w:rFonts w:hint="default" w:ascii="宋体" w:hAnsi="宋体"/>
                <w:szCs w:val="21"/>
                <w:lang w:val="en-US" w:eastAsia="zh-CN"/>
              </w:rPr>
              <w:t>2</w:t>
            </w:r>
            <w:r>
              <w:rPr>
                <w:rStyle w:val="38"/>
                <w:rFonts w:hint="eastAsia" w:ascii="宋体" w:hAnsi="宋体"/>
                <w:szCs w:val="21"/>
                <w:lang w:val="en-US" w:eastAsia="zh-CN"/>
              </w:rPr>
              <w:t>小时（不含）</w:t>
            </w:r>
            <w:r>
              <w:rPr>
                <w:rStyle w:val="38"/>
                <w:rFonts w:hint="default" w:ascii="宋体" w:hAnsi="宋体"/>
                <w:szCs w:val="21"/>
                <w:lang w:val="en-US" w:eastAsia="zh-CN"/>
              </w:rPr>
              <w:t>-3</w:t>
            </w:r>
            <w:r>
              <w:rPr>
                <w:rStyle w:val="38"/>
                <w:rFonts w:hint="eastAsia" w:ascii="宋体" w:hAnsi="宋体"/>
                <w:szCs w:val="21"/>
                <w:lang w:val="en-US" w:eastAsia="zh-CN"/>
              </w:rPr>
              <w:t xml:space="preserve">小时（含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）内将货物送达采购人配送地点，得</w:t>
            </w:r>
            <w:r>
              <w:rPr>
                <w:rStyle w:val="38"/>
                <w:rFonts w:hint="default" w:ascii="宋体" w:hAnsi="宋体"/>
                <w:szCs w:val="21"/>
                <w:lang w:val="en-US" w:eastAsia="zh-CN"/>
              </w:rPr>
              <w:t>2</w:t>
            </w:r>
            <w:r>
              <w:rPr>
                <w:rStyle w:val="38"/>
                <w:rFonts w:hint="eastAsia" w:ascii="宋体" w:hAnsi="宋体"/>
                <w:szCs w:val="21"/>
                <w:lang w:val="en-US" w:eastAsia="zh-CN"/>
              </w:rPr>
              <w:t xml:space="preserve">分； </w:t>
            </w:r>
            <w:r>
              <w:rPr>
                <w:rStyle w:val="38"/>
                <w:rFonts w:hint="default" w:ascii="宋体" w:hAnsi="宋体"/>
                <w:szCs w:val="21"/>
                <w:lang w:val="en-US" w:eastAsia="zh-CN"/>
              </w:rPr>
              <w:t>3</w:t>
            </w:r>
            <w:r>
              <w:rPr>
                <w:rStyle w:val="38"/>
                <w:rFonts w:hint="eastAsia" w:ascii="宋体" w:hAnsi="宋体"/>
                <w:szCs w:val="21"/>
                <w:lang w:val="en-US" w:eastAsia="zh-CN"/>
              </w:rPr>
              <w:t xml:space="preserve">、承诺采购人需应急供应时，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在</w:t>
            </w:r>
            <w:r>
              <w:rPr>
                <w:rStyle w:val="38"/>
                <w:rFonts w:hint="default" w:ascii="宋体" w:hAnsi="宋体"/>
                <w:szCs w:val="21"/>
                <w:lang w:val="en-US" w:eastAsia="zh-CN"/>
              </w:rPr>
              <w:t>3</w:t>
            </w:r>
            <w:r>
              <w:rPr>
                <w:rStyle w:val="38"/>
                <w:rFonts w:hint="eastAsia" w:ascii="宋体" w:hAnsi="宋体"/>
                <w:szCs w:val="21"/>
                <w:lang w:val="en-US" w:eastAsia="zh-CN"/>
              </w:rPr>
              <w:t>小时（不含）</w:t>
            </w:r>
            <w:r>
              <w:rPr>
                <w:rStyle w:val="38"/>
                <w:rFonts w:hint="default" w:ascii="宋体" w:hAnsi="宋体"/>
                <w:szCs w:val="21"/>
                <w:lang w:val="en-US" w:eastAsia="zh-CN"/>
              </w:rPr>
              <w:t>-4</w:t>
            </w:r>
            <w:r>
              <w:rPr>
                <w:rStyle w:val="38"/>
                <w:rFonts w:hint="eastAsia" w:ascii="宋体" w:hAnsi="宋体"/>
                <w:szCs w:val="21"/>
                <w:lang w:val="en-US" w:eastAsia="zh-CN"/>
              </w:rPr>
              <w:t>小时（含）内将货物送达采购人配送地点，得</w:t>
            </w:r>
            <w:r>
              <w:rPr>
                <w:rStyle w:val="38"/>
                <w:rFonts w:hint="default" w:ascii="宋体" w:hAnsi="宋体"/>
                <w:szCs w:val="21"/>
                <w:lang w:val="en-US" w:eastAsia="zh-CN"/>
              </w:rPr>
              <w:t>1</w:t>
            </w:r>
            <w:r>
              <w:rPr>
                <w:rStyle w:val="38"/>
                <w:rFonts w:hint="eastAsia" w:ascii="宋体" w:hAnsi="宋体"/>
                <w:szCs w:val="21"/>
                <w:lang w:val="en-US" w:eastAsia="zh-CN"/>
              </w:rPr>
              <w:t xml:space="preserve">分； </w:t>
            </w:r>
            <w:r>
              <w:rPr>
                <w:rStyle w:val="38"/>
                <w:rFonts w:hint="default" w:ascii="宋体" w:hAnsi="宋体"/>
                <w:szCs w:val="21"/>
                <w:lang w:val="en-US" w:eastAsia="zh-CN"/>
              </w:rPr>
              <w:t xml:space="preserve">4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、承诺采购人需应急供应时，送达时间大于</w:t>
            </w:r>
            <w:r>
              <w:rPr>
                <w:rStyle w:val="38"/>
                <w:rFonts w:hint="default" w:ascii="宋体" w:hAnsi="宋体"/>
                <w:szCs w:val="21"/>
                <w:lang w:val="en-US" w:eastAsia="zh-CN"/>
              </w:rPr>
              <w:t>4</w:t>
            </w:r>
            <w:r>
              <w:rPr>
                <w:rStyle w:val="38"/>
                <w:rFonts w:hint="eastAsia" w:ascii="宋体" w:hAnsi="宋体"/>
                <w:szCs w:val="21"/>
                <w:lang w:val="en-US" w:eastAsia="zh-CN"/>
              </w:rPr>
              <w:t xml:space="preserve">小时，或未承诺应急供应送达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时间，不得分。 （须提供承诺函，格式自定）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restar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rPr>
              <w:t>商务分</w:t>
            </w:r>
          </w:p>
          <w:p>
            <w:pPr>
              <w:spacing w:line="360" w:lineRule="auto"/>
              <w:jc w:val="left"/>
              <w:textAlignment w:val="baseline"/>
              <w:rPr>
                <w:rStyle w:val="38"/>
                <w:rFonts w:ascii="宋体" w:hAnsi="宋体"/>
                <w:szCs w:val="21"/>
              </w:rPr>
            </w:pPr>
            <w:r>
              <w:rPr>
                <w:rStyle w:val="38"/>
                <w:rFonts w:ascii="宋体" w:hAnsi="宋体"/>
                <w:szCs w:val="21"/>
              </w:rPr>
              <w:t>(满分</w:t>
            </w:r>
            <w:r>
              <w:rPr>
                <w:rStyle w:val="38"/>
                <w:rFonts w:hint="eastAsia" w:ascii="宋体" w:hAnsi="宋体"/>
                <w:szCs w:val="21"/>
                <w:lang w:val="en-US"/>
              </w:rPr>
              <w:t>27</w:t>
            </w:r>
            <w:r>
              <w:rPr>
                <w:rStyle w:val="38"/>
                <w:rFonts w:ascii="宋体" w:hAnsi="宋体"/>
                <w:szCs w:val="21"/>
              </w:rPr>
              <w:t>分)</w:t>
            </w: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同类项目业绩 </w:t>
            </w:r>
            <w:r>
              <w:rPr>
                <w:rStyle w:val="38"/>
                <w:rFonts w:ascii="宋体" w:hAnsi="宋体"/>
                <w:szCs w:val="21"/>
                <w:lang w:val="en-US" w:eastAsia="zh-CN"/>
              </w:rPr>
              <w:t>(6.0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投标人提供</w:t>
            </w:r>
            <w:r>
              <w:rPr>
                <w:rStyle w:val="38"/>
                <w:rFonts w:ascii="宋体" w:hAnsi="宋体"/>
                <w:szCs w:val="21"/>
                <w:lang w:val="en-US" w:eastAsia="zh-CN"/>
              </w:rPr>
              <w:t>2017</w:t>
            </w:r>
            <w:r>
              <w:rPr>
                <w:rStyle w:val="38"/>
                <w:rFonts w:hint="eastAsia" w:ascii="宋体" w:hAnsi="宋体"/>
                <w:szCs w:val="21"/>
                <w:lang w:val="en-US" w:eastAsia="zh-CN"/>
              </w:rPr>
              <w:t xml:space="preserve">年至今（以合同签订时间为准）已完成副食品项目业绩，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每提供一项同类业绩得</w:t>
            </w:r>
            <w:r>
              <w:rPr>
                <w:rStyle w:val="38"/>
                <w:rFonts w:hint="default" w:ascii="宋体" w:hAnsi="宋体"/>
                <w:szCs w:val="21"/>
                <w:lang w:val="en-US" w:eastAsia="zh-CN"/>
              </w:rPr>
              <w:t>1</w:t>
            </w:r>
            <w:r>
              <w:rPr>
                <w:rStyle w:val="38"/>
                <w:rFonts w:hint="eastAsia" w:ascii="宋体" w:hAnsi="宋体"/>
                <w:szCs w:val="21"/>
                <w:lang w:val="en-US" w:eastAsia="zh-CN"/>
              </w:rPr>
              <w:t>分，最高</w:t>
            </w:r>
            <w:r>
              <w:rPr>
                <w:rStyle w:val="38"/>
                <w:rFonts w:hint="default" w:ascii="宋体" w:hAnsi="宋体"/>
                <w:szCs w:val="21"/>
                <w:lang w:val="en-US" w:eastAsia="zh-CN"/>
              </w:rPr>
              <w:t>6</w:t>
            </w:r>
            <w:r>
              <w:rPr>
                <w:rStyle w:val="38"/>
                <w:rFonts w:hint="eastAsia" w:ascii="宋体" w:hAnsi="宋体"/>
                <w:szCs w:val="21"/>
                <w:lang w:val="en-US" w:eastAsia="zh-CN"/>
              </w:rPr>
              <w:t xml:space="preserve">分。 属于国家机关、事业单位和团体组织业绩：提供中标公告（须提供系统查询截图和查询网址）或中标通知书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复印件或成交通知书复印件、合同关键页复印件、验收报告复印件、最后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一次供货发票复印件及税务部门网站查询的相关发票信息截图； 属于同类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其他业绩：提供购买方工商登记信息（须提供系统查询截图和查询网址）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、合同关键页复印件、验收报告复印件、最后一次供货发票复印件及税务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部门网站查询的相关发票信息截图。 （注：合同关键页应包括封面页、服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务内容页、双方签字盖章页）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682" w:type="pct"/>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运输能力 </w:t>
            </w:r>
            <w:r>
              <w:rPr>
                <w:rStyle w:val="38"/>
                <w:rFonts w:ascii="宋体" w:hAnsi="宋体"/>
                <w:szCs w:val="21"/>
                <w:lang w:val="en-US" w:eastAsia="zh-CN"/>
              </w:rPr>
              <w:t>(6.0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1</w:t>
            </w:r>
            <w:r>
              <w:rPr>
                <w:rStyle w:val="38"/>
                <w:rFonts w:hint="eastAsia" w:ascii="宋体" w:hAnsi="宋体"/>
                <w:szCs w:val="21"/>
                <w:lang w:val="en-US" w:eastAsia="zh-CN"/>
              </w:rPr>
              <w:t>、投标人自有或租赁运输车辆</w:t>
            </w:r>
            <w:r>
              <w:rPr>
                <w:rStyle w:val="38"/>
                <w:rFonts w:hint="default" w:ascii="宋体" w:hAnsi="宋体"/>
                <w:szCs w:val="21"/>
                <w:lang w:val="en-US" w:eastAsia="zh-CN"/>
              </w:rPr>
              <w:t>6</w:t>
            </w:r>
            <w:r>
              <w:rPr>
                <w:rStyle w:val="38"/>
                <w:rFonts w:hint="eastAsia" w:ascii="宋体" w:hAnsi="宋体"/>
                <w:szCs w:val="21"/>
                <w:lang w:val="en-US" w:eastAsia="zh-CN"/>
              </w:rPr>
              <w:t>辆（含）以上，且总运输能力大于</w:t>
            </w:r>
            <w:r>
              <w:rPr>
                <w:rStyle w:val="38"/>
                <w:rFonts w:hint="default" w:ascii="宋体" w:hAnsi="宋体"/>
                <w:szCs w:val="21"/>
                <w:lang w:val="en-US" w:eastAsia="zh-CN"/>
              </w:rPr>
              <w:t>30</w:t>
            </w:r>
            <w:r>
              <w:rPr>
                <w:rStyle w:val="38"/>
                <w:rFonts w:hint="eastAsia" w:ascii="宋体" w:hAnsi="宋体"/>
                <w:szCs w:val="21"/>
                <w:lang w:val="en-US" w:eastAsia="zh-CN"/>
              </w:rPr>
              <w:t xml:space="preserve">吨（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含）的，得</w:t>
            </w:r>
            <w:r>
              <w:rPr>
                <w:rStyle w:val="38"/>
                <w:rFonts w:hint="default" w:ascii="宋体" w:hAnsi="宋体"/>
                <w:szCs w:val="21"/>
                <w:lang w:val="en-US" w:eastAsia="zh-CN"/>
              </w:rPr>
              <w:t>6</w:t>
            </w:r>
            <w:r>
              <w:rPr>
                <w:rStyle w:val="38"/>
                <w:rFonts w:hint="eastAsia" w:ascii="宋体" w:hAnsi="宋体"/>
                <w:szCs w:val="21"/>
                <w:lang w:val="en-US" w:eastAsia="zh-CN"/>
              </w:rPr>
              <w:t xml:space="preserve">分； </w:t>
            </w:r>
            <w:r>
              <w:rPr>
                <w:rStyle w:val="38"/>
                <w:rFonts w:hint="default" w:ascii="宋体" w:hAnsi="宋体"/>
                <w:szCs w:val="21"/>
                <w:lang w:val="en-US" w:eastAsia="zh-CN"/>
              </w:rPr>
              <w:t>2</w:t>
            </w:r>
            <w:r>
              <w:rPr>
                <w:rStyle w:val="38"/>
                <w:rFonts w:hint="eastAsia" w:ascii="宋体" w:hAnsi="宋体"/>
                <w:szCs w:val="21"/>
                <w:lang w:val="en-US" w:eastAsia="zh-CN"/>
              </w:rPr>
              <w:t>、投标人自有或租赁运输车辆</w:t>
            </w:r>
            <w:r>
              <w:rPr>
                <w:rStyle w:val="38"/>
                <w:rFonts w:hint="default" w:ascii="宋体" w:hAnsi="宋体"/>
                <w:szCs w:val="21"/>
                <w:lang w:val="en-US" w:eastAsia="zh-CN"/>
              </w:rPr>
              <w:t>3</w:t>
            </w:r>
            <w:r>
              <w:rPr>
                <w:rStyle w:val="38"/>
                <w:rFonts w:hint="eastAsia" w:ascii="宋体" w:hAnsi="宋体"/>
                <w:szCs w:val="21"/>
                <w:lang w:val="en-US" w:eastAsia="zh-CN"/>
              </w:rPr>
              <w:t xml:space="preserve">辆（含）以上，且总运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输能力大于</w:t>
            </w:r>
            <w:r>
              <w:rPr>
                <w:rStyle w:val="38"/>
                <w:rFonts w:hint="default" w:ascii="宋体" w:hAnsi="宋体"/>
                <w:szCs w:val="21"/>
                <w:lang w:val="en-US" w:eastAsia="zh-CN"/>
              </w:rPr>
              <w:t>15</w:t>
            </w:r>
            <w:r>
              <w:rPr>
                <w:rStyle w:val="38"/>
                <w:rFonts w:hint="eastAsia" w:ascii="宋体" w:hAnsi="宋体"/>
                <w:szCs w:val="21"/>
                <w:lang w:val="en-US" w:eastAsia="zh-CN"/>
              </w:rPr>
              <w:t>吨（含）的，得</w:t>
            </w:r>
            <w:r>
              <w:rPr>
                <w:rStyle w:val="38"/>
                <w:rFonts w:hint="default" w:ascii="宋体" w:hAnsi="宋体"/>
                <w:szCs w:val="21"/>
                <w:lang w:val="en-US" w:eastAsia="zh-CN"/>
              </w:rPr>
              <w:t>4</w:t>
            </w:r>
            <w:r>
              <w:rPr>
                <w:rStyle w:val="38"/>
                <w:rFonts w:hint="eastAsia" w:ascii="宋体" w:hAnsi="宋体"/>
                <w:szCs w:val="21"/>
                <w:lang w:val="en-US" w:eastAsia="zh-CN"/>
              </w:rPr>
              <w:t xml:space="preserve">分； </w:t>
            </w:r>
            <w:r>
              <w:rPr>
                <w:rStyle w:val="38"/>
                <w:rFonts w:hint="default" w:ascii="宋体" w:hAnsi="宋体"/>
                <w:szCs w:val="21"/>
                <w:lang w:val="en-US" w:eastAsia="zh-CN"/>
              </w:rPr>
              <w:t>3</w:t>
            </w:r>
            <w:r>
              <w:rPr>
                <w:rStyle w:val="38"/>
                <w:rFonts w:hint="eastAsia" w:ascii="宋体" w:hAnsi="宋体"/>
                <w:szCs w:val="21"/>
                <w:lang w:val="en-US" w:eastAsia="zh-CN"/>
              </w:rPr>
              <w:t>、投标人自有或租赁运输车辆</w:t>
            </w:r>
            <w:r>
              <w:rPr>
                <w:rStyle w:val="38"/>
                <w:rFonts w:hint="default" w:ascii="宋体" w:hAnsi="宋体"/>
                <w:szCs w:val="21"/>
                <w:lang w:val="en-US" w:eastAsia="zh-CN"/>
              </w:rPr>
              <w:t>1</w:t>
            </w:r>
            <w:r>
              <w:rPr>
                <w:rStyle w:val="38"/>
                <w:rFonts w:hint="eastAsia" w:ascii="宋体" w:hAnsi="宋体"/>
                <w:szCs w:val="21"/>
                <w:lang w:val="en-US" w:eastAsia="zh-CN"/>
              </w:rPr>
              <w:t>辆（ 含）以上，且总运输能力大于</w:t>
            </w:r>
            <w:r>
              <w:rPr>
                <w:rStyle w:val="38"/>
                <w:rFonts w:hint="default" w:ascii="宋体" w:hAnsi="宋体"/>
                <w:szCs w:val="21"/>
                <w:lang w:val="en-US" w:eastAsia="zh-CN"/>
              </w:rPr>
              <w:t>5</w:t>
            </w:r>
            <w:r>
              <w:rPr>
                <w:rStyle w:val="38"/>
                <w:rFonts w:hint="eastAsia" w:ascii="宋体" w:hAnsi="宋体"/>
                <w:szCs w:val="21"/>
                <w:lang w:val="en-US" w:eastAsia="zh-CN"/>
              </w:rPr>
              <w:t>吨（含）的，得</w:t>
            </w:r>
            <w:r>
              <w:rPr>
                <w:rStyle w:val="38"/>
                <w:rFonts w:hint="default" w:ascii="宋体" w:hAnsi="宋体"/>
                <w:szCs w:val="21"/>
                <w:lang w:val="en-US" w:eastAsia="zh-CN"/>
              </w:rPr>
              <w:t>1</w:t>
            </w:r>
            <w:r>
              <w:rPr>
                <w:rStyle w:val="38"/>
                <w:rFonts w:hint="eastAsia" w:ascii="宋体" w:hAnsi="宋体"/>
                <w:szCs w:val="21"/>
                <w:lang w:val="en-US" w:eastAsia="zh-CN"/>
              </w:rPr>
              <w:t xml:space="preserve">分； </w:t>
            </w:r>
            <w:r>
              <w:rPr>
                <w:rStyle w:val="38"/>
                <w:rFonts w:hint="default" w:ascii="宋体" w:hAnsi="宋体"/>
                <w:szCs w:val="21"/>
                <w:lang w:val="en-US" w:eastAsia="zh-CN"/>
              </w:rPr>
              <w:t>4</w:t>
            </w:r>
            <w:r>
              <w:rPr>
                <w:rStyle w:val="38"/>
                <w:rFonts w:hint="eastAsia" w:ascii="宋体" w:hAnsi="宋体"/>
                <w:szCs w:val="21"/>
                <w:lang w:val="en-US" w:eastAsia="zh-CN"/>
              </w:rPr>
              <w:t>、无运输车辆或总 运输能力少于</w:t>
            </w:r>
            <w:r>
              <w:rPr>
                <w:rStyle w:val="38"/>
                <w:rFonts w:hint="default" w:ascii="宋体" w:hAnsi="宋体"/>
                <w:szCs w:val="21"/>
                <w:lang w:val="en-US" w:eastAsia="zh-CN"/>
              </w:rPr>
              <w:t>5</w:t>
            </w:r>
            <w:r>
              <w:rPr>
                <w:rStyle w:val="38"/>
                <w:rFonts w:hint="eastAsia" w:ascii="宋体" w:hAnsi="宋体"/>
                <w:szCs w:val="21"/>
                <w:lang w:val="en-US" w:eastAsia="zh-CN"/>
              </w:rPr>
              <w:t>吨，或未按要求提供证明材料的，不得分。 以最高档次得分 ，不重复得分。 （投标人自有车辆：提供有效的机动车行驶证复印件，车 辆应为投标人所有；投标人租赁车辆：提供有效的车辆租赁协议复印件、《机动车行驶证》复印件）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企业信誉 </w:t>
            </w:r>
            <w:r>
              <w:rPr>
                <w:rStyle w:val="38"/>
                <w:rFonts w:ascii="宋体" w:hAnsi="宋体"/>
                <w:szCs w:val="21"/>
                <w:lang w:val="en-US" w:eastAsia="zh-CN"/>
              </w:rPr>
              <w:t>(3.0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2017</w:t>
            </w:r>
            <w:r>
              <w:rPr>
                <w:rStyle w:val="38"/>
                <w:rFonts w:hint="eastAsia" w:ascii="宋体" w:hAnsi="宋体"/>
                <w:szCs w:val="21"/>
                <w:lang w:val="en-US" w:eastAsia="zh-CN"/>
              </w:rPr>
              <w:t>年（以落款日期为准）以来，具有税务机关颁发的纳税信用</w:t>
            </w:r>
            <w:r>
              <w:rPr>
                <w:rStyle w:val="38"/>
                <w:rFonts w:hint="default" w:ascii="宋体" w:hAnsi="宋体"/>
                <w:szCs w:val="21"/>
                <w:lang w:val="en-US" w:eastAsia="zh-CN"/>
              </w:rPr>
              <w:t>A</w:t>
            </w:r>
            <w:r>
              <w:rPr>
                <w:rStyle w:val="38"/>
                <w:rFonts w:hint="eastAsia" w:ascii="宋体" w:hAnsi="宋体"/>
                <w:szCs w:val="21"/>
                <w:lang w:val="en-US" w:eastAsia="zh-CN"/>
              </w:rPr>
              <w:t>、</w:t>
            </w:r>
            <w:r>
              <w:rPr>
                <w:rStyle w:val="38"/>
                <w:rFonts w:hint="default" w:ascii="宋体" w:hAnsi="宋体"/>
                <w:szCs w:val="21"/>
                <w:lang w:val="en-US" w:eastAsia="zh-CN"/>
              </w:rPr>
              <w:t>B</w:t>
            </w:r>
            <w:r>
              <w:rPr>
                <w:rStyle w:val="38"/>
                <w:rFonts w:hint="eastAsia" w:ascii="宋体" w:hAnsi="宋体"/>
                <w:szCs w:val="21"/>
                <w:lang w:val="en-US" w:eastAsia="zh-CN"/>
              </w:rPr>
              <w:t>、</w:t>
            </w:r>
            <w:r>
              <w:rPr>
                <w:rStyle w:val="38"/>
                <w:rFonts w:hint="default" w:ascii="宋体" w:hAnsi="宋体"/>
                <w:szCs w:val="21"/>
                <w:lang w:val="en-US" w:eastAsia="zh-CN"/>
              </w:rPr>
              <w:t xml:space="preserve">M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等级称号： </w:t>
            </w:r>
            <w:r>
              <w:rPr>
                <w:rStyle w:val="38"/>
                <w:rFonts w:hint="default" w:ascii="宋体" w:hAnsi="宋体"/>
                <w:szCs w:val="21"/>
                <w:lang w:val="en-US" w:eastAsia="zh-CN"/>
              </w:rPr>
              <w:t>1</w:t>
            </w:r>
            <w:r>
              <w:rPr>
                <w:rStyle w:val="38"/>
                <w:rFonts w:hint="eastAsia" w:ascii="宋体" w:hAnsi="宋体"/>
                <w:szCs w:val="21"/>
                <w:lang w:val="en-US" w:eastAsia="zh-CN"/>
              </w:rPr>
              <w:t>、</w:t>
            </w:r>
            <w:r>
              <w:rPr>
                <w:rStyle w:val="38"/>
                <w:rFonts w:hint="default" w:ascii="宋体" w:hAnsi="宋体"/>
                <w:szCs w:val="21"/>
                <w:lang w:val="en-US" w:eastAsia="zh-CN"/>
              </w:rPr>
              <w:t>A</w:t>
            </w:r>
            <w:r>
              <w:rPr>
                <w:rStyle w:val="38"/>
                <w:rFonts w:hint="eastAsia" w:ascii="宋体" w:hAnsi="宋体"/>
                <w:szCs w:val="21"/>
                <w:lang w:val="en-US" w:eastAsia="zh-CN"/>
              </w:rPr>
              <w:t>级的得</w:t>
            </w:r>
            <w:r>
              <w:rPr>
                <w:rStyle w:val="38"/>
                <w:rFonts w:hint="default" w:ascii="宋体" w:hAnsi="宋体"/>
                <w:szCs w:val="21"/>
                <w:lang w:val="en-US" w:eastAsia="zh-CN"/>
              </w:rPr>
              <w:t>3</w:t>
            </w:r>
            <w:r>
              <w:rPr>
                <w:rStyle w:val="38"/>
                <w:rFonts w:hint="eastAsia" w:ascii="宋体" w:hAnsi="宋体"/>
                <w:szCs w:val="21"/>
                <w:lang w:val="en-US" w:eastAsia="zh-CN"/>
              </w:rPr>
              <w:t xml:space="preserve">分； </w:t>
            </w:r>
            <w:r>
              <w:rPr>
                <w:rStyle w:val="38"/>
                <w:rFonts w:hint="default" w:ascii="宋体" w:hAnsi="宋体"/>
                <w:szCs w:val="21"/>
                <w:lang w:val="en-US" w:eastAsia="zh-CN"/>
              </w:rPr>
              <w:t>2</w:t>
            </w:r>
            <w:r>
              <w:rPr>
                <w:rStyle w:val="38"/>
                <w:rFonts w:hint="eastAsia" w:ascii="宋体" w:hAnsi="宋体"/>
                <w:szCs w:val="21"/>
                <w:lang w:val="en-US" w:eastAsia="zh-CN"/>
              </w:rPr>
              <w:t>、</w:t>
            </w:r>
            <w:r>
              <w:rPr>
                <w:rStyle w:val="38"/>
                <w:rFonts w:hint="default" w:ascii="宋体" w:hAnsi="宋体"/>
                <w:szCs w:val="21"/>
                <w:lang w:val="en-US" w:eastAsia="zh-CN"/>
              </w:rPr>
              <w:t>B</w:t>
            </w:r>
            <w:r>
              <w:rPr>
                <w:rStyle w:val="38"/>
                <w:rFonts w:hint="eastAsia" w:ascii="宋体" w:hAnsi="宋体"/>
                <w:szCs w:val="21"/>
                <w:lang w:val="en-US" w:eastAsia="zh-CN"/>
              </w:rPr>
              <w:t>级的得</w:t>
            </w:r>
            <w:r>
              <w:rPr>
                <w:rStyle w:val="38"/>
                <w:rFonts w:hint="default" w:ascii="宋体" w:hAnsi="宋体"/>
                <w:szCs w:val="21"/>
                <w:lang w:val="en-US" w:eastAsia="zh-CN"/>
              </w:rPr>
              <w:t>2</w:t>
            </w:r>
            <w:r>
              <w:rPr>
                <w:rStyle w:val="38"/>
                <w:rFonts w:hint="eastAsia" w:ascii="宋体" w:hAnsi="宋体"/>
                <w:szCs w:val="21"/>
                <w:lang w:val="en-US" w:eastAsia="zh-CN"/>
              </w:rPr>
              <w:t xml:space="preserve">分； </w:t>
            </w:r>
            <w:r>
              <w:rPr>
                <w:rStyle w:val="38"/>
                <w:rFonts w:hint="default" w:ascii="宋体" w:hAnsi="宋体"/>
                <w:szCs w:val="21"/>
                <w:lang w:val="en-US" w:eastAsia="zh-CN"/>
              </w:rPr>
              <w:t>3</w:t>
            </w:r>
            <w:r>
              <w:rPr>
                <w:rStyle w:val="38"/>
                <w:rFonts w:hint="eastAsia" w:ascii="宋体" w:hAnsi="宋体"/>
                <w:szCs w:val="21"/>
                <w:lang w:val="en-US" w:eastAsia="zh-CN"/>
              </w:rPr>
              <w:t>、</w:t>
            </w:r>
            <w:r>
              <w:rPr>
                <w:rStyle w:val="38"/>
                <w:rFonts w:hint="default" w:ascii="宋体" w:hAnsi="宋体"/>
                <w:szCs w:val="21"/>
                <w:lang w:val="en-US" w:eastAsia="zh-CN"/>
              </w:rPr>
              <w:t>M</w:t>
            </w:r>
            <w:r>
              <w:rPr>
                <w:rStyle w:val="38"/>
                <w:rFonts w:hint="eastAsia" w:ascii="宋体" w:hAnsi="宋体"/>
                <w:szCs w:val="21"/>
                <w:lang w:val="en-US" w:eastAsia="zh-CN"/>
              </w:rPr>
              <w:t>级的得</w:t>
            </w:r>
            <w:r>
              <w:rPr>
                <w:rStyle w:val="38"/>
                <w:rFonts w:hint="default" w:ascii="宋体" w:hAnsi="宋体"/>
                <w:szCs w:val="21"/>
                <w:lang w:val="en-US" w:eastAsia="zh-CN"/>
              </w:rPr>
              <w:t>1</w:t>
            </w:r>
            <w:r>
              <w:rPr>
                <w:rStyle w:val="38"/>
                <w:rFonts w:hint="eastAsia" w:ascii="宋体" w:hAnsi="宋体"/>
                <w:szCs w:val="21"/>
                <w:lang w:val="en-US" w:eastAsia="zh-CN"/>
              </w:rPr>
              <w:t xml:space="preserve">分； （须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提供证书复印件或信用证明文件复印件、税务部门网站查询截图，并加盖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单位公章）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食品安全责任保险 </w:t>
            </w:r>
            <w:r>
              <w:rPr>
                <w:rStyle w:val="38"/>
                <w:rFonts w:ascii="宋体" w:hAnsi="宋体"/>
                <w:szCs w:val="21"/>
                <w:lang w:val="en-US" w:eastAsia="zh-CN"/>
              </w:rPr>
              <w:t>(6.0</w:t>
            </w:r>
            <w:r>
              <w:rPr>
                <w:rStyle w:val="38"/>
                <w:rFonts w:hint="eastAsia" w:ascii="宋体" w:hAnsi="宋体"/>
                <w:szCs w:val="21"/>
                <w:lang w:val="en-US" w:eastAsia="zh-CN"/>
              </w:rPr>
              <w:t>分</w:t>
            </w:r>
            <w:r>
              <w:rPr>
                <w:rStyle w:val="38"/>
                <w:rFonts w:hint="default" w:ascii="宋体" w:hAnsi="宋体"/>
                <w:szCs w:val="21"/>
                <w:lang w:val="en-US" w:eastAsia="zh-CN"/>
              </w:rPr>
              <w:t>)</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ascii="宋体" w:hAnsi="宋体"/>
                <w:szCs w:val="21"/>
                <w:lang w:val="en-US" w:eastAsia="zh-CN"/>
              </w:rPr>
              <w:t>1</w:t>
            </w:r>
            <w:r>
              <w:rPr>
                <w:rStyle w:val="38"/>
                <w:rFonts w:hint="eastAsia" w:ascii="宋体" w:hAnsi="宋体"/>
                <w:szCs w:val="21"/>
                <w:lang w:val="en-US" w:eastAsia="zh-CN"/>
              </w:rPr>
              <w:t>、投标人购买食品安全责任保险年保额大于或等于年采购预算金额</w:t>
            </w:r>
            <w:r>
              <w:rPr>
                <w:rStyle w:val="38"/>
                <w:rFonts w:hint="default" w:ascii="宋体" w:hAnsi="宋体"/>
                <w:szCs w:val="21"/>
                <w:lang w:val="en-US" w:eastAsia="zh-CN"/>
              </w:rPr>
              <w:t>3</w:t>
            </w:r>
            <w:r>
              <w:rPr>
                <w:rStyle w:val="38"/>
                <w:rFonts w:hint="eastAsia" w:ascii="宋体" w:hAnsi="宋体"/>
                <w:szCs w:val="21"/>
                <w:lang w:val="en-US" w:eastAsia="zh-CN"/>
              </w:rPr>
              <w:t xml:space="preserve">倍的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，得</w:t>
            </w:r>
            <w:r>
              <w:rPr>
                <w:rStyle w:val="38"/>
                <w:rFonts w:hint="default" w:ascii="宋体" w:hAnsi="宋体"/>
                <w:szCs w:val="21"/>
                <w:lang w:val="en-US" w:eastAsia="zh-CN"/>
              </w:rPr>
              <w:t>6</w:t>
            </w:r>
            <w:r>
              <w:rPr>
                <w:rStyle w:val="38"/>
                <w:rFonts w:hint="eastAsia" w:ascii="宋体" w:hAnsi="宋体"/>
                <w:szCs w:val="21"/>
                <w:lang w:val="en-US" w:eastAsia="zh-CN"/>
              </w:rPr>
              <w:t xml:space="preserve">分； </w:t>
            </w:r>
            <w:r>
              <w:rPr>
                <w:rStyle w:val="38"/>
                <w:rFonts w:hint="default" w:ascii="宋体" w:hAnsi="宋体"/>
                <w:szCs w:val="21"/>
                <w:lang w:val="en-US" w:eastAsia="zh-CN"/>
              </w:rPr>
              <w:t>2</w:t>
            </w:r>
            <w:r>
              <w:rPr>
                <w:rStyle w:val="38"/>
                <w:rFonts w:hint="eastAsia" w:ascii="宋体" w:hAnsi="宋体"/>
                <w:szCs w:val="21"/>
                <w:lang w:val="en-US" w:eastAsia="zh-CN"/>
              </w:rPr>
              <w:t xml:space="preserve">、投标人购买食品安全责任保险年保额大于或等于年采购预算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金额</w:t>
            </w:r>
            <w:r>
              <w:rPr>
                <w:rStyle w:val="38"/>
                <w:rFonts w:hint="default" w:ascii="宋体" w:hAnsi="宋体"/>
                <w:szCs w:val="21"/>
                <w:lang w:val="en-US" w:eastAsia="zh-CN"/>
              </w:rPr>
              <w:t>2</w:t>
            </w:r>
            <w:r>
              <w:rPr>
                <w:rStyle w:val="38"/>
                <w:rFonts w:hint="eastAsia" w:ascii="宋体" w:hAnsi="宋体"/>
                <w:szCs w:val="21"/>
                <w:lang w:val="en-US" w:eastAsia="zh-CN"/>
              </w:rPr>
              <w:t>倍但小于</w:t>
            </w:r>
            <w:r>
              <w:rPr>
                <w:rStyle w:val="38"/>
                <w:rFonts w:hint="default" w:ascii="宋体" w:hAnsi="宋体"/>
                <w:szCs w:val="21"/>
                <w:lang w:val="en-US" w:eastAsia="zh-CN"/>
              </w:rPr>
              <w:t>3</w:t>
            </w:r>
            <w:r>
              <w:rPr>
                <w:rStyle w:val="38"/>
                <w:rFonts w:hint="eastAsia" w:ascii="宋体" w:hAnsi="宋体"/>
                <w:szCs w:val="21"/>
                <w:lang w:val="en-US" w:eastAsia="zh-CN"/>
              </w:rPr>
              <w:t>倍的，得</w:t>
            </w:r>
            <w:r>
              <w:rPr>
                <w:rStyle w:val="38"/>
                <w:rFonts w:hint="default" w:ascii="宋体" w:hAnsi="宋体"/>
                <w:szCs w:val="21"/>
                <w:lang w:val="en-US" w:eastAsia="zh-CN"/>
              </w:rPr>
              <w:t>4</w:t>
            </w:r>
            <w:r>
              <w:rPr>
                <w:rStyle w:val="38"/>
                <w:rFonts w:hint="eastAsia" w:ascii="宋体" w:hAnsi="宋体"/>
                <w:szCs w:val="21"/>
                <w:lang w:val="en-US" w:eastAsia="zh-CN"/>
              </w:rPr>
              <w:t xml:space="preserve">分； </w:t>
            </w:r>
            <w:r>
              <w:rPr>
                <w:rStyle w:val="38"/>
                <w:rFonts w:hint="default" w:ascii="宋体" w:hAnsi="宋体"/>
                <w:szCs w:val="21"/>
                <w:lang w:val="en-US" w:eastAsia="zh-CN"/>
              </w:rPr>
              <w:t>3</w:t>
            </w:r>
            <w:r>
              <w:rPr>
                <w:rStyle w:val="38"/>
                <w:rFonts w:hint="eastAsia" w:ascii="宋体" w:hAnsi="宋体"/>
                <w:szCs w:val="21"/>
                <w:lang w:val="en-US" w:eastAsia="zh-CN"/>
              </w:rPr>
              <w:t>、投标人购买食品安全责任保险年保额大 于或等于年采购预算金额但小于</w:t>
            </w:r>
            <w:r>
              <w:rPr>
                <w:rStyle w:val="38"/>
                <w:rFonts w:hint="default" w:ascii="宋体" w:hAnsi="宋体"/>
                <w:szCs w:val="21"/>
                <w:lang w:val="en-US" w:eastAsia="zh-CN"/>
              </w:rPr>
              <w:t>2</w:t>
            </w:r>
            <w:r>
              <w:rPr>
                <w:rStyle w:val="38"/>
                <w:rFonts w:hint="eastAsia" w:ascii="宋体" w:hAnsi="宋体"/>
                <w:szCs w:val="21"/>
                <w:lang w:val="en-US" w:eastAsia="zh-CN"/>
              </w:rPr>
              <w:t>倍的，得</w:t>
            </w:r>
            <w:r>
              <w:rPr>
                <w:rStyle w:val="38"/>
                <w:rFonts w:hint="default" w:ascii="宋体" w:hAnsi="宋体"/>
                <w:szCs w:val="21"/>
                <w:lang w:val="en-US" w:eastAsia="zh-CN"/>
              </w:rPr>
              <w:t>1</w:t>
            </w:r>
            <w:r>
              <w:rPr>
                <w:rStyle w:val="38"/>
                <w:rFonts w:hint="eastAsia" w:ascii="宋体" w:hAnsi="宋体"/>
                <w:szCs w:val="21"/>
                <w:lang w:val="en-US" w:eastAsia="zh-CN"/>
              </w:rPr>
              <w:t xml:space="preserve">分； </w:t>
            </w:r>
            <w:r>
              <w:rPr>
                <w:rStyle w:val="38"/>
                <w:rFonts w:hint="default" w:ascii="宋体" w:hAnsi="宋体"/>
                <w:szCs w:val="21"/>
                <w:lang w:val="en-US" w:eastAsia="zh-CN"/>
              </w:rPr>
              <w:t>4</w:t>
            </w:r>
            <w:r>
              <w:rPr>
                <w:rStyle w:val="38"/>
                <w:rFonts w:hint="eastAsia" w:ascii="宋体" w:hAnsi="宋体"/>
                <w:szCs w:val="21"/>
                <w:lang w:val="en-US" w:eastAsia="zh-CN"/>
              </w:rPr>
              <w:t xml:space="preserve">、投标人购买食品安全责任保险年保额小于年采购预算金额或未购买食品安全责任险的，不得分 。 （需提供有效期内食品安全责任保险投保单复印件、发票复印件并加盖单位公章）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82" w:type="pct"/>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p>
        </w:tc>
        <w:tc>
          <w:tcPr>
            <w:tcW w:w="823" w:type="pct"/>
            <w:tcBorders>
              <w:top w:val="single" w:color="000000" w:sz="4" w:space="0"/>
              <w:left w:val="single" w:color="000000" w:sz="4" w:space="0"/>
              <w:bottom w:val="single" w:color="000000" w:sz="4" w:space="0"/>
              <w:right w:val="single" w:color="000000" w:sz="4" w:space="0"/>
            </w:tcBorders>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投标品牌生产商质量管理体系认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证情况 </w:t>
            </w:r>
            <w:r>
              <w:rPr>
                <w:rStyle w:val="38"/>
                <w:rFonts w:ascii="宋体" w:hAnsi="宋体"/>
                <w:szCs w:val="21"/>
                <w:lang w:val="en-US" w:eastAsia="zh-CN"/>
              </w:rPr>
              <w:t>(6.0</w:t>
            </w:r>
            <w:r>
              <w:rPr>
                <w:rStyle w:val="38"/>
                <w:rFonts w:hint="eastAsia" w:ascii="宋体" w:hAnsi="宋体"/>
                <w:szCs w:val="21"/>
                <w:lang w:val="en-US" w:eastAsia="zh-CN"/>
              </w:rPr>
              <w:t>分</w:t>
            </w:r>
            <w:r>
              <w:rPr>
                <w:rStyle w:val="38"/>
                <w:rFonts w:hint="default" w:ascii="宋体" w:hAnsi="宋体"/>
                <w:szCs w:val="21"/>
                <w:lang w:val="en-US" w:eastAsia="zh-CN"/>
              </w:rPr>
              <w:t xml:space="preserve">) </w:t>
            </w:r>
          </w:p>
          <w:p>
            <w:pPr>
              <w:spacing w:line="360" w:lineRule="auto"/>
              <w:jc w:val="left"/>
              <w:textAlignment w:val="baseline"/>
              <w:rPr>
                <w:rStyle w:val="38"/>
                <w:rFonts w:ascii="宋体" w:hAnsi="宋体"/>
                <w:szCs w:val="21"/>
              </w:rPr>
            </w:pPr>
          </w:p>
        </w:tc>
        <w:tc>
          <w:tcPr>
            <w:tcW w:w="3493" w:type="pct"/>
            <w:tcBorders>
              <w:top w:val="single" w:color="000000" w:sz="4" w:space="0"/>
              <w:left w:val="single" w:color="000000" w:sz="4" w:space="0"/>
              <w:bottom w:val="single" w:color="000000" w:sz="4" w:space="0"/>
              <w:right w:val="single" w:color="000000" w:sz="4" w:space="0"/>
            </w:tcBorders>
            <w:vAlign w:val="center"/>
          </w:tcPr>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生产商质量管理体系认证情况。根据新鲜河粉、中筋面粉、油炸豆卜、鸡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蛋、米粉等</w:t>
            </w:r>
            <w:r>
              <w:rPr>
                <w:rStyle w:val="38"/>
                <w:rFonts w:ascii="宋体" w:hAnsi="宋体"/>
                <w:szCs w:val="21"/>
                <w:lang w:val="en-US" w:eastAsia="zh-CN"/>
              </w:rPr>
              <w:t>5</w:t>
            </w:r>
            <w:r>
              <w:rPr>
                <w:rStyle w:val="38"/>
                <w:rFonts w:hint="eastAsia" w:ascii="宋体" w:hAnsi="宋体"/>
                <w:szCs w:val="21"/>
                <w:lang w:val="en-US" w:eastAsia="zh-CN"/>
              </w:rPr>
              <w:t>种产品生产商管理体系认证情况进行评价：（采购量前</w:t>
            </w:r>
            <w:r>
              <w:rPr>
                <w:rStyle w:val="38"/>
                <w:rFonts w:hint="default" w:ascii="宋体" w:hAnsi="宋体"/>
                <w:szCs w:val="21"/>
                <w:lang w:val="en-US" w:eastAsia="zh-CN"/>
              </w:rPr>
              <w:t>5</w:t>
            </w:r>
            <w:r>
              <w:rPr>
                <w:rStyle w:val="38"/>
                <w:rFonts w:hint="eastAsia" w:ascii="宋体" w:hAnsi="宋体"/>
                <w:szCs w:val="21"/>
                <w:lang w:val="en-US" w:eastAsia="zh-CN"/>
              </w:rPr>
              <w:t xml:space="preserve">名副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食品） （</w:t>
            </w:r>
            <w:r>
              <w:rPr>
                <w:rStyle w:val="38"/>
                <w:rFonts w:hint="default" w:ascii="宋体" w:hAnsi="宋体"/>
                <w:szCs w:val="21"/>
                <w:lang w:val="en-US" w:eastAsia="zh-CN"/>
              </w:rPr>
              <w:t>1</w:t>
            </w:r>
            <w:r>
              <w:rPr>
                <w:rStyle w:val="38"/>
                <w:rFonts w:hint="eastAsia" w:ascii="宋体" w:hAnsi="宋体"/>
                <w:szCs w:val="21"/>
                <w:lang w:val="en-US" w:eastAsia="zh-CN"/>
              </w:rPr>
              <w:t>）投标货物生产商全部通过</w:t>
            </w:r>
            <w:r>
              <w:rPr>
                <w:rStyle w:val="38"/>
                <w:rFonts w:hint="default" w:ascii="宋体" w:hAnsi="宋体"/>
                <w:szCs w:val="21"/>
                <w:lang w:val="en-US" w:eastAsia="zh-CN"/>
              </w:rPr>
              <w:t>HACCP</w:t>
            </w:r>
            <w:r>
              <w:rPr>
                <w:rStyle w:val="38"/>
                <w:rFonts w:hint="eastAsia" w:ascii="宋体" w:hAnsi="宋体"/>
                <w:szCs w:val="21"/>
                <w:lang w:val="en-US" w:eastAsia="zh-CN"/>
              </w:rPr>
              <w:t>认证或</w:t>
            </w:r>
            <w:r>
              <w:rPr>
                <w:rStyle w:val="38"/>
                <w:rFonts w:hint="default" w:ascii="宋体" w:hAnsi="宋体"/>
                <w:szCs w:val="21"/>
                <w:lang w:val="en-US" w:eastAsia="zh-CN"/>
              </w:rPr>
              <w:t>ISO22000</w:t>
            </w:r>
            <w:r>
              <w:rPr>
                <w:rStyle w:val="38"/>
                <w:rFonts w:hint="eastAsia" w:ascii="宋体" w:hAnsi="宋体"/>
                <w:szCs w:val="21"/>
                <w:lang w:val="en-US" w:eastAsia="zh-CN"/>
              </w:rPr>
              <w:t>认证或</w:t>
            </w:r>
            <w:r>
              <w:rPr>
                <w:rStyle w:val="38"/>
                <w:rFonts w:hint="default" w:ascii="宋体" w:hAnsi="宋体"/>
                <w:szCs w:val="21"/>
                <w:lang w:val="en-US" w:eastAsia="zh-CN"/>
              </w:rPr>
              <w:t xml:space="preserve">IS </w:t>
            </w:r>
          </w:p>
          <w:p>
            <w:pPr>
              <w:spacing w:line="360" w:lineRule="auto"/>
              <w:jc w:val="left"/>
              <w:textAlignment w:val="baseline"/>
              <w:rPr>
                <w:rStyle w:val="38"/>
                <w:rFonts w:ascii="宋体" w:hAnsi="宋体"/>
                <w:szCs w:val="21"/>
              </w:rPr>
            </w:pPr>
            <w:r>
              <w:rPr>
                <w:rStyle w:val="38"/>
                <w:rFonts w:hint="default" w:ascii="宋体" w:hAnsi="宋体"/>
                <w:szCs w:val="21"/>
                <w:lang w:val="en-US" w:eastAsia="zh-CN"/>
              </w:rPr>
              <w:t>O9001</w:t>
            </w:r>
            <w:r>
              <w:rPr>
                <w:rStyle w:val="38"/>
                <w:rFonts w:hint="eastAsia" w:ascii="宋体" w:hAnsi="宋体"/>
                <w:szCs w:val="21"/>
                <w:lang w:val="en-US" w:eastAsia="zh-CN"/>
              </w:rPr>
              <w:t>认证；得</w:t>
            </w:r>
            <w:r>
              <w:rPr>
                <w:rStyle w:val="38"/>
                <w:rFonts w:hint="default" w:ascii="宋体" w:hAnsi="宋体"/>
                <w:szCs w:val="21"/>
                <w:lang w:val="en-US" w:eastAsia="zh-CN"/>
              </w:rPr>
              <w:t>6</w:t>
            </w:r>
            <w:r>
              <w:rPr>
                <w:rStyle w:val="38"/>
                <w:rFonts w:hint="eastAsia" w:ascii="宋体" w:hAnsi="宋体"/>
                <w:szCs w:val="21"/>
                <w:lang w:val="en-US" w:eastAsia="zh-CN"/>
              </w:rPr>
              <w:t>分； （</w:t>
            </w:r>
            <w:r>
              <w:rPr>
                <w:rStyle w:val="38"/>
                <w:rFonts w:hint="default" w:ascii="宋体" w:hAnsi="宋体"/>
                <w:szCs w:val="21"/>
                <w:lang w:val="en-US" w:eastAsia="zh-CN"/>
              </w:rPr>
              <w:t>2</w:t>
            </w:r>
            <w:r>
              <w:rPr>
                <w:rStyle w:val="38"/>
                <w:rFonts w:hint="eastAsia" w:ascii="宋体" w:hAnsi="宋体"/>
                <w:szCs w:val="21"/>
                <w:lang w:val="en-US" w:eastAsia="zh-CN"/>
              </w:rPr>
              <w:t>）</w:t>
            </w:r>
            <w:r>
              <w:rPr>
                <w:rStyle w:val="38"/>
                <w:rFonts w:hint="default" w:ascii="宋体" w:hAnsi="宋体"/>
                <w:szCs w:val="21"/>
                <w:lang w:val="en-US" w:eastAsia="zh-CN"/>
              </w:rPr>
              <w:t>80%</w:t>
            </w:r>
            <w:r>
              <w:rPr>
                <w:rStyle w:val="38"/>
                <w:rFonts w:hint="eastAsia" w:ascii="宋体" w:hAnsi="宋体"/>
                <w:szCs w:val="21"/>
                <w:lang w:val="en-US" w:eastAsia="zh-CN"/>
              </w:rPr>
              <w:t>（含）或以上投标货物生产商通过</w:t>
            </w:r>
            <w:r>
              <w:rPr>
                <w:rStyle w:val="38"/>
                <w:rFonts w:hint="default" w:ascii="宋体" w:hAnsi="宋体"/>
                <w:szCs w:val="21"/>
                <w:lang w:val="en-US" w:eastAsia="zh-CN"/>
              </w:rPr>
              <w:t xml:space="preserve">HACC </w:t>
            </w:r>
          </w:p>
          <w:p>
            <w:pPr>
              <w:spacing w:line="360" w:lineRule="auto"/>
              <w:jc w:val="left"/>
              <w:textAlignment w:val="baseline"/>
              <w:rPr>
                <w:rStyle w:val="38"/>
                <w:rFonts w:ascii="宋体" w:hAnsi="宋体"/>
                <w:szCs w:val="21"/>
              </w:rPr>
            </w:pPr>
            <w:r>
              <w:rPr>
                <w:rStyle w:val="38"/>
                <w:rFonts w:hint="default" w:ascii="宋体" w:hAnsi="宋体"/>
                <w:szCs w:val="21"/>
                <w:lang w:val="en-US" w:eastAsia="zh-CN"/>
              </w:rPr>
              <w:t>P</w:t>
            </w:r>
            <w:r>
              <w:rPr>
                <w:rStyle w:val="38"/>
                <w:rFonts w:hint="eastAsia" w:ascii="宋体" w:hAnsi="宋体"/>
                <w:szCs w:val="21"/>
                <w:lang w:val="en-US" w:eastAsia="zh-CN"/>
              </w:rPr>
              <w:t>认证或</w:t>
            </w:r>
            <w:r>
              <w:rPr>
                <w:rStyle w:val="38"/>
                <w:rFonts w:hint="default" w:ascii="宋体" w:hAnsi="宋体"/>
                <w:szCs w:val="21"/>
                <w:lang w:val="en-US" w:eastAsia="zh-CN"/>
              </w:rPr>
              <w:t>ISO22000</w:t>
            </w:r>
            <w:r>
              <w:rPr>
                <w:rStyle w:val="38"/>
                <w:rFonts w:hint="eastAsia" w:ascii="宋体" w:hAnsi="宋体"/>
                <w:szCs w:val="21"/>
                <w:lang w:val="en-US" w:eastAsia="zh-CN"/>
              </w:rPr>
              <w:t>认证或</w:t>
            </w:r>
            <w:r>
              <w:rPr>
                <w:rStyle w:val="38"/>
                <w:rFonts w:hint="default" w:ascii="宋体" w:hAnsi="宋体"/>
                <w:szCs w:val="21"/>
                <w:lang w:val="en-US" w:eastAsia="zh-CN"/>
              </w:rPr>
              <w:t>ISO9001</w:t>
            </w:r>
            <w:r>
              <w:rPr>
                <w:rStyle w:val="38"/>
                <w:rFonts w:hint="eastAsia" w:ascii="宋体" w:hAnsi="宋体"/>
                <w:szCs w:val="21"/>
                <w:lang w:val="en-US" w:eastAsia="zh-CN"/>
              </w:rPr>
              <w:t>认证；得</w:t>
            </w:r>
            <w:r>
              <w:rPr>
                <w:rStyle w:val="38"/>
                <w:rFonts w:hint="default" w:ascii="宋体" w:hAnsi="宋体"/>
                <w:szCs w:val="21"/>
                <w:lang w:val="en-US" w:eastAsia="zh-CN"/>
              </w:rPr>
              <w:t>4</w:t>
            </w:r>
            <w:r>
              <w:rPr>
                <w:rStyle w:val="38"/>
                <w:rFonts w:hint="eastAsia" w:ascii="宋体" w:hAnsi="宋体"/>
                <w:szCs w:val="21"/>
                <w:lang w:val="en-US" w:eastAsia="zh-CN"/>
              </w:rPr>
              <w:t>分； （</w:t>
            </w:r>
            <w:r>
              <w:rPr>
                <w:rStyle w:val="38"/>
                <w:rFonts w:hint="default" w:ascii="宋体" w:hAnsi="宋体"/>
                <w:szCs w:val="21"/>
                <w:lang w:val="en-US" w:eastAsia="zh-CN"/>
              </w:rPr>
              <w:t>3</w:t>
            </w:r>
            <w:r>
              <w:rPr>
                <w:rStyle w:val="38"/>
                <w:rFonts w:hint="eastAsia" w:ascii="宋体" w:hAnsi="宋体"/>
                <w:szCs w:val="21"/>
                <w:lang w:val="en-US" w:eastAsia="zh-CN"/>
              </w:rPr>
              <w:t>）</w:t>
            </w:r>
            <w:r>
              <w:rPr>
                <w:rStyle w:val="38"/>
                <w:rFonts w:hint="default" w:ascii="宋体" w:hAnsi="宋体"/>
                <w:szCs w:val="21"/>
                <w:lang w:val="en-US" w:eastAsia="zh-CN"/>
              </w:rPr>
              <w:t>60%</w:t>
            </w:r>
            <w:r>
              <w:rPr>
                <w:rStyle w:val="38"/>
                <w:rFonts w:hint="eastAsia" w:ascii="宋体" w:hAnsi="宋体"/>
                <w:szCs w:val="21"/>
                <w:lang w:val="en-US" w:eastAsia="zh-CN"/>
              </w:rPr>
              <w:t xml:space="preserve">（含）或以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上投标货物生产商通过</w:t>
            </w:r>
            <w:r>
              <w:rPr>
                <w:rStyle w:val="38"/>
                <w:rFonts w:hint="default" w:ascii="宋体" w:hAnsi="宋体"/>
                <w:szCs w:val="21"/>
                <w:lang w:val="en-US" w:eastAsia="zh-CN"/>
              </w:rPr>
              <w:t>HACCP</w:t>
            </w:r>
            <w:r>
              <w:rPr>
                <w:rStyle w:val="38"/>
                <w:rFonts w:hint="eastAsia" w:ascii="宋体" w:hAnsi="宋体"/>
                <w:szCs w:val="21"/>
                <w:lang w:val="en-US" w:eastAsia="zh-CN"/>
              </w:rPr>
              <w:t>认证或</w:t>
            </w:r>
            <w:r>
              <w:rPr>
                <w:rStyle w:val="38"/>
                <w:rFonts w:hint="default" w:ascii="宋体" w:hAnsi="宋体"/>
                <w:szCs w:val="21"/>
                <w:lang w:val="en-US" w:eastAsia="zh-CN"/>
              </w:rPr>
              <w:t>ISO22000</w:t>
            </w:r>
            <w:r>
              <w:rPr>
                <w:rStyle w:val="38"/>
                <w:rFonts w:hint="eastAsia" w:ascii="宋体" w:hAnsi="宋体"/>
                <w:szCs w:val="21"/>
                <w:lang w:val="en-US" w:eastAsia="zh-CN"/>
              </w:rPr>
              <w:t>认证或</w:t>
            </w:r>
            <w:r>
              <w:rPr>
                <w:rStyle w:val="38"/>
                <w:rFonts w:hint="default" w:ascii="宋体" w:hAnsi="宋体"/>
                <w:szCs w:val="21"/>
                <w:lang w:val="en-US" w:eastAsia="zh-CN"/>
              </w:rPr>
              <w:t>ISO9001</w:t>
            </w:r>
            <w:r>
              <w:rPr>
                <w:rStyle w:val="38"/>
                <w:rFonts w:hint="eastAsia" w:ascii="宋体" w:hAnsi="宋体"/>
                <w:szCs w:val="21"/>
                <w:lang w:val="en-US" w:eastAsia="zh-CN"/>
              </w:rPr>
              <w:t xml:space="preserve">认证；得 </w:t>
            </w:r>
          </w:p>
          <w:p>
            <w:pPr>
              <w:spacing w:line="360" w:lineRule="auto"/>
              <w:jc w:val="left"/>
              <w:textAlignment w:val="baseline"/>
              <w:rPr>
                <w:rStyle w:val="38"/>
                <w:rFonts w:ascii="宋体" w:hAnsi="宋体"/>
                <w:szCs w:val="21"/>
              </w:rPr>
            </w:pPr>
            <w:r>
              <w:rPr>
                <w:rStyle w:val="38"/>
                <w:rFonts w:hint="default" w:ascii="宋体" w:hAnsi="宋体"/>
                <w:szCs w:val="21"/>
                <w:lang w:val="en-US" w:eastAsia="zh-CN"/>
              </w:rPr>
              <w:t>1</w:t>
            </w:r>
            <w:r>
              <w:rPr>
                <w:rStyle w:val="38"/>
                <w:rFonts w:hint="eastAsia" w:ascii="宋体" w:hAnsi="宋体"/>
                <w:szCs w:val="21"/>
                <w:lang w:val="en-US" w:eastAsia="zh-CN"/>
              </w:rPr>
              <w:t>分； （</w:t>
            </w:r>
            <w:r>
              <w:rPr>
                <w:rStyle w:val="38"/>
                <w:rFonts w:hint="default" w:ascii="宋体" w:hAnsi="宋体"/>
                <w:szCs w:val="21"/>
                <w:lang w:val="en-US" w:eastAsia="zh-CN"/>
              </w:rPr>
              <w:t>4</w:t>
            </w:r>
            <w:r>
              <w:rPr>
                <w:rStyle w:val="38"/>
                <w:rFonts w:hint="eastAsia" w:ascii="宋体" w:hAnsi="宋体"/>
                <w:szCs w:val="21"/>
                <w:lang w:val="en-US" w:eastAsia="zh-CN"/>
              </w:rPr>
              <w:t>）</w:t>
            </w:r>
            <w:r>
              <w:rPr>
                <w:rStyle w:val="38"/>
                <w:rFonts w:hint="default" w:ascii="宋体" w:hAnsi="宋体"/>
                <w:szCs w:val="21"/>
                <w:lang w:val="en-US" w:eastAsia="zh-CN"/>
              </w:rPr>
              <w:t>60%</w:t>
            </w:r>
            <w:r>
              <w:rPr>
                <w:rStyle w:val="38"/>
                <w:rFonts w:hint="eastAsia" w:ascii="宋体" w:hAnsi="宋体"/>
                <w:szCs w:val="21"/>
                <w:lang w:val="en-US" w:eastAsia="zh-CN"/>
              </w:rPr>
              <w:t>（不含）以下投标货物生产商通过</w:t>
            </w:r>
            <w:r>
              <w:rPr>
                <w:rStyle w:val="38"/>
                <w:rFonts w:hint="default" w:ascii="宋体" w:hAnsi="宋体"/>
                <w:szCs w:val="21"/>
                <w:lang w:val="en-US" w:eastAsia="zh-CN"/>
              </w:rPr>
              <w:t>HACCP</w:t>
            </w:r>
            <w:r>
              <w:rPr>
                <w:rStyle w:val="38"/>
                <w:rFonts w:hint="eastAsia" w:ascii="宋体" w:hAnsi="宋体"/>
                <w:szCs w:val="21"/>
                <w:lang w:val="en-US" w:eastAsia="zh-CN"/>
              </w:rPr>
              <w:t>认证或</w:t>
            </w:r>
            <w:r>
              <w:rPr>
                <w:rStyle w:val="38"/>
                <w:rFonts w:hint="default" w:ascii="宋体" w:hAnsi="宋体"/>
                <w:szCs w:val="21"/>
                <w:lang w:val="en-US" w:eastAsia="zh-CN"/>
              </w:rPr>
              <w:t xml:space="preserve">ISO220 </w:t>
            </w:r>
          </w:p>
          <w:p>
            <w:pPr>
              <w:spacing w:line="360" w:lineRule="auto"/>
              <w:jc w:val="left"/>
              <w:textAlignment w:val="baseline"/>
              <w:rPr>
                <w:rStyle w:val="38"/>
                <w:rFonts w:ascii="宋体" w:hAnsi="宋体"/>
                <w:szCs w:val="21"/>
              </w:rPr>
            </w:pPr>
            <w:r>
              <w:rPr>
                <w:rStyle w:val="38"/>
                <w:rFonts w:hint="default" w:ascii="宋体" w:hAnsi="宋体"/>
                <w:szCs w:val="21"/>
                <w:lang w:val="en-US" w:eastAsia="zh-CN"/>
              </w:rPr>
              <w:t>00</w:t>
            </w:r>
            <w:r>
              <w:rPr>
                <w:rStyle w:val="38"/>
                <w:rFonts w:hint="eastAsia" w:ascii="宋体" w:hAnsi="宋体"/>
                <w:szCs w:val="21"/>
                <w:lang w:val="en-US" w:eastAsia="zh-CN"/>
              </w:rPr>
              <w:t>认证或</w:t>
            </w:r>
            <w:r>
              <w:rPr>
                <w:rStyle w:val="38"/>
                <w:rFonts w:hint="default" w:ascii="宋体" w:hAnsi="宋体"/>
                <w:szCs w:val="21"/>
                <w:lang w:val="en-US" w:eastAsia="zh-CN"/>
              </w:rPr>
              <w:t>ISO9001</w:t>
            </w:r>
            <w:r>
              <w:rPr>
                <w:rStyle w:val="38"/>
                <w:rFonts w:hint="eastAsia" w:ascii="宋体" w:hAnsi="宋体"/>
                <w:szCs w:val="21"/>
                <w:lang w:val="en-US" w:eastAsia="zh-CN"/>
              </w:rPr>
              <w:t xml:space="preserve">认证；不得分。 备注：此项评分须与投标明细表的品牌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 xml:space="preserve">一致；以最高档次得分，不重复得分。 （提供质量管理体系认证等证书复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印件和网站公布的链接信息资料【网址以</w:t>
            </w:r>
            <w:r>
              <w:rPr>
                <w:rStyle w:val="38"/>
                <w:rFonts w:hint="default" w:ascii="宋体" w:hAnsi="宋体"/>
                <w:szCs w:val="21"/>
                <w:lang w:val="en-US" w:eastAsia="zh-CN"/>
              </w:rPr>
              <w:t>http://www.cnca.gov.cn</w:t>
            </w:r>
            <w:r>
              <w:rPr>
                <w:rStyle w:val="38"/>
                <w:rFonts w:hint="eastAsia" w:ascii="宋体" w:hAnsi="宋体"/>
                <w:szCs w:val="21"/>
                <w:lang w:val="en-US" w:eastAsia="zh-CN"/>
              </w:rPr>
              <w:t xml:space="preserve">网站公 </w:t>
            </w:r>
          </w:p>
          <w:p>
            <w:pPr>
              <w:spacing w:line="360" w:lineRule="auto"/>
              <w:jc w:val="left"/>
              <w:textAlignment w:val="baseline"/>
              <w:rPr>
                <w:rStyle w:val="38"/>
                <w:rFonts w:ascii="宋体" w:hAnsi="宋体"/>
                <w:szCs w:val="21"/>
              </w:rPr>
            </w:pPr>
            <w:r>
              <w:rPr>
                <w:rStyle w:val="38"/>
                <w:rFonts w:hint="eastAsia" w:ascii="宋体" w:hAnsi="宋体"/>
                <w:szCs w:val="21"/>
                <w:lang w:val="en-US" w:eastAsia="zh-CN"/>
              </w:rPr>
              <w:t>布为准，证书状态须为</w:t>
            </w:r>
            <w:r>
              <w:rPr>
                <w:rStyle w:val="38"/>
                <w:rFonts w:hint="default" w:ascii="宋体" w:hAnsi="宋体"/>
                <w:szCs w:val="21"/>
                <w:lang w:val="en-US" w:eastAsia="zh-CN"/>
              </w:rPr>
              <w:t>“</w:t>
            </w:r>
            <w:r>
              <w:rPr>
                <w:rStyle w:val="38"/>
                <w:rFonts w:hint="eastAsia" w:ascii="宋体" w:hAnsi="宋体"/>
                <w:szCs w:val="21"/>
                <w:lang w:val="en-US" w:eastAsia="zh-CN"/>
              </w:rPr>
              <w:t>有效</w:t>
            </w:r>
            <w:r>
              <w:rPr>
                <w:rStyle w:val="38"/>
                <w:rFonts w:hint="default" w:ascii="宋体" w:hAnsi="宋体"/>
                <w:szCs w:val="21"/>
                <w:lang w:val="en-US" w:eastAsia="zh-CN"/>
              </w:rPr>
              <w:t>”</w:t>
            </w:r>
            <w:r>
              <w:rPr>
                <w:rStyle w:val="38"/>
                <w:rFonts w:hint="eastAsia" w:ascii="宋体" w:hAnsi="宋体"/>
                <w:szCs w:val="21"/>
                <w:lang w:val="en-US" w:eastAsia="zh-CN"/>
              </w:rPr>
              <w:t xml:space="preserve">】。 </w:t>
            </w:r>
          </w:p>
        </w:tc>
      </w:tr>
    </w:tbl>
    <w:p>
      <w:pPr>
        <w:textAlignment w:val="baseline"/>
        <w:rPr>
          <w:rStyle w:val="38"/>
          <w:rFonts w:ascii="Calibri" w:hAnsi="Calibri"/>
          <w:szCs w:val="22"/>
        </w:rPr>
      </w:pPr>
    </w:p>
    <w:p>
      <w:pPr>
        <w:spacing w:line="360" w:lineRule="auto"/>
        <w:ind w:left="420"/>
        <w:jc w:val="center"/>
        <w:outlineLvl w:val="0"/>
        <w:rPr>
          <w:rFonts w:ascii="宋体" w:hAnsi="宋体"/>
          <w:b/>
          <w:bCs/>
          <w:sz w:val="28"/>
          <w:szCs w:val="28"/>
        </w:rPr>
      </w:pPr>
    </w:p>
    <w:p>
      <w:pPr>
        <w:rPr>
          <w:rFonts w:ascii="宋体" w:hAnsi="宋体"/>
          <w:b/>
          <w:bCs/>
          <w:sz w:val="28"/>
          <w:szCs w:val="28"/>
        </w:rPr>
      </w:pPr>
      <w:r>
        <w:rPr>
          <w:rFonts w:hint="eastAsia" w:ascii="宋体" w:hAnsi="宋体"/>
          <w:b/>
          <w:bCs/>
          <w:sz w:val="28"/>
          <w:szCs w:val="28"/>
        </w:rPr>
        <w:br w:type="page"/>
      </w:r>
    </w:p>
    <w:p>
      <w:pPr>
        <w:adjustRightInd w:val="0"/>
        <w:snapToGrid w:val="0"/>
        <w:spacing w:line="360" w:lineRule="auto"/>
        <w:jc w:val="center"/>
        <w:rPr>
          <w:rFonts w:ascii="宋体" w:hAnsi="宋体"/>
          <w:b/>
        </w:rPr>
      </w:pPr>
      <w:r>
        <w:rPr>
          <w:rFonts w:hint="eastAsia" w:ascii="宋体" w:hAnsi="宋体"/>
          <w:b/>
        </w:rPr>
        <w:t>价格评分表(</w:t>
      </w:r>
      <w:r>
        <w:rPr>
          <w:rFonts w:hint="eastAsia" w:ascii="宋体" w:hAnsi="宋体"/>
          <w:b/>
          <w:lang w:val="en-US" w:eastAsia="zh-CN"/>
        </w:rPr>
        <w:t>50</w:t>
      </w:r>
      <w:r>
        <w:rPr>
          <w:rFonts w:hint="eastAsia" w:ascii="宋体" w:hAnsi="宋体"/>
          <w:b/>
        </w:rPr>
        <w:t>分)</w:t>
      </w:r>
      <w:bookmarkEnd w:id="9"/>
      <w:bookmarkEnd w:id="10"/>
      <w:bookmarkEnd w:id="11"/>
    </w:p>
    <w:p>
      <w:pPr>
        <w:numPr>
          <w:ilvl w:val="0"/>
          <w:numId w:val="10"/>
        </w:numPr>
        <w:adjustRightInd w:val="0"/>
        <w:snapToGrid w:val="0"/>
        <w:spacing w:line="360" w:lineRule="auto"/>
        <w:rPr>
          <w:rFonts w:ascii="宋体" w:hAnsi="宋体"/>
          <w:bCs/>
        </w:rPr>
      </w:pPr>
      <w:r>
        <w:rPr>
          <w:rFonts w:hint="eastAsia" w:ascii="宋体" w:hAnsi="宋体"/>
          <w:bCs/>
        </w:rPr>
        <w:t>价格核准：</w:t>
      </w:r>
    </w:p>
    <w:p>
      <w:pPr>
        <w:numPr>
          <w:ilvl w:val="1"/>
          <w:numId w:val="10"/>
        </w:numPr>
        <w:adjustRightInd w:val="0"/>
        <w:snapToGrid w:val="0"/>
        <w:spacing w:line="360" w:lineRule="auto"/>
        <w:rPr>
          <w:rFonts w:ascii="宋体" w:hAnsi="宋体"/>
        </w:rPr>
      </w:pPr>
      <w:r>
        <w:rPr>
          <w:rFonts w:hint="eastAsia" w:ascii="宋体" w:hAnsi="宋体"/>
          <w:bCs/>
        </w:rPr>
        <w:t>评标委员会详细分析、核准价格表，检查其是否存在计算上或累加上的算术错误，修正错误的原则如下：</w:t>
      </w:r>
    </w:p>
    <w:p>
      <w:pPr>
        <w:numPr>
          <w:ilvl w:val="0"/>
          <w:numId w:val="1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开标时，投标文件中开标一览表(报价表)内容与投标文件中明细表内容不一致的，以开标一览表(报价表)为准。</w:t>
      </w:r>
    </w:p>
    <w:p>
      <w:pPr>
        <w:numPr>
          <w:ilvl w:val="0"/>
          <w:numId w:val="1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hAnsi="宋体" w:cs="宋体"/>
          <w:szCs w:val="21"/>
        </w:rPr>
      </w:pPr>
      <w:r>
        <w:rPr>
          <w:rFonts w:hint="eastAsia" w:ascii="宋体" w:hAnsi="宋体" w:cs="宋体"/>
          <w:szCs w:val="21"/>
        </w:rPr>
        <w:t>同时出现两种以上不一致的，按照前款规定的顺序修正。</w:t>
      </w:r>
    </w:p>
    <w:p>
      <w:pPr>
        <w:numPr>
          <w:ilvl w:val="1"/>
          <w:numId w:val="10"/>
        </w:numPr>
        <w:adjustRightInd w:val="0"/>
        <w:snapToGrid w:val="0"/>
        <w:spacing w:line="360" w:lineRule="auto"/>
        <w:rPr>
          <w:rFonts w:ascii="宋体" w:hAns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0"/>
        </w:numPr>
        <w:adjustRightInd w:val="0"/>
        <w:snapToGrid w:val="0"/>
        <w:spacing w:line="360" w:lineRule="auto"/>
        <w:rPr>
          <w:rFonts w:ascii="宋体" w:hAns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0"/>
        </w:numPr>
        <w:adjustRightInd w:val="0"/>
        <w:snapToGrid w:val="0"/>
        <w:spacing w:line="360" w:lineRule="auto"/>
        <w:rPr>
          <w:rFonts w:ascii="宋体" w:hAnsi="宋体"/>
          <w:bCs/>
        </w:rPr>
      </w:pPr>
      <w:r>
        <w:rPr>
          <w:rFonts w:hint="eastAsia" w:ascii="宋体" w:hAnsi="宋体"/>
          <w:bCs/>
        </w:rPr>
        <w:t>按下列第3点</w:t>
      </w:r>
      <w:r>
        <w:rPr>
          <w:rFonts w:hint="eastAsia" w:ascii="宋体" w:hAnsi="宋体"/>
        </w:rPr>
        <w:t>小型和微型企业产品价格进行价格扣除。</w:t>
      </w:r>
    </w:p>
    <w:p>
      <w:pPr>
        <w:numPr>
          <w:ilvl w:val="0"/>
          <w:numId w:val="10"/>
        </w:numPr>
        <w:adjustRightInd w:val="0"/>
        <w:snapToGrid w:val="0"/>
        <w:spacing w:line="360" w:lineRule="auto"/>
      </w:pPr>
      <w:r>
        <w:rPr>
          <w:rFonts w:ascii="宋体" w:hAnsi="宋体"/>
          <w:bCs/>
        </w:rPr>
        <w:t>综合评分法中的价格分统一采用</w:t>
      </w:r>
      <w:r>
        <w:rPr>
          <w:rFonts w:hint="eastAsia" w:ascii="宋体" w:hAnsi="宋体"/>
          <w:bCs/>
          <w:lang w:val="en-US" w:eastAsia="zh-CN"/>
        </w:rPr>
        <w:t>下浮率高</w:t>
      </w:r>
      <w:r>
        <w:rPr>
          <w:rFonts w:ascii="宋体" w:hAnsi="宋体"/>
          <w:bCs/>
        </w:rPr>
        <w:t>价优先法计算，即满足招标文件要求</w:t>
      </w:r>
      <w:r>
        <w:rPr>
          <w:rFonts w:hint="eastAsia" w:ascii="宋体" w:hAnsi="宋体"/>
          <w:bCs/>
        </w:rPr>
        <w:t>（通过资格性、符合性审查）</w:t>
      </w:r>
      <w:r>
        <w:rPr>
          <w:rFonts w:ascii="宋体" w:hAnsi="宋体"/>
          <w:bCs/>
        </w:rPr>
        <w:t>且投标</w:t>
      </w:r>
      <w:r>
        <w:rPr>
          <w:rFonts w:hint="eastAsia" w:ascii="宋体" w:hAnsi="宋体"/>
          <w:bCs/>
          <w:lang w:val="en-US" w:eastAsia="zh-CN"/>
        </w:rPr>
        <w:t>下浮率</w:t>
      </w:r>
      <w:r>
        <w:rPr>
          <w:rFonts w:ascii="宋体" w:hAnsi="宋体"/>
          <w:bCs/>
        </w:rPr>
        <w:t>最</w:t>
      </w:r>
      <w:r>
        <w:rPr>
          <w:rFonts w:hint="eastAsia" w:ascii="宋体" w:hAnsi="宋体"/>
          <w:bCs/>
          <w:lang w:val="en-US" w:eastAsia="zh-CN"/>
        </w:rPr>
        <w:t>高</w:t>
      </w:r>
      <w:r>
        <w:rPr>
          <w:rFonts w:ascii="宋体" w:hAnsi="宋体"/>
          <w:bCs/>
        </w:rPr>
        <w:t>的</w:t>
      </w:r>
      <w:r>
        <w:rPr>
          <w:rFonts w:hint="eastAsia" w:ascii="宋体" w:hAnsi="宋体"/>
          <w:bCs/>
        </w:rPr>
        <w:t>有效</w:t>
      </w:r>
      <w:r>
        <w:rPr>
          <w:rFonts w:ascii="宋体" w:hAnsi="宋体"/>
          <w:bCs/>
        </w:rPr>
        <w:t>投标报价</w:t>
      </w:r>
      <w:r>
        <w:rPr>
          <w:rFonts w:hint="eastAsia" w:ascii="宋体" w:hAnsi="宋体"/>
          <w:bCs/>
        </w:rPr>
        <w:t>（指价格核准后的价格，下同）</w:t>
      </w:r>
      <w:r>
        <w:rPr>
          <w:rFonts w:ascii="宋体" w:hAnsi="宋体"/>
          <w:bCs/>
        </w:rPr>
        <w:t>为评标基准价，其价格分为满分。其他投标人的价格分统一按照下列公式计算：</w:t>
      </w:r>
    </w:p>
    <w:p>
      <w:pPr>
        <w:adjustRightInd w:val="0"/>
        <w:snapToGrid w:val="0"/>
        <w:spacing w:line="360" w:lineRule="auto"/>
        <w:ind w:firstLine="413" w:firstLineChars="196"/>
        <w:rPr>
          <w:rFonts w:ascii="宋体" w:hAnsi="宋体"/>
          <w:b/>
          <w:bCs/>
        </w:rPr>
      </w:pPr>
      <w:r>
        <w:rPr>
          <w:rFonts w:hint="eastAsia" w:ascii="宋体" w:hAnsi="宋体"/>
          <w:b/>
          <w:bCs/>
        </w:rPr>
        <w:t>投标报价得分=(投标</w:t>
      </w:r>
      <w:r>
        <w:rPr>
          <w:rFonts w:hint="eastAsia" w:ascii="宋体" w:hAnsi="宋体"/>
          <w:b/>
          <w:bCs/>
          <w:lang w:val="en-US" w:eastAsia="zh-CN"/>
        </w:rPr>
        <w:t>下浮率</w:t>
      </w:r>
      <w:r>
        <w:rPr>
          <w:rFonts w:hint="eastAsia" w:ascii="宋体" w:hAnsi="宋体"/>
          <w:b/>
          <w:bCs/>
        </w:rPr>
        <w:t>/评标</w:t>
      </w:r>
      <w:r>
        <w:rPr>
          <w:rFonts w:hint="eastAsia" w:ascii="宋体" w:hAnsi="宋体"/>
          <w:b/>
          <w:bCs/>
          <w:lang w:val="en-US" w:eastAsia="zh-CN"/>
        </w:rPr>
        <w:t>下浮率</w:t>
      </w:r>
      <w:r>
        <w:rPr>
          <w:rFonts w:hint="eastAsia" w:ascii="宋体" w:hAnsi="宋体"/>
          <w:b/>
          <w:bCs/>
        </w:rPr>
        <w:t>基准价)×价格权值×100</w:t>
      </w:r>
    </w:p>
    <w:p>
      <w:pPr>
        <w:adjustRightInd w:val="0"/>
        <w:snapToGrid w:val="0"/>
        <w:spacing w:line="360" w:lineRule="auto"/>
        <w:ind w:firstLine="411" w:firstLineChars="196"/>
        <w:rPr>
          <w:rFonts w:ascii="宋体" w:hAns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0"/>
        </w:numPr>
        <w:adjustRightInd w:val="0"/>
        <w:snapToGrid w:val="0"/>
        <w:spacing w:line="360" w:lineRule="auto"/>
        <w:rPr>
          <w:rFonts w:ascii="宋体" w:hAnsi="宋体"/>
        </w:rPr>
      </w:pPr>
      <w:r>
        <w:rPr>
          <w:rFonts w:hint="eastAsia" w:ascii="宋体" w:hAnsi="宋体"/>
        </w:rPr>
        <w:t>小型和微型企业产品价格扣除</w:t>
      </w:r>
    </w:p>
    <w:p>
      <w:pPr>
        <w:numPr>
          <w:ilvl w:val="1"/>
          <w:numId w:val="10"/>
        </w:numPr>
        <w:adjustRightInd w:val="0"/>
        <w:snapToGrid w:val="0"/>
        <w:spacing w:line="360" w:lineRule="auto"/>
        <w:rPr>
          <w:rFonts w:ascii="宋体" w:hAnsi="宋体"/>
          <w:bCs/>
        </w:rPr>
      </w:pPr>
      <w:r>
        <w:rPr>
          <w:rFonts w:hint="eastAsia" w:ascii="宋体" w:hAnsi="宋体"/>
          <w:bCs/>
        </w:rPr>
        <w:t xml:space="preserve">根据财政部、工业和信息化部印发的《政府采购促进中小企业发展暂行办法》（财库[2011]181号）的规定，对小型和微型企业产品的价格给予6%的扣除，用扣除后的价格参与评审； </w:t>
      </w:r>
    </w:p>
    <w:p>
      <w:pPr>
        <w:numPr>
          <w:ilvl w:val="1"/>
          <w:numId w:val="10"/>
        </w:numPr>
        <w:adjustRightInd w:val="0"/>
        <w:snapToGrid w:val="0"/>
        <w:spacing w:line="360" w:lineRule="auto"/>
        <w:rPr>
          <w:rFonts w:ascii="宋体" w:hAnsi="宋体"/>
          <w:bCs/>
        </w:rPr>
      </w:pPr>
      <w:r>
        <w:rPr>
          <w:rFonts w:hint="eastAsia" w:ascii="宋体" w:hAnsi="宋体"/>
          <w:bCs/>
        </w:rPr>
        <w:t>《政府采购促进中小企业发展暂行办法》所称中小企业（含中型、小型、微型企业，下同）应当同时符合以下条件：</w:t>
      </w:r>
    </w:p>
    <w:p>
      <w:pPr>
        <w:numPr>
          <w:ilvl w:val="2"/>
          <w:numId w:val="10"/>
        </w:numPr>
        <w:adjustRightInd w:val="0"/>
        <w:snapToGrid w:val="0"/>
        <w:spacing w:line="360" w:lineRule="auto"/>
        <w:rPr>
          <w:rFonts w:ascii="宋体" w:hAnsi="宋体"/>
          <w:bCs/>
        </w:rPr>
      </w:pPr>
      <w:r>
        <w:rPr>
          <w:rFonts w:hint="eastAsia" w:ascii="宋体" w:hAnsi="宋体"/>
          <w:bCs/>
        </w:rPr>
        <w:t xml:space="preserve">符合中小企业划分标准； </w:t>
      </w:r>
    </w:p>
    <w:p>
      <w:pPr>
        <w:numPr>
          <w:ilvl w:val="2"/>
          <w:numId w:val="10"/>
        </w:numPr>
        <w:adjustRightInd w:val="0"/>
        <w:snapToGrid w:val="0"/>
        <w:spacing w:line="360" w:lineRule="auto"/>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中小企业划分标准以《工业和信息化部、国家统计局、国家发展和改革委员会、财政部关于印发中小企业划型标准规定的通知》（工信部联企业[2011]300号）规定的划分标准为准。小型、微型企业提供中型企业制造的货物的，视同为中型企业。</w:t>
      </w:r>
    </w:p>
    <w:p>
      <w:pPr>
        <w:numPr>
          <w:ilvl w:val="1"/>
          <w:numId w:val="10"/>
        </w:numPr>
        <w:adjustRightInd w:val="0"/>
        <w:snapToGrid w:val="0"/>
        <w:spacing w:line="360" w:lineRule="auto"/>
        <w:rPr>
          <w:rFonts w:ascii="宋体" w:hAnsi="宋体"/>
          <w:bCs/>
        </w:rPr>
      </w:pPr>
      <w:r>
        <w:rPr>
          <w:rFonts w:hint="eastAsia" w:ascii="宋体" w:hAnsi="宋体"/>
          <w:bCs/>
        </w:rPr>
        <w:t>参加政府采购活动的中小企业应当提供《中小企业声明函》（格式见第六章投标文件格式）</w:t>
      </w:r>
    </w:p>
    <w:p>
      <w:pPr>
        <w:numPr>
          <w:ilvl w:val="1"/>
          <w:numId w:val="10"/>
        </w:numPr>
        <w:adjustRightInd w:val="0"/>
        <w:snapToGrid w:val="0"/>
        <w:spacing w:line="360" w:lineRule="auto"/>
        <w:rPr>
          <w:rFonts w:ascii="宋体" w:hAnsi="宋体"/>
        </w:rPr>
      </w:pPr>
      <w:r>
        <w:rPr>
          <w:rFonts w:hint="eastAsia" w:ascii="宋体" w:hAnsi="宋体"/>
        </w:rPr>
        <w:t>监狱企业视同小型、微型企业，享受评审中价格扣除。</w:t>
      </w:r>
    </w:p>
    <w:p>
      <w:pPr>
        <w:numPr>
          <w:ilvl w:val="2"/>
          <w:numId w:val="10"/>
        </w:numPr>
        <w:adjustRightInd w:val="0"/>
        <w:snapToGrid w:val="0"/>
        <w:spacing w:line="360" w:lineRule="auto"/>
        <w:rPr>
          <w:rFonts w:ascii="宋体" w:hAns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0"/>
        </w:numPr>
        <w:adjustRightInd w:val="0"/>
        <w:snapToGrid w:val="0"/>
        <w:spacing w:line="360" w:lineRule="auto"/>
        <w:rPr>
          <w:rFonts w:ascii="宋体" w:hAns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0"/>
        </w:numPr>
        <w:adjustRightInd w:val="0"/>
        <w:snapToGrid w:val="0"/>
        <w:spacing w:line="360" w:lineRule="auto"/>
        <w:ind w:left="425"/>
        <w:rPr>
          <w:rFonts w:ascii="宋体" w:hAnsi="宋体"/>
        </w:rPr>
      </w:pPr>
      <w:r>
        <w:rPr>
          <w:rFonts w:hint="eastAsia" w:ascii="宋体" w:hAnsi="宋体"/>
        </w:rPr>
        <w:t>投标人同时为小型、微型企业和监狱企业的，评审中只享受一次价格扣除。不重复进行价格扣除。</w:t>
      </w:r>
    </w:p>
    <w:p>
      <w:pPr>
        <w:numPr>
          <w:ilvl w:val="0"/>
          <w:numId w:val="10"/>
        </w:numPr>
        <w:adjustRightInd w:val="0"/>
        <w:snapToGrid w:val="0"/>
        <w:spacing w:line="360" w:lineRule="auto"/>
        <w:rPr>
          <w:rFonts w:ascii="宋体" w:hAnsi="宋体"/>
        </w:rPr>
      </w:pPr>
      <w:r>
        <w:rPr>
          <w:rFonts w:hint="eastAsia" w:ascii="宋体" w:hAnsi="宋体"/>
        </w:rPr>
        <w:t>疾人福利性单位产品价格扣除</w:t>
      </w:r>
    </w:p>
    <w:p>
      <w:pPr>
        <w:numPr>
          <w:ilvl w:val="2"/>
          <w:numId w:val="12"/>
        </w:numPr>
        <w:spacing w:line="360" w:lineRule="auto"/>
        <w:ind w:left="567" w:hanging="567"/>
        <w:rPr>
          <w:rFonts w:ascii="宋体" w:hAnsi="宋体" w:cs="宋体"/>
          <w:szCs w:val="21"/>
        </w:rPr>
      </w:pPr>
      <w:r>
        <w:rPr>
          <w:rFonts w:hint="eastAsia" w:ascii="宋体" w:hAnsi="宋体" w:cs="宋体"/>
          <w:szCs w:val="21"/>
        </w:rPr>
        <w:t>残疾人福利性单位视同小型、微型企业，按上述第（一）条款享受评审中价格扣除。</w:t>
      </w:r>
    </w:p>
    <w:p>
      <w:pPr>
        <w:numPr>
          <w:ilvl w:val="2"/>
          <w:numId w:val="12"/>
        </w:numPr>
        <w:spacing w:line="360" w:lineRule="auto"/>
        <w:ind w:left="567" w:hanging="567"/>
        <w:rPr>
          <w:rFonts w:ascii="宋体" w:hAnsi="宋体" w:cs="宋体"/>
          <w:szCs w:val="21"/>
        </w:rPr>
      </w:pPr>
      <w:r>
        <w:rPr>
          <w:rFonts w:hint="eastAsia" w:ascii="宋体" w:hAnsi="宋体" w:cs="宋体"/>
          <w:bCs/>
          <w:szCs w:val="21"/>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投标文件格式），并对</w:t>
      </w:r>
      <w:r>
        <w:rPr>
          <w:rFonts w:hint="eastAsia" w:ascii="宋体" w:hAnsi="宋体" w:cs="宋体"/>
          <w:szCs w:val="21"/>
        </w:rPr>
        <w:t>声明的真实性负责。一旦中标将在中标公告中公告其声明函，接受社会监督。投标人提供的《残疾人福利性单位声明函》与事实不符的，依照《</w:t>
      </w:r>
      <w:r>
        <w:rPr>
          <w:rFonts w:hint="eastAsia" w:ascii="宋体" w:hAnsi="宋体" w:cs="宋体"/>
          <w:bCs/>
          <w:szCs w:val="21"/>
        </w:rPr>
        <w:t>中华人民共和国政府采购法</w:t>
      </w:r>
      <w:r>
        <w:rPr>
          <w:rFonts w:hint="eastAsia" w:ascii="宋体" w:hAnsi="宋体" w:cs="宋体"/>
          <w:szCs w:val="21"/>
        </w:rPr>
        <w:t>》第七十七条第一款的规定追究法律责任。</w:t>
      </w:r>
    </w:p>
    <w:p>
      <w:pPr>
        <w:numPr>
          <w:ilvl w:val="2"/>
          <w:numId w:val="12"/>
        </w:numPr>
        <w:spacing w:line="360" w:lineRule="auto"/>
        <w:ind w:left="567" w:hanging="567"/>
        <w:rPr>
          <w:rFonts w:ascii="宋体" w:hAnsi="宋体" w:cs="宋体"/>
          <w:szCs w:val="21"/>
        </w:rPr>
      </w:pPr>
      <w:r>
        <w:rPr>
          <w:rFonts w:hint="eastAsia" w:ascii="宋体" w:hAnsi="宋体" w:cs="宋体"/>
          <w:szCs w:val="21"/>
        </w:rPr>
        <w:t>投标人同时为小型、微型企业、监狱企业、残疾人福利性单位任两种或以上情况的，评审中只享受一次价格扣除，不重复进行价格扣除。</w:t>
      </w:r>
    </w:p>
    <w:p>
      <w:pPr>
        <w:numPr>
          <w:ilvl w:val="0"/>
          <w:numId w:val="10"/>
        </w:numPr>
        <w:adjustRightInd w:val="0"/>
        <w:snapToGrid w:val="0"/>
        <w:spacing w:line="360" w:lineRule="auto"/>
        <w:rPr>
          <w:rFonts w:ascii="宋体" w:hAnsi="宋体" w:cs="宋体"/>
          <w:szCs w:val="21"/>
        </w:rPr>
      </w:pPr>
      <w:r>
        <w:rPr>
          <w:rFonts w:hint="eastAsia" w:ascii="宋体" w:hAnsi="宋体" w:cs="宋体"/>
          <w:szCs w:val="21"/>
        </w:rPr>
        <w:t>节能产品、环境标志产品价格扣除</w:t>
      </w:r>
    </w:p>
    <w:p>
      <w:pPr>
        <w:numPr>
          <w:ilvl w:val="1"/>
          <w:numId w:val="13"/>
        </w:numPr>
        <w:snapToGrid w:val="0"/>
        <w:spacing w:line="360" w:lineRule="auto"/>
        <w:rPr>
          <w:rFonts w:ascii="宋体" w:hAnsi="宋体" w:cs="宋体"/>
          <w:szCs w:val="21"/>
        </w:rPr>
      </w:pPr>
      <w:r>
        <w:rPr>
          <w:rFonts w:hint="eastAsia" w:ascii="宋体" w:hAnsi="宋体" w:cs="宋体"/>
          <w:szCs w:val="21"/>
        </w:rPr>
        <w:t>拟采购产品属于节能产品政府采购品目清单规定必须强制采购的，实行强制采购。</w:t>
      </w:r>
    </w:p>
    <w:p>
      <w:pPr>
        <w:numPr>
          <w:ilvl w:val="1"/>
          <w:numId w:val="13"/>
        </w:numPr>
        <w:snapToGrid w:val="0"/>
        <w:spacing w:line="360" w:lineRule="auto"/>
        <w:rPr>
          <w:rFonts w:ascii="宋体" w:hAnsi="宋体" w:cs="宋体"/>
          <w:szCs w:val="21"/>
        </w:rPr>
      </w:pPr>
      <w:r>
        <w:rPr>
          <w:rFonts w:hint="eastAsia" w:ascii="宋体" w:hAnsi="宋体" w:cs="宋体"/>
          <w:szCs w:val="21"/>
        </w:rPr>
        <w:t>本次采购产品在财政部、发展改革委、生态环境部等部门最新发布的《节能产品政府采购品目清单》或《环境标志产品政府采购品目清单》的清单范围内优先采购的节能产品、环境标志产品类别，对于具有国家确定的认证机构出具的、处于有效期之内的节能产品或环境标志产品认证证书的，对节能产品或环境标志产品的价格分别给予</w:t>
      </w:r>
      <w:r>
        <w:rPr>
          <w:rFonts w:hint="eastAsia" w:ascii="宋体" w:hAnsi="宋体" w:cs="宋体"/>
          <w:szCs w:val="21"/>
          <w:u w:val="single"/>
        </w:rPr>
        <w:t>1</w:t>
      </w:r>
      <w:r>
        <w:rPr>
          <w:rFonts w:hint="eastAsia" w:ascii="宋体" w:hAnsi="宋体" w:cs="宋体"/>
          <w:szCs w:val="21"/>
        </w:rPr>
        <w:t>%的价格扣除。</w:t>
      </w:r>
    </w:p>
    <w:p>
      <w:pPr>
        <w:numPr>
          <w:ilvl w:val="1"/>
          <w:numId w:val="13"/>
        </w:numPr>
        <w:snapToGrid w:val="0"/>
        <w:spacing w:line="360" w:lineRule="auto"/>
        <w:rPr>
          <w:rFonts w:ascii="宋体" w:hAnsi="宋体" w:cs="宋体"/>
          <w:szCs w:val="21"/>
        </w:rPr>
      </w:pPr>
      <w:r>
        <w:rPr>
          <w:rFonts w:hint="eastAsia" w:ascii="宋体" w:hAnsi="宋体" w:cs="宋体"/>
          <w:szCs w:val="21"/>
        </w:rPr>
        <w:t>属于品目清单范围内的节能或环境标志产品，应当提供国家确定的认证机构出具的、处于有效期之内的节能产品或环境标志产品认证证书复印件，并加盖投标人单位的公章。</w:t>
      </w:r>
    </w:p>
    <w:p>
      <w:pPr>
        <w:numPr>
          <w:ilvl w:val="0"/>
          <w:numId w:val="10"/>
        </w:numPr>
        <w:adjustRightInd w:val="0"/>
        <w:snapToGrid w:val="0"/>
        <w:spacing w:line="360" w:lineRule="auto"/>
        <w:rPr>
          <w:rFonts w:ascii="宋体" w:hAnsi="宋体" w:cs="宋体"/>
          <w:szCs w:val="21"/>
        </w:rPr>
      </w:pPr>
      <w:r>
        <w:rPr>
          <w:rFonts w:hint="eastAsia" w:ascii="宋体" w:hAnsi="宋体" w:cs="宋体"/>
          <w:szCs w:val="21"/>
        </w:rPr>
        <w:t>国家级贫困地区农副产品价格扣除</w:t>
      </w:r>
    </w:p>
    <w:p>
      <w:pPr>
        <w:numPr>
          <w:ilvl w:val="1"/>
          <w:numId w:val="14"/>
        </w:numPr>
        <w:snapToGrid w:val="0"/>
        <w:spacing w:line="360" w:lineRule="auto"/>
        <w:rPr>
          <w:rFonts w:ascii="宋体" w:hAnsi="宋体" w:cs="宋体"/>
          <w:szCs w:val="21"/>
        </w:rPr>
      </w:pPr>
      <w:r>
        <w:rPr>
          <w:rFonts w:hint="eastAsia" w:ascii="宋体" w:hAnsi="宋体" w:cs="宋体"/>
          <w:szCs w:val="21"/>
        </w:rPr>
        <w:t>供应商注册地在832个国家级贫困县域内，且所投农副产品属于《国家级贫困县重点扶贫产品供应商名录》的供应商，对所投农副产品的价格给予</w:t>
      </w:r>
      <w:r>
        <w:rPr>
          <w:rFonts w:hint="eastAsia" w:ascii="宋体" w:hAnsi="宋体" w:cs="宋体"/>
          <w:szCs w:val="21"/>
          <w:u w:val="single"/>
        </w:rPr>
        <w:t>1</w:t>
      </w:r>
      <w:r>
        <w:rPr>
          <w:rFonts w:hint="eastAsia" w:ascii="宋体" w:hAnsi="宋体" w:cs="宋体"/>
          <w:szCs w:val="21"/>
        </w:rPr>
        <w:t>%的价格扣除。</w:t>
      </w:r>
    </w:p>
    <w:p>
      <w:pPr>
        <w:numPr>
          <w:ilvl w:val="1"/>
          <w:numId w:val="14"/>
        </w:numPr>
        <w:snapToGrid w:val="0"/>
        <w:spacing w:line="360" w:lineRule="auto"/>
        <w:rPr>
          <w:rFonts w:ascii="宋体" w:hAnsi="宋体" w:cs="宋体"/>
          <w:szCs w:val="21"/>
        </w:rPr>
      </w:pPr>
      <w:r>
        <w:rPr>
          <w:rFonts w:hint="eastAsia" w:ascii="宋体" w:hAnsi="宋体" w:cs="宋体"/>
          <w:szCs w:val="21"/>
        </w:rPr>
        <w:t>提供供应商属于《国家级贫困县重点扶贫产品供应商名录》的证明材料，并加盖供应商单位公章。如所提供产品属于《国家级贫困县重点扶贫产品供应商名录》中供应商的产品，应同时提供合作协议（或授权函）和该供应商属于《国家级贫困县重点扶贫产品供应商名录》的证明材料并加盖投标人单位公章。</w:t>
      </w:r>
    </w:p>
    <w:p>
      <w:pPr>
        <w:numPr>
          <w:ilvl w:val="0"/>
          <w:numId w:val="10"/>
        </w:numPr>
        <w:adjustRightInd w:val="0"/>
        <w:snapToGrid w:val="0"/>
        <w:spacing w:line="360" w:lineRule="auto"/>
        <w:rPr>
          <w:rFonts w:ascii="宋体" w:hAnsi="宋体" w:cs="宋体"/>
          <w:szCs w:val="21"/>
        </w:rPr>
      </w:pPr>
      <w:r>
        <w:rPr>
          <w:rFonts w:hint="eastAsia" w:ascii="宋体" w:hAnsi="宋体" w:cs="宋体"/>
          <w:szCs w:val="21"/>
        </w:rPr>
        <w:t>国家级贫困地区物业服务价格扣除</w:t>
      </w:r>
    </w:p>
    <w:p>
      <w:pPr>
        <w:numPr>
          <w:ilvl w:val="1"/>
          <w:numId w:val="15"/>
        </w:numPr>
        <w:snapToGrid w:val="0"/>
        <w:spacing w:line="360" w:lineRule="auto"/>
        <w:rPr>
          <w:rFonts w:ascii="宋体" w:hAnsi="宋体" w:cs="宋体"/>
          <w:szCs w:val="21"/>
        </w:rPr>
      </w:pPr>
      <w:r>
        <w:rPr>
          <w:rFonts w:hint="eastAsia" w:ascii="宋体" w:hAnsi="宋体" w:cs="宋体"/>
          <w:szCs w:val="21"/>
        </w:rPr>
        <w:t>供应商注册地在832个国家级贫困县域内，且聘用建档立卡贫困人员，对供应商的投标报价给予</w:t>
      </w:r>
      <w:r>
        <w:rPr>
          <w:rFonts w:hint="eastAsia" w:ascii="宋体" w:hAnsi="宋体" w:cs="宋体"/>
          <w:szCs w:val="21"/>
          <w:u w:val="single"/>
        </w:rPr>
        <w:t>1</w:t>
      </w:r>
      <w:r>
        <w:rPr>
          <w:rFonts w:hint="eastAsia" w:ascii="宋体" w:hAnsi="宋体" w:cs="宋体"/>
          <w:szCs w:val="21"/>
        </w:rPr>
        <w:t>%的价格扣除。</w:t>
      </w:r>
    </w:p>
    <w:p>
      <w:pPr>
        <w:numPr>
          <w:ilvl w:val="1"/>
          <w:numId w:val="15"/>
        </w:numPr>
        <w:snapToGrid w:val="0"/>
        <w:spacing w:line="360" w:lineRule="auto"/>
        <w:rPr>
          <w:rFonts w:ascii="宋体" w:hAnsi="宋体" w:cs="宋体"/>
          <w:szCs w:val="21"/>
        </w:rPr>
      </w:pPr>
      <w:r>
        <w:rPr>
          <w:rFonts w:hint="eastAsia" w:ascii="宋体" w:hAnsi="宋体" w:cs="宋体"/>
          <w:szCs w:val="21"/>
        </w:rPr>
        <w:t>贫困县域物业公司参与物业服务政府采购,享受上述优惠政策时，应提供以下佐证材料：</w:t>
      </w:r>
    </w:p>
    <w:p>
      <w:pPr>
        <w:numPr>
          <w:ilvl w:val="2"/>
          <w:numId w:val="15"/>
        </w:numPr>
        <w:snapToGrid w:val="0"/>
        <w:spacing w:line="360" w:lineRule="auto"/>
        <w:rPr>
          <w:rFonts w:ascii="宋体" w:hAnsi="宋体" w:cs="宋体"/>
          <w:szCs w:val="21"/>
        </w:rPr>
      </w:pPr>
      <w:r>
        <w:rPr>
          <w:rFonts w:hint="eastAsia" w:ascii="宋体" w:hAnsi="宋体" w:cs="宋体"/>
          <w:szCs w:val="21"/>
        </w:rPr>
        <w:t>供应商注册所在地县扶贫部门出具的本公司聘用建档立卡贫困人员具体数量证明，并加盖供应商单位公章。</w:t>
      </w:r>
    </w:p>
    <w:p>
      <w:pPr>
        <w:numPr>
          <w:ilvl w:val="2"/>
          <w:numId w:val="15"/>
        </w:numPr>
        <w:snapToGrid w:val="0"/>
        <w:spacing w:line="360" w:lineRule="auto"/>
        <w:rPr>
          <w:rFonts w:ascii="宋体" w:hAnsi="宋体" w:cs="宋体"/>
          <w:szCs w:val="21"/>
        </w:rPr>
      </w:pPr>
      <w:r>
        <w:rPr>
          <w:rFonts w:hint="eastAsia" w:ascii="宋体" w:hAnsi="宋体" w:cs="宋体"/>
          <w:szCs w:val="21"/>
        </w:rPr>
        <w:t>劳动合同或保险缴纳凭证、工资发放凭证等证实本公司聘用建档立卡贫困人员的材料，并加盖供应商单位公章。</w:t>
      </w:r>
    </w:p>
    <w:p>
      <w:pPr>
        <w:numPr>
          <w:ilvl w:val="2"/>
          <w:numId w:val="15"/>
        </w:numPr>
        <w:snapToGrid w:val="0"/>
        <w:spacing w:line="360" w:lineRule="auto"/>
      </w:pPr>
      <w:r>
        <w:rPr>
          <w:rFonts w:hint="eastAsia" w:ascii="宋体" w:hAnsi="宋体" w:cs="宋体"/>
          <w:szCs w:val="21"/>
        </w:rPr>
        <w:t>如公司通过服务外包工方式聘用了建档立卡贫困人员，还应提供公司与服务外包公司签订的合同或协议，以及扶贫部门出具的该服务外包聘用建档立卡贫困人员具体数量证明，并加盖供应商单位公章。</w:t>
      </w:r>
    </w:p>
    <w:p>
      <w:pPr>
        <w:rPr>
          <w:rFonts w:ascii="宋体" w:hAnsi="宋体" w:cs="宋体"/>
          <w:b/>
          <w:bCs/>
          <w:szCs w:val="21"/>
        </w:rPr>
      </w:pPr>
      <w:r>
        <w:rPr>
          <w:rFonts w:hint="eastAsia" w:ascii="宋体" w:hAnsi="宋体" w:cs="宋体"/>
          <w:b/>
          <w:bCs/>
          <w:szCs w:val="21"/>
        </w:rPr>
        <w:t>备注：投标人的</w:t>
      </w:r>
      <w:r>
        <w:rPr>
          <w:rFonts w:hint="eastAsia" w:ascii="宋体" w:hAnsi="宋体" w:cs="宋体"/>
          <w:b/>
          <w:bCs/>
          <w:szCs w:val="21"/>
          <w:lang w:val="en-US" w:eastAsia="zh-CN"/>
        </w:rPr>
        <w:t>下浮率高于</w:t>
      </w:r>
      <w:r>
        <w:rPr>
          <w:rFonts w:hint="eastAsia" w:ascii="宋体" w:hAnsi="宋体" w:cs="宋体"/>
          <w:b/>
          <w:bCs/>
          <w:color w:val="FF0000"/>
          <w:szCs w:val="21"/>
          <w:lang w:val="en-US" w:eastAsia="zh-CN"/>
        </w:rPr>
        <w:t>20</w:t>
      </w:r>
      <w:r>
        <w:rPr>
          <w:rFonts w:hint="eastAsia" w:ascii="宋体" w:hAnsi="宋体" w:cs="宋体"/>
          <w:b/>
          <w:bCs/>
          <w:color w:val="FF0000"/>
          <w:szCs w:val="21"/>
        </w:rPr>
        <w:t>%</w:t>
      </w:r>
      <w:r>
        <w:rPr>
          <w:rFonts w:hint="eastAsia" w:ascii="宋体" w:hAnsi="宋体" w:cs="宋体"/>
          <w:b/>
          <w:bCs/>
          <w:szCs w:val="21"/>
        </w:rPr>
        <w:t>的，使得其投标报价可能低于其个别成本，必须出具详细的成本计算清单，包括但不限于拟投本采购项目各项成本，投入项目人员的每日工资、工时、福利、社保等人工成本，企业税负和财务成本，风险准备和合理利润，以及项目实施过程中可能涉及到的其他费用；经本次项目的评标委员会评审按投票表决的方式，通过人数大于总人数的 1/2 的，则通过，否则按投标无效处理。</w:t>
      </w:r>
    </w:p>
    <w:p>
      <w:pPr>
        <w:spacing w:before="156" w:beforeLines="50" w:after="156" w:afterLines="50" w:line="360" w:lineRule="auto"/>
        <w:ind w:firstLine="562" w:firstLineChars="200"/>
        <w:jc w:val="center"/>
        <w:outlineLvl w:val="0"/>
        <w:rPr>
          <w:rFonts w:ascii="宋体" w:hAnsi="宋体"/>
          <w:b/>
          <w:bCs/>
          <w:sz w:val="28"/>
          <w:szCs w:val="28"/>
        </w:rPr>
      </w:pPr>
      <w:r>
        <w:rPr>
          <w:rFonts w:hint="eastAsia" w:ascii="宋体" w:hAnsi="宋体"/>
          <w:b/>
          <w:bCs/>
          <w:sz w:val="28"/>
          <w:szCs w:val="28"/>
        </w:rPr>
        <w:br w:type="page"/>
      </w:r>
    </w:p>
    <w:p>
      <w:pPr>
        <w:spacing w:before="156" w:beforeLines="50" w:after="156" w:afterLines="50" w:line="360" w:lineRule="auto"/>
        <w:ind w:firstLine="562" w:firstLineChars="200"/>
        <w:jc w:val="center"/>
        <w:outlineLvl w:val="0"/>
        <w:rPr>
          <w:rFonts w:ascii="宋体" w:hAnsi="宋体"/>
          <w:szCs w:val="21"/>
        </w:rPr>
      </w:pPr>
      <w:bookmarkStart w:id="12" w:name="_Toc16012"/>
      <w:r>
        <w:rPr>
          <w:rFonts w:hint="eastAsia" w:ascii="宋体" w:hAnsi="宋体"/>
          <w:b/>
          <w:bCs/>
          <w:sz w:val="28"/>
          <w:szCs w:val="28"/>
        </w:rPr>
        <w:t>第四章  用户需求书</w:t>
      </w:r>
      <w:bookmarkEnd w:id="12"/>
    </w:p>
    <w:p>
      <w:pPr>
        <w:snapToGrid w:val="0"/>
        <w:spacing w:line="360" w:lineRule="auto"/>
        <w:rPr>
          <w:rFonts w:ascii="宋体" w:hAnsi="宋体"/>
          <w:b/>
          <w:bCs/>
          <w:szCs w:val="21"/>
        </w:rPr>
      </w:pPr>
      <w:r>
        <w:rPr>
          <w:rFonts w:hint="eastAsia" w:ascii="宋体" w:hAnsi="宋体"/>
          <w:b/>
          <w:bCs/>
          <w:szCs w:val="21"/>
        </w:rPr>
        <w:t>说明：</w:t>
      </w:r>
    </w:p>
    <w:p>
      <w:pPr>
        <w:pStyle w:val="2"/>
        <w:rPr>
          <w:b/>
          <w:bCs/>
        </w:rPr>
      </w:pPr>
      <w:r>
        <w:rPr>
          <w:rFonts w:hint="eastAsia"/>
          <w:b/>
          <w:bCs/>
        </w:rPr>
        <w:t>1.投标人须对同一采购项目为单位的货物及服务进行整体响应，任何只对其中一部分内容进行的响应都被视为无效投标。</w:t>
      </w:r>
    </w:p>
    <w:p>
      <w:pPr>
        <w:pStyle w:val="2"/>
        <w:rPr>
          <w:b/>
          <w:bCs/>
        </w:rPr>
      </w:pPr>
      <w:r>
        <w:rPr>
          <w:rFonts w:hint="eastAsia"/>
          <w:b/>
          <w:bCs/>
        </w:rPr>
        <w:t>2.采购人需求中打“▲”号条款为重要服务（技术）参数，但不作为无效投标条款。</w:t>
      </w:r>
    </w:p>
    <w:p>
      <w:pPr>
        <w:pStyle w:val="2"/>
        <w:rPr>
          <w:b/>
          <w:bCs/>
        </w:rPr>
      </w:pPr>
      <w:r>
        <w:rPr>
          <w:rFonts w:hint="eastAsia"/>
          <w:b/>
          <w:bCs/>
        </w:rPr>
        <w:t>3.</w:t>
      </w:r>
      <w:r>
        <w:rPr>
          <w:rFonts w:hint="eastAsia"/>
          <w:b/>
          <w:bCs/>
          <w:lang w:eastAsia="zh-CN"/>
        </w:rPr>
        <w:t>“</w:t>
      </w:r>
      <w:r>
        <w:rPr>
          <w:rFonts w:hint="eastAsia"/>
          <w:b/>
          <w:bCs/>
        </w:rPr>
        <w:t>★</w:t>
      </w:r>
      <w:r>
        <w:rPr>
          <w:rFonts w:hint="eastAsia"/>
          <w:b/>
          <w:bCs/>
          <w:lang w:eastAsia="zh-CN"/>
        </w:rPr>
        <w:t>”</w:t>
      </w:r>
      <w:r>
        <w:rPr>
          <w:rFonts w:hint="eastAsia"/>
          <w:b/>
          <w:bCs/>
        </w:rPr>
        <w:t>号条款为</w:t>
      </w:r>
      <w:r>
        <w:rPr>
          <w:rFonts w:hint="eastAsia"/>
          <w:b/>
          <w:bCs/>
          <w:lang w:val="en-US" w:eastAsia="zh-CN"/>
        </w:rPr>
        <w:t>实质性</w:t>
      </w:r>
      <w:r>
        <w:rPr>
          <w:rFonts w:hint="eastAsia"/>
          <w:b/>
          <w:bCs/>
        </w:rPr>
        <w:t>服务（技术）参数</w:t>
      </w:r>
      <w:r>
        <w:rPr>
          <w:rFonts w:hint="eastAsia"/>
          <w:b/>
          <w:bCs/>
          <w:lang w:eastAsia="zh-CN"/>
        </w:rPr>
        <w:t>，</w:t>
      </w:r>
      <w:r>
        <w:rPr>
          <w:rFonts w:hint="eastAsia"/>
          <w:b/>
          <w:bCs/>
        </w:rPr>
        <w:t>报价人必须对本项目整体内容进行投标，只对本项目部分内容进行投标的将被视为无效投标。</w:t>
      </w:r>
    </w:p>
    <w:p>
      <w:pPr>
        <w:pStyle w:val="2"/>
      </w:pPr>
    </w:p>
    <w:p>
      <w:pPr>
        <w:spacing w:line="400" w:lineRule="exact"/>
        <w:ind w:firstLine="482" w:firstLineChars="200"/>
        <w:rPr>
          <w:rFonts w:hint="eastAsia" w:ascii="宋体" w:hAnsi="宋体"/>
          <w:b/>
          <w:sz w:val="24"/>
          <w:szCs w:val="24"/>
        </w:rPr>
      </w:pPr>
      <w:r>
        <w:rPr>
          <w:rFonts w:hint="eastAsia" w:ascii="宋体" w:hAnsi="宋体"/>
          <w:b/>
          <w:sz w:val="24"/>
          <w:szCs w:val="24"/>
        </w:rPr>
        <w:t>一、项目概况</w:t>
      </w:r>
    </w:p>
    <w:p>
      <w:pPr>
        <w:spacing w:line="400" w:lineRule="exact"/>
        <w:ind w:firstLine="480" w:firstLineChars="200"/>
        <w:jc w:val="left"/>
        <w:rPr>
          <w:rFonts w:hint="eastAsia" w:ascii="宋体" w:hAnsi="宋体"/>
          <w:sz w:val="24"/>
          <w:szCs w:val="24"/>
        </w:rPr>
      </w:pPr>
      <w:r>
        <w:rPr>
          <w:rFonts w:hint="eastAsia" w:ascii="宋体" w:hAnsi="宋体"/>
          <w:sz w:val="24"/>
          <w:szCs w:val="24"/>
        </w:rPr>
        <w:t>（一）本项目为广东省广州监狱所需的罪犯生活物资—副食品</w:t>
      </w:r>
      <w:r>
        <w:rPr>
          <w:rFonts w:hint="eastAsia" w:ascii="宋体" w:hAnsi="宋体"/>
          <w:sz w:val="24"/>
          <w:szCs w:val="24"/>
          <w:lang w:eastAsia="zh-CN"/>
        </w:rPr>
        <w:t>（</w:t>
      </w:r>
      <w:r>
        <w:rPr>
          <w:rFonts w:hint="eastAsia" w:ascii="宋体" w:hAnsi="宋体"/>
          <w:sz w:val="24"/>
          <w:szCs w:val="24"/>
          <w:lang w:val="en-US" w:eastAsia="zh-CN"/>
        </w:rPr>
        <w:t>2019-2021年度）</w:t>
      </w:r>
      <w:r>
        <w:rPr>
          <w:rFonts w:hint="eastAsia" w:ascii="宋体" w:hAnsi="宋体"/>
          <w:sz w:val="24"/>
          <w:szCs w:val="24"/>
        </w:rPr>
        <w:t>的</w:t>
      </w:r>
      <w:r>
        <w:rPr>
          <w:rFonts w:hint="eastAsia" w:ascii="宋体" w:hAnsi="宋体"/>
          <w:sz w:val="24"/>
          <w:szCs w:val="24"/>
          <w:lang w:eastAsia="zh-CN"/>
        </w:rPr>
        <w:t>补充</w:t>
      </w:r>
      <w:r>
        <w:rPr>
          <w:rFonts w:hint="eastAsia" w:ascii="宋体" w:hAnsi="宋体"/>
          <w:sz w:val="24"/>
          <w:szCs w:val="24"/>
        </w:rPr>
        <w:t>采购，货物的</w:t>
      </w:r>
      <w:r>
        <w:rPr>
          <w:rFonts w:hint="eastAsia" w:ascii="宋体" w:hAnsi="宋体"/>
          <w:sz w:val="24"/>
          <w:szCs w:val="24"/>
          <w:lang w:eastAsia="zh-CN"/>
        </w:rPr>
        <w:t>补充采购</w:t>
      </w:r>
      <w:r>
        <w:rPr>
          <w:rFonts w:hint="eastAsia" w:ascii="宋体" w:hAnsi="宋体"/>
          <w:sz w:val="24"/>
          <w:szCs w:val="24"/>
        </w:rPr>
        <w:t>供应期为20</w:t>
      </w:r>
      <w:r>
        <w:rPr>
          <w:rFonts w:hint="eastAsia" w:ascii="宋体" w:hAnsi="宋体"/>
          <w:sz w:val="24"/>
          <w:szCs w:val="24"/>
          <w:lang w:val="en-US" w:eastAsia="zh-CN"/>
        </w:rPr>
        <w:t>21</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月1</w:t>
      </w:r>
      <w:r>
        <w:rPr>
          <w:rFonts w:hint="eastAsia" w:ascii="宋体" w:hAnsi="宋体"/>
          <w:sz w:val="24"/>
          <w:szCs w:val="24"/>
          <w:lang w:val="en-US" w:eastAsia="zh-CN"/>
        </w:rPr>
        <w:t>5</w:t>
      </w:r>
      <w:r>
        <w:rPr>
          <w:rFonts w:hint="eastAsia" w:ascii="宋体" w:hAnsi="宋体"/>
          <w:sz w:val="24"/>
          <w:szCs w:val="24"/>
        </w:rPr>
        <w:t>日至2021年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14</w:t>
      </w:r>
      <w:r>
        <w:rPr>
          <w:rFonts w:hint="eastAsia" w:ascii="宋体" w:hAnsi="宋体"/>
          <w:sz w:val="24"/>
          <w:szCs w:val="24"/>
        </w:rPr>
        <w:t>日</w:t>
      </w:r>
      <w:r>
        <w:rPr>
          <w:rFonts w:hint="eastAsia" w:ascii="宋体" w:hAnsi="宋体"/>
          <w:sz w:val="24"/>
          <w:szCs w:val="24"/>
          <w:lang w:eastAsia="zh-CN"/>
        </w:rPr>
        <w:t>（</w:t>
      </w:r>
      <w:r>
        <w:rPr>
          <w:rFonts w:hint="eastAsia" w:ascii="宋体" w:hAnsi="宋体"/>
          <w:sz w:val="24"/>
          <w:szCs w:val="24"/>
          <w:lang w:val="en-US" w:eastAsia="zh-CN"/>
        </w:rPr>
        <w:t>如4月15日前未能完成本项目招标采购，则合同起始时间顺延</w:t>
      </w:r>
      <w:r>
        <w:rPr>
          <w:rFonts w:hint="eastAsia" w:ascii="宋体" w:hAnsi="宋体"/>
          <w:sz w:val="24"/>
          <w:szCs w:val="24"/>
          <w:lang w:eastAsia="zh-CN"/>
        </w:rPr>
        <w:t>）</w:t>
      </w:r>
      <w:r>
        <w:rPr>
          <w:rFonts w:hint="eastAsia" w:ascii="宋体" w:hAnsi="宋体"/>
          <w:sz w:val="24"/>
          <w:szCs w:val="24"/>
        </w:rPr>
        <w:t>。</w:t>
      </w:r>
    </w:p>
    <w:p>
      <w:pPr>
        <w:spacing w:line="400" w:lineRule="exact"/>
        <w:ind w:firstLine="480" w:firstLineChars="200"/>
        <w:jc w:val="left"/>
        <w:rPr>
          <w:rFonts w:hint="eastAsia" w:ascii="宋体" w:hAnsi="宋体"/>
          <w:sz w:val="24"/>
          <w:szCs w:val="24"/>
        </w:rPr>
      </w:pPr>
      <w:r>
        <w:rPr>
          <w:rFonts w:hint="eastAsia" w:ascii="宋体" w:hAnsi="宋体"/>
          <w:sz w:val="24"/>
          <w:szCs w:val="24"/>
        </w:rPr>
        <w:t>（二）本项目所需物资按监狱需求分期分批供应，副食品采购金额约1</w:t>
      </w:r>
      <w:r>
        <w:rPr>
          <w:rFonts w:hint="eastAsia" w:ascii="宋体" w:hAnsi="宋体"/>
          <w:sz w:val="24"/>
          <w:szCs w:val="24"/>
          <w:lang w:val="en-US" w:eastAsia="zh-CN"/>
        </w:rPr>
        <w:t>6</w:t>
      </w:r>
      <w:r>
        <w:rPr>
          <w:rFonts w:hint="eastAsia" w:ascii="宋体" w:hAnsi="宋体"/>
          <w:sz w:val="24"/>
          <w:szCs w:val="24"/>
        </w:rPr>
        <w:t>万元/月。</w:t>
      </w:r>
    </w:p>
    <w:p>
      <w:pPr>
        <w:spacing w:line="400" w:lineRule="exact"/>
        <w:ind w:firstLine="482" w:firstLineChars="200"/>
        <w:jc w:val="left"/>
        <w:rPr>
          <w:rFonts w:hint="eastAsia"/>
          <w:b/>
          <w:color w:val="000000"/>
          <w:sz w:val="24"/>
          <w:szCs w:val="24"/>
        </w:rPr>
      </w:pPr>
    </w:p>
    <w:p>
      <w:pPr>
        <w:adjustRightInd w:val="0"/>
        <w:spacing w:line="400" w:lineRule="exact"/>
        <w:ind w:firstLine="482" w:firstLineChars="200"/>
        <w:rPr>
          <w:rFonts w:hint="eastAsia" w:ascii="宋体" w:hAnsi="宋体" w:cs="宋体"/>
          <w:b/>
          <w:kern w:val="0"/>
          <w:sz w:val="24"/>
          <w:szCs w:val="24"/>
        </w:rPr>
      </w:pPr>
      <w:r>
        <w:rPr>
          <w:rFonts w:hint="eastAsia"/>
          <w:b/>
          <w:color w:val="000000"/>
          <w:sz w:val="24"/>
          <w:szCs w:val="24"/>
        </w:rPr>
        <w:t>二、</w:t>
      </w:r>
      <w:r>
        <w:rPr>
          <w:rFonts w:hint="eastAsia" w:ascii="宋体" w:hAnsi="宋体" w:cs="宋体"/>
          <w:b/>
          <w:kern w:val="0"/>
          <w:sz w:val="24"/>
          <w:szCs w:val="24"/>
        </w:rPr>
        <w:t>合格投标人资格要求</w:t>
      </w:r>
    </w:p>
    <w:p>
      <w:pPr>
        <w:spacing w:line="400" w:lineRule="exact"/>
        <w:ind w:firstLine="480" w:firstLineChars="200"/>
        <w:rPr>
          <w:rFonts w:hint="eastAsia" w:ascii="宋体" w:hAnsi="宋体"/>
          <w:sz w:val="24"/>
          <w:szCs w:val="24"/>
        </w:rPr>
      </w:pPr>
      <w:r>
        <w:rPr>
          <w:rFonts w:hint="eastAsia" w:ascii="宋体" w:hAnsi="宋体"/>
          <w:sz w:val="24"/>
          <w:szCs w:val="24"/>
        </w:rPr>
        <w:t>（一）具备《政府采购法》第二十二条所规定的条件：</w:t>
      </w:r>
    </w:p>
    <w:p>
      <w:pPr>
        <w:spacing w:line="400" w:lineRule="exact"/>
        <w:ind w:firstLine="480" w:firstLineChars="200"/>
        <w:rPr>
          <w:rFonts w:hint="eastAsia" w:ascii="宋体" w:hAnsi="宋体"/>
          <w:sz w:val="24"/>
          <w:szCs w:val="24"/>
        </w:rPr>
      </w:pPr>
      <w:r>
        <w:rPr>
          <w:rFonts w:hint="eastAsia" w:ascii="宋体" w:hAnsi="宋体"/>
          <w:sz w:val="24"/>
          <w:szCs w:val="24"/>
        </w:rPr>
        <w:t>1．具有独立承担民事责任能力；</w:t>
      </w:r>
    </w:p>
    <w:p>
      <w:pPr>
        <w:spacing w:line="400" w:lineRule="exact"/>
        <w:ind w:firstLine="480" w:firstLineChars="200"/>
        <w:rPr>
          <w:rFonts w:hint="eastAsia" w:ascii="宋体" w:hAnsi="宋体"/>
          <w:sz w:val="24"/>
          <w:szCs w:val="24"/>
        </w:rPr>
      </w:pPr>
      <w:r>
        <w:rPr>
          <w:rFonts w:hint="eastAsia" w:ascii="宋体" w:hAnsi="宋体"/>
          <w:sz w:val="24"/>
          <w:szCs w:val="24"/>
        </w:rPr>
        <w:t>2．具有良好的商业信誉和健全的财务会计制度；</w:t>
      </w:r>
    </w:p>
    <w:p>
      <w:pPr>
        <w:spacing w:line="400" w:lineRule="exact"/>
        <w:ind w:firstLine="480" w:firstLineChars="200"/>
        <w:rPr>
          <w:rFonts w:hint="eastAsia" w:ascii="宋体" w:hAnsi="宋体"/>
          <w:sz w:val="24"/>
          <w:szCs w:val="24"/>
        </w:rPr>
      </w:pPr>
      <w:r>
        <w:rPr>
          <w:rFonts w:hint="eastAsia" w:ascii="宋体" w:hAnsi="宋体"/>
          <w:sz w:val="24"/>
          <w:szCs w:val="24"/>
        </w:rPr>
        <w:t>3．具有履行合同所必需的设备和专业技术能力；</w:t>
      </w:r>
    </w:p>
    <w:p>
      <w:pPr>
        <w:spacing w:line="400" w:lineRule="exact"/>
        <w:ind w:firstLine="480" w:firstLineChars="200"/>
        <w:rPr>
          <w:rFonts w:hint="eastAsia" w:ascii="宋体" w:hAnsi="宋体"/>
          <w:sz w:val="24"/>
          <w:szCs w:val="24"/>
        </w:rPr>
      </w:pPr>
      <w:r>
        <w:rPr>
          <w:rFonts w:hint="eastAsia" w:ascii="宋体" w:hAnsi="宋体"/>
          <w:sz w:val="24"/>
          <w:szCs w:val="24"/>
        </w:rPr>
        <w:t>4．有依法缴纳税收和社会保障资金的良好记录；</w:t>
      </w:r>
    </w:p>
    <w:p>
      <w:pPr>
        <w:spacing w:line="400" w:lineRule="exact"/>
        <w:ind w:firstLine="480" w:firstLineChars="200"/>
        <w:rPr>
          <w:rFonts w:hint="eastAsia" w:ascii="宋体" w:hAnsi="宋体"/>
          <w:sz w:val="24"/>
          <w:szCs w:val="24"/>
        </w:rPr>
      </w:pPr>
      <w:r>
        <w:rPr>
          <w:rFonts w:hint="eastAsia" w:ascii="宋体" w:hAnsi="宋体"/>
          <w:sz w:val="24"/>
          <w:szCs w:val="24"/>
        </w:rPr>
        <w:t>5．参加政府采购活动前三年内，在经营活动中没有重大违法记录；</w:t>
      </w:r>
    </w:p>
    <w:p>
      <w:pPr>
        <w:spacing w:line="400" w:lineRule="exact"/>
        <w:ind w:firstLine="480" w:firstLineChars="200"/>
        <w:rPr>
          <w:rFonts w:hint="eastAsia" w:ascii="宋体" w:hAnsi="宋体"/>
          <w:sz w:val="24"/>
          <w:szCs w:val="24"/>
        </w:rPr>
      </w:pPr>
      <w:r>
        <w:rPr>
          <w:rFonts w:hint="eastAsia" w:ascii="宋体" w:hAnsi="宋体"/>
          <w:sz w:val="24"/>
          <w:szCs w:val="24"/>
        </w:rPr>
        <w:t>6．法律、行政法规规定的其他条件。</w:t>
      </w:r>
    </w:p>
    <w:p>
      <w:pPr>
        <w:spacing w:line="400" w:lineRule="exact"/>
        <w:ind w:firstLine="480" w:firstLineChars="200"/>
        <w:rPr>
          <w:rFonts w:hint="eastAsia" w:ascii="宋体" w:hAnsi="宋体"/>
          <w:sz w:val="24"/>
          <w:szCs w:val="24"/>
        </w:rPr>
      </w:pPr>
      <w:r>
        <w:rPr>
          <w:rFonts w:hint="eastAsia" w:ascii="宋体" w:hAnsi="宋体"/>
          <w:sz w:val="24"/>
          <w:szCs w:val="24"/>
        </w:rPr>
        <w:t>（二）在中华人民共和国境内注册的法人、其他组织或自然人；</w:t>
      </w:r>
    </w:p>
    <w:p>
      <w:pPr>
        <w:spacing w:line="400" w:lineRule="exact"/>
        <w:ind w:firstLine="480" w:firstLineChars="200"/>
        <w:rPr>
          <w:rFonts w:hint="eastAsia" w:ascii="宋体" w:hAnsi="宋体"/>
          <w:sz w:val="24"/>
          <w:szCs w:val="24"/>
        </w:rPr>
      </w:pPr>
      <w:r>
        <w:rPr>
          <w:rFonts w:hint="eastAsia" w:ascii="宋体" w:hAnsi="宋体"/>
          <w:sz w:val="24"/>
          <w:szCs w:val="24"/>
        </w:rPr>
        <w:t>（三）具有与本项目采购货物相应的经营许可；具有有效的《营业执照》、《税务登记证》、《组织机构代码证》或三证合一的《营业执照》，《食品经营许可证》；</w:t>
      </w:r>
    </w:p>
    <w:p>
      <w:pPr>
        <w:adjustRightInd w:val="0"/>
        <w:spacing w:line="400" w:lineRule="exact"/>
        <w:ind w:firstLine="480" w:firstLineChars="200"/>
        <w:rPr>
          <w:rFonts w:hint="eastAsia" w:ascii="宋体" w:hAnsi="宋体"/>
          <w:sz w:val="24"/>
          <w:szCs w:val="24"/>
        </w:rPr>
      </w:pPr>
      <w:r>
        <w:rPr>
          <w:rFonts w:hint="eastAsia" w:ascii="宋体" w:hAnsi="宋体"/>
          <w:sz w:val="24"/>
          <w:szCs w:val="24"/>
        </w:rPr>
        <w:t>（四）本项目不接受联合体投标；</w:t>
      </w:r>
    </w:p>
    <w:p>
      <w:pPr>
        <w:adjustRightInd w:val="0"/>
        <w:spacing w:line="400" w:lineRule="exact"/>
        <w:ind w:firstLine="480" w:firstLineChars="200"/>
        <w:rPr>
          <w:rFonts w:hint="eastAsia" w:ascii="宋体" w:hAnsi="宋体"/>
          <w:sz w:val="24"/>
          <w:szCs w:val="24"/>
        </w:rPr>
      </w:pPr>
      <w:r>
        <w:rPr>
          <w:rFonts w:hint="eastAsia" w:ascii="宋体" w:hAnsi="宋体"/>
          <w:sz w:val="24"/>
          <w:szCs w:val="24"/>
        </w:rPr>
        <w:t>（五）</w:t>
      </w:r>
      <w:r>
        <w:rPr>
          <w:rFonts w:ascii="宋体" w:hAnsi="宋体"/>
          <w:sz w:val="24"/>
          <w:szCs w:val="24"/>
        </w:rPr>
        <w:t>存在隶属关系或同属一母公司</w:t>
      </w:r>
      <w:r>
        <w:rPr>
          <w:rFonts w:hint="eastAsia" w:ascii="宋体" w:hAnsi="宋体"/>
          <w:sz w:val="24"/>
          <w:szCs w:val="24"/>
        </w:rPr>
        <w:t>或法人</w:t>
      </w:r>
      <w:r>
        <w:rPr>
          <w:rFonts w:ascii="宋体" w:hAnsi="宋体"/>
          <w:sz w:val="24"/>
          <w:szCs w:val="24"/>
        </w:rPr>
        <w:t>的企业，仅能由一家企业参与投标</w:t>
      </w:r>
      <w:r>
        <w:rPr>
          <w:rFonts w:hint="eastAsia" w:ascii="宋体" w:hAnsi="宋体"/>
          <w:sz w:val="24"/>
          <w:szCs w:val="24"/>
        </w:rPr>
        <w:t>。</w:t>
      </w:r>
    </w:p>
    <w:p>
      <w:pPr>
        <w:adjustRightInd w:val="0"/>
        <w:spacing w:line="400" w:lineRule="exact"/>
        <w:ind w:firstLine="480" w:firstLineChars="200"/>
        <w:rPr>
          <w:rFonts w:hint="eastAsia" w:ascii="宋体" w:hAnsi="宋体"/>
          <w:sz w:val="24"/>
          <w:szCs w:val="24"/>
        </w:rPr>
      </w:pPr>
      <w:r>
        <w:rPr>
          <w:rFonts w:hint="eastAsia" w:ascii="宋体" w:hAnsi="宋体"/>
          <w:sz w:val="24"/>
          <w:szCs w:val="24"/>
        </w:rPr>
        <w:t>（六）供应商未被列入“信用中国”网站“记录失信被执行人或重大税收违法案件当事人名单或政府采购严重违法失信行为记录名单”；不处于中国政府采购网“政府采购严重违法失信行为信息记录”中的禁止参加政府采购活动期间。（以采购代理机构于报价截止日当天在“信用中国”网站及中国政府采购网查询结果为准，如相关失信记录已失效，报价人需提供相关证明材料）。</w:t>
      </w:r>
    </w:p>
    <w:p>
      <w:pPr>
        <w:spacing w:line="400" w:lineRule="exact"/>
        <w:ind w:firstLine="482" w:firstLineChars="200"/>
        <w:rPr>
          <w:rFonts w:hint="eastAsia"/>
          <w:b/>
          <w:color w:val="000000"/>
          <w:sz w:val="24"/>
          <w:szCs w:val="24"/>
        </w:rPr>
      </w:pPr>
    </w:p>
    <w:p>
      <w:pPr>
        <w:spacing w:line="400" w:lineRule="exact"/>
        <w:ind w:firstLine="482" w:firstLineChars="200"/>
        <w:rPr>
          <w:rFonts w:hint="eastAsia"/>
          <w:b/>
          <w:color w:val="000000"/>
          <w:sz w:val="24"/>
          <w:szCs w:val="24"/>
        </w:rPr>
      </w:pPr>
      <w:r>
        <w:rPr>
          <w:rFonts w:hint="eastAsia"/>
          <w:b/>
          <w:color w:val="000000"/>
          <w:sz w:val="24"/>
          <w:szCs w:val="24"/>
        </w:rPr>
        <w:t>三、货物报价及最高限价、品种、质量要求</w:t>
      </w:r>
    </w:p>
    <w:p>
      <w:pPr>
        <w:spacing w:line="400" w:lineRule="exact"/>
        <w:ind w:firstLine="482" w:firstLineChars="200"/>
        <w:rPr>
          <w:rFonts w:hint="eastAsia" w:ascii="宋体" w:hAnsi="宋体"/>
          <w:spacing w:val="-2"/>
          <w:sz w:val="24"/>
          <w:szCs w:val="24"/>
        </w:rPr>
      </w:pPr>
      <w:r>
        <w:rPr>
          <w:rFonts w:hint="eastAsia" w:ascii="宋体" w:hAnsi="宋体"/>
          <w:b/>
          <w:sz w:val="24"/>
          <w:szCs w:val="24"/>
        </w:rPr>
        <w:t>（一）报价及最高限价：</w:t>
      </w:r>
      <w:r>
        <w:rPr>
          <w:rFonts w:hint="eastAsia" w:ascii="宋体" w:hAnsi="宋体"/>
          <w:sz w:val="24"/>
          <w:szCs w:val="24"/>
        </w:rPr>
        <w:t>投标报价包含产品价格、运输、装卸、售后服务</w:t>
      </w:r>
      <w:r>
        <w:rPr>
          <w:rFonts w:hint="eastAsia" w:ascii="宋体" w:hAnsi="宋体"/>
          <w:spacing w:val="-2"/>
          <w:sz w:val="24"/>
          <w:szCs w:val="24"/>
        </w:rPr>
        <w:t>、保险、搬运费、税金等一切费用，价格精确到分。</w:t>
      </w:r>
    </w:p>
    <w:p>
      <w:pPr>
        <w:spacing w:line="400" w:lineRule="exact"/>
        <w:ind w:firstLine="474" w:firstLineChars="200"/>
        <w:rPr>
          <w:rFonts w:hint="eastAsia" w:ascii="宋体" w:hAnsi="宋体"/>
          <w:spacing w:val="-2"/>
          <w:sz w:val="24"/>
          <w:szCs w:val="24"/>
        </w:rPr>
      </w:pPr>
      <w:r>
        <w:rPr>
          <w:rFonts w:hint="eastAsia" w:ascii="宋体" w:hAnsi="宋体"/>
          <w:b/>
          <w:spacing w:val="-2"/>
          <w:sz w:val="24"/>
          <w:szCs w:val="24"/>
        </w:rPr>
        <w:t>单价最高限价：详阅</w:t>
      </w:r>
      <w:r>
        <w:rPr>
          <w:rFonts w:hint="eastAsia" w:ascii="宋体" w:hAnsi="宋体"/>
          <w:b/>
          <w:sz w:val="24"/>
          <w:szCs w:val="24"/>
        </w:rPr>
        <w:t>品种限价表格，超过最高限价的视为无效投标。</w:t>
      </w:r>
    </w:p>
    <w:p>
      <w:pPr>
        <w:spacing w:line="400" w:lineRule="exact"/>
        <w:ind w:firstLine="482" w:firstLineChars="200"/>
        <w:rPr>
          <w:rFonts w:hint="eastAsia" w:ascii="宋体" w:hAnsi="宋体"/>
          <w:spacing w:val="-2"/>
          <w:sz w:val="24"/>
          <w:szCs w:val="24"/>
        </w:rPr>
      </w:pPr>
      <w:r>
        <w:rPr>
          <w:rFonts w:hint="eastAsia"/>
          <w:b/>
          <w:color w:val="000000"/>
          <w:sz w:val="24"/>
          <w:szCs w:val="24"/>
        </w:rPr>
        <w:t>投标报价采用投报“</w:t>
      </w:r>
      <w:r>
        <w:rPr>
          <w:rFonts w:hint="eastAsia"/>
          <w:b/>
          <w:color w:val="000000"/>
          <w:sz w:val="24"/>
          <w:szCs w:val="24"/>
          <w:lang w:val="en-US" w:eastAsia="zh-CN"/>
        </w:rPr>
        <w:t>下浮</w:t>
      </w:r>
      <w:r>
        <w:rPr>
          <w:rFonts w:hint="eastAsia"/>
          <w:b/>
          <w:color w:val="000000"/>
          <w:sz w:val="24"/>
          <w:szCs w:val="24"/>
        </w:rPr>
        <w:t>率（%）”的方式，既报价=最高限价×</w:t>
      </w:r>
      <w:r>
        <w:rPr>
          <w:rFonts w:hint="eastAsia"/>
          <w:b/>
          <w:color w:val="000000"/>
          <w:sz w:val="24"/>
          <w:szCs w:val="24"/>
          <w:lang w:eastAsia="zh-CN"/>
        </w:rPr>
        <w:t>（</w:t>
      </w:r>
      <w:r>
        <w:rPr>
          <w:rFonts w:hint="eastAsia"/>
          <w:b/>
          <w:color w:val="000000"/>
          <w:sz w:val="24"/>
          <w:szCs w:val="24"/>
          <w:lang w:val="en-US" w:eastAsia="zh-CN"/>
        </w:rPr>
        <w:t>1-下浮</w:t>
      </w:r>
      <w:r>
        <w:rPr>
          <w:rFonts w:hint="eastAsia"/>
          <w:b/>
          <w:color w:val="000000"/>
          <w:sz w:val="24"/>
          <w:szCs w:val="24"/>
        </w:rPr>
        <w:t>率（%）</w:t>
      </w:r>
      <w:r>
        <w:rPr>
          <w:rFonts w:hint="eastAsia"/>
          <w:b/>
          <w:color w:val="000000"/>
          <w:sz w:val="24"/>
          <w:szCs w:val="24"/>
          <w:lang w:eastAsia="zh-CN"/>
        </w:rPr>
        <w:t>）</w:t>
      </w:r>
      <w:r>
        <w:rPr>
          <w:rFonts w:hint="eastAsia"/>
          <w:b/>
          <w:color w:val="000000"/>
          <w:sz w:val="24"/>
          <w:szCs w:val="24"/>
        </w:rPr>
        <w:t>，（投标人对整个供应项目报一个唯一的</w:t>
      </w:r>
      <w:r>
        <w:rPr>
          <w:rFonts w:hint="eastAsia"/>
          <w:b/>
          <w:color w:val="000000"/>
          <w:sz w:val="24"/>
          <w:szCs w:val="24"/>
          <w:lang w:val="en-US" w:eastAsia="zh-CN"/>
        </w:rPr>
        <w:t>下浮</w:t>
      </w:r>
      <w:r>
        <w:rPr>
          <w:rFonts w:hint="eastAsia"/>
          <w:b/>
          <w:color w:val="000000"/>
          <w:sz w:val="24"/>
          <w:szCs w:val="24"/>
        </w:rPr>
        <w:t>率即可）。</w:t>
      </w:r>
    </w:p>
    <w:p>
      <w:pPr>
        <w:spacing w:line="400" w:lineRule="exact"/>
        <w:ind w:firstLine="482" w:firstLineChars="200"/>
        <w:rPr>
          <w:rFonts w:hint="eastAsia"/>
          <w:b/>
          <w:color w:val="000000"/>
          <w:sz w:val="24"/>
          <w:szCs w:val="24"/>
        </w:rPr>
      </w:pPr>
    </w:p>
    <w:p>
      <w:pPr>
        <w:spacing w:line="400" w:lineRule="exact"/>
        <w:ind w:firstLine="482" w:firstLineChars="200"/>
        <w:jc w:val="left"/>
        <w:rPr>
          <w:rFonts w:hint="eastAsia" w:ascii="宋体" w:hAnsi="宋体"/>
          <w:b/>
          <w:color w:val="000000"/>
          <w:sz w:val="24"/>
          <w:szCs w:val="24"/>
        </w:rPr>
      </w:pPr>
      <w:r>
        <w:rPr>
          <w:rFonts w:hint="eastAsia" w:ascii="宋体" w:hAnsi="宋体"/>
          <w:b/>
          <w:sz w:val="24"/>
          <w:szCs w:val="24"/>
        </w:rPr>
        <w:t>（二）副食品类</w:t>
      </w:r>
      <w:r>
        <w:rPr>
          <w:rFonts w:hint="eastAsia" w:ascii="宋体" w:hAnsi="宋体"/>
          <w:b/>
          <w:color w:val="000000"/>
          <w:sz w:val="24"/>
          <w:szCs w:val="24"/>
        </w:rPr>
        <w:t>货物总体质量要求</w:t>
      </w:r>
    </w:p>
    <w:p>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1、货物包装应完好无破漏，可视的内容物无腐败霉变或影响使用的变型，不存在危及人身、财产安全的不合理危险。</w:t>
      </w:r>
    </w:p>
    <w:p>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2、货物应当具备其应当具备的使用性能，应当符合国家或行业标准。</w:t>
      </w:r>
    </w:p>
    <w:p>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3、食品包装标签应符合《食品安全国家标准 预包装食品标签通则》（GB 7718）要求，包括食品名称、配料表、净含量、规格、生产者（或）经销者的名称、地址和联系方式、生产日期和保质期、贮存条件、食品生产许可证编号、产品标准代号等内容。</w:t>
      </w:r>
    </w:p>
    <w:p>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4、有保质期限的商品剩余保存期不得少于原有保质期的三分之二。</w:t>
      </w:r>
    </w:p>
    <w:p>
      <w:pPr>
        <w:spacing w:line="400" w:lineRule="exact"/>
        <w:ind w:firstLine="482" w:firstLineChars="200"/>
        <w:jc w:val="left"/>
        <w:rPr>
          <w:rFonts w:hint="eastAsia" w:ascii="宋体" w:hAnsi="宋体"/>
          <w:b/>
          <w:sz w:val="24"/>
          <w:szCs w:val="24"/>
        </w:rPr>
      </w:pPr>
      <w:r>
        <w:rPr>
          <w:rFonts w:hint="eastAsia" w:ascii="宋体" w:hAnsi="宋体"/>
          <w:b/>
          <w:sz w:val="24"/>
          <w:szCs w:val="24"/>
        </w:rPr>
        <w:t>（</w:t>
      </w:r>
      <w:r>
        <w:rPr>
          <w:rFonts w:hint="eastAsia" w:ascii="宋体" w:hAnsi="宋体"/>
          <w:b/>
          <w:sz w:val="24"/>
          <w:szCs w:val="24"/>
          <w:lang w:val="en-US" w:eastAsia="zh-CN"/>
        </w:rPr>
        <w:t>三</w:t>
      </w:r>
      <w:r>
        <w:rPr>
          <w:rFonts w:hint="eastAsia" w:ascii="宋体" w:hAnsi="宋体"/>
          <w:b/>
          <w:sz w:val="24"/>
          <w:szCs w:val="24"/>
        </w:rPr>
        <w:t>）副食品品种、品牌及质量要求</w:t>
      </w:r>
    </w:p>
    <w:p>
      <w:pPr>
        <w:spacing w:line="400" w:lineRule="exact"/>
        <w:ind w:firstLine="480" w:firstLineChars="200"/>
        <w:jc w:val="left"/>
        <w:rPr>
          <w:rFonts w:hint="eastAsia" w:ascii="宋体" w:hAnsi="宋体"/>
          <w:color w:val="auto"/>
          <w:sz w:val="24"/>
          <w:szCs w:val="24"/>
        </w:rPr>
      </w:pPr>
      <w:r>
        <w:rPr>
          <w:rFonts w:hint="eastAsia" w:ascii="宋体" w:hAnsi="宋体"/>
          <w:color w:val="auto"/>
          <w:sz w:val="24"/>
          <w:szCs w:val="24"/>
        </w:rPr>
        <w:t>1、副食品品种</w:t>
      </w:r>
    </w:p>
    <w:tbl>
      <w:tblPr>
        <w:tblStyle w:val="18"/>
        <w:tblW w:w="0" w:type="auto"/>
        <w:tblInd w:w="0" w:type="dxa"/>
        <w:tblLayout w:type="fixed"/>
        <w:tblCellMar>
          <w:top w:w="0" w:type="dxa"/>
          <w:left w:w="108" w:type="dxa"/>
          <w:bottom w:w="0" w:type="dxa"/>
          <w:right w:w="108" w:type="dxa"/>
        </w:tblCellMar>
      </w:tblPr>
      <w:tblGrid>
        <w:gridCol w:w="770"/>
        <w:gridCol w:w="1706"/>
        <w:gridCol w:w="1311"/>
        <w:gridCol w:w="1517"/>
        <w:gridCol w:w="2162"/>
        <w:gridCol w:w="2496"/>
      </w:tblGrid>
      <w:tr>
        <w:tblPrEx>
          <w:tblCellMar>
            <w:top w:w="0" w:type="dxa"/>
            <w:left w:w="108" w:type="dxa"/>
            <w:bottom w:w="0" w:type="dxa"/>
            <w:right w:w="108" w:type="dxa"/>
          </w:tblCellMar>
        </w:tblPrEx>
        <w:trPr>
          <w:trHeight w:val="780" w:hRule="atLeast"/>
        </w:trPr>
        <w:tc>
          <w:tcPr>
            <w:tcW w:w="77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序号</w:t>
            </w:r>
          </w:p>
        </w:tc>
        <w:tc>
          <w:tcPr>
            <w:tcW w:w="170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商品名称</w:t>
            </w:r>
          </w:p>
        </w:tc>
        <w:tc>
          <w:tcPr>
            <w:tcW w:w="131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规格/质量等级</w:t>
            </w:r>
          </w:p>
        </w:tc>
        <w:tc>
          <w:tcPr>
            <w:tcW w:w="1517"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单位</w:t>
            </w:r>
          </w:p>
        </w:tc>
        <w:tc>
          <w:tcPr>
            <w:tcW w:w="21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最高限价（元）含税费及运费</w:t>
            </w:r>
          </w:p>
        </w:tc>
        <w:tc>
          <w:tcPr>
            <w:tcW w:w="2496"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月均采购数量</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食盐</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800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中筋面粉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3200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米粉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1600</w:t>
            </w:r>
          </w:p>
        </w:tc>
      </w:tr>
      <w:tr>
        <w:tblPrEx>
          <w:tblCellMar>
            <w:top w:w="0" w:type="dxa"/>
            <w:left w:w="108" w:type="dxa"/>
            <w:bottom w:w="0" w:type="dxa"/>
            <w:right w:w="108" w:type="dxa"/>
          </w:tblCellMar>
        </w:tblPrEx>
        <w:trPr>
          <w:trHeight w:val="33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桂林米粉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6.70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鸡蛋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15.30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2000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面饼</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豆腐</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3.85</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1325</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皮蛋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个</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新鲜河粉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3600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咸菜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高筋面粉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800</w:t>
            </w:r>
          </w:p>
        </w:tc>
      </w:tr>
      <w:tr>
        <w:tblPrEx>
          <w:tblCellMar>
            <w:top w:w="0" w:type="dxa"/>
            <w:left w:w="108" w:type="dxa"/>
            <w:bottom w:w="0" w:type="dxa"/>
            <w:right w:w="108" w:type="dxa"/>
          </w:tblCellMar>
        </w:tblPrEx>
        <w:trPr>
          <w:trHeight w:val="33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面条</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6.10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新鲜肠粉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咸鱼</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27.50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萝卜丁</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油炸豆卜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13.70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2100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黄豆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7.30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500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老抽</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升</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700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19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榨菜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榨菜丝</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800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白糖</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1200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雪菜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4.70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粘米粉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4.30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萝卜条</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5.60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0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生抽</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升</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315</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梅菜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沙茶王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头菜丝</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4.70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29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蚝油</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升</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60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豆腐干</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咸蛋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个</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粉丝</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酸菜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黄花菜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卤料</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28.50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生粉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4.20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盐焗鸡粉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眉豆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16.00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4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39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花生米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13.70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700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腐竹</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32.00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350</w:t>
            </w:r>
          </w:p>
        </w:tc>
      </w:tr>
      <w:tr>
        <w:tblPrEx>
          <w:tblCellMar>
            <w:top w:w="0" w:type="dxa"/>
            <w:left w:w="108" w:type="dxa"/>
            <w:bottom w:w="0" w:type="dxa"/>
            <w:right w:w="108" w:type="dxa"/>
          </w:tblCellMar>
        </w:tblPrEx>
        <w:trPr>
          <w:trHeight w:val="31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片糖</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莲蓉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腐乳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豆沙</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味精</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14.50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60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五柳菜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豆瓣酱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250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糯米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49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豆豉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13.10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白醋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升</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红豆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绿豆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10.20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木耳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0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八宝粥料</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7.10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食用纯碱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40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海带</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14.80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120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薏米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3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柴鱼</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59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白菜干</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冬菜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柱候酱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88</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冬菇</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62.00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200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改良剂</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扁豆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熏豆干</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辣椒干粉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16.00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1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雪耳</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color w:val="auto"/>
                <w:kern w:val="0"/>
                <w:sz w:val="24"/>
                <w:szCs w:val="24"/>
              </w:rPr>
              <w:t>发酵粉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16.00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1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69</w:t>
            </w:r>
          </w:p>
        </w:tc>
        <w:tc>
          <w:tcPr>
            <w:tcW w:w="1706" w:type="dxa"/>
            <w:tcBorders>
              <w:top w:val="nil"/>
              <w:left w:val="nil"/>
              <w:bottom w:val="single" w:color="auto" w:sz="4" w:space="0"/>
              <w:right w:val="single" w:color="auto" w:sz="4" w:space="0"/>
            </w:tcBorders>
            <w:noWrap w:val="0"/>
            <w:vAlign w:val="center"/>
          </w:tcPr>
          <w:p>
            <w:pPr>
              <w:widowControl/>
              <w:jc w:val="center"/>
              <w:rPr>
                <w:color w:val="auto"/>
                <w:kern w:val="0"/>
                <w:sz w:val="24"/>
                <w:szCs w:val="24"/>
              </w:rPr>
            </w:pPr>
            <w:r>
              <w:rPr>
                <w:rFonts w:hint="eastAsia" w:ascii="宋体" w:hAnsi="宋体" w:cs="宋体"/>
                <w:color w:val="auto"/>
                <w:kern w:val="0"/>
                <w:sz w:val="24"/>
                <w:szCs w:val="24"/>
              </w:rPr>
              <w:t>霸王花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胡椒粉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剁辣椒酱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10.10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5</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酸梅酱</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酵母</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32.00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40</w:t>
            </w:r>
          </w:p>
        </w:tc>
      </w:tr>
      <w:tr>
        <w:tblPrEx>
          <w:tblCellMar>
            <w:top w:w="0" w:type="dxa"/>
            <w:left w:w="108" w:type="dxa"/>
            <w:bottom w:w="0" w:type="dxa"/>
            <w:right w:w="108" w:type="dxa"/>
          </w:tblCellMar>
        </w:tblPrEx>
        <w:trPr>
          <w:trHeight w:val="34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红糖</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8.30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冰糖</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紫菜</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五香粉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13.50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黑豆</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10.50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79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陈醋</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升</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7.80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20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辣椒干</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30.00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八角</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马蹄粉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61.00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陈皮</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桂皮</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蛋糕油</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12.50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86</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红枣</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18.00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0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87</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笋干</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55.00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0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咖喱粉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20.00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40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89</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茴香</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17.90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90</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酸豆角</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91</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泡打粉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14.50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30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92</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苏打粉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5.20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330"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93</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花椒</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65.50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94</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丁香</w:t>
            </w:r>
          </w:p>
        </w:tc>
        <w:tc>
          <w:tcPr>
            <w:tcW w:w="1311" w:type="dxa"/>
            <w:tcBorders>
              <w:top w:val="nil"/>
              <w:left w:val="nil"/>
              <w:bottom w:val="nil"/>
              <w:right w:val="nil"/>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70.00</w:t>
            </w:r>
          </w:p>
        </w:tc>
        <w:tc>
          <w:tcPr>
            <w:tcW w:w="2496"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95</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臭粉</w:t>
            </w:r>
          </w:p>
        </w:tc>
        <w:tc>
          <w:tcPr>
            <w:tcW w:w="131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8.00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96</w:t>
            </w:r>
          </w:p>
        </w:tc>
        <w:tc>
          <w:tcPr>
            <w:tcW w:w="1706" w:type="dxa"/>
            <w:tcBorders>
              <w:top w:val="nil"/>
              <w:left w:val="nil"/>
              <w:bottom w:val="nil"/>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草果</w:t>
            </w:r>
          </w:p>
        </w:tc>
        <w:tc>
          <w:tcPr>
            <w:tcW w:w="1311" w:type="dxa"/>
            <w:tcBorders>
              <w:top w:val="nil"/>
              <w:left w:val="nil"/>
              <w:bottom w:val="nil"/>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散装</w:t>
            </w:r>
          </w:p>
        </w:tc>
        <w:tc>
          <w:tcPr>
            <w:tcW w:w="1517" w:type="dxa"/>
            <w:tcBorders>
              <w:top w:val="nil"/>
              <w:left w:val="nil"/>
              <w:bottom w:val="nil"/>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nil"/>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68.00</w:t>
            </w:r>
          </w:p>
        </w:tc>
        <w:tc>
          <w:tcPr>
            <w:tcW w:w="2496" w:type="dxa"/>
            <w:tcBorders>
              <w:top w:val="nil"/>
              <w:left w:val="nil"/>
              <w:bottom w:val="nil"/>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按季节需求小批量采购</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97</w:t>
            </w:r>
          </w:p>
        </w:tc>
        <w:tc>
          <w:tcPr>
            <w:tcW w:w="1706"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洗洁精</w:t>
            </w:r>
          </w:p>
        </w:tc>
        <w:tc>
          <w:tcPr>
            <w:tcW w:w="131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6.50</w:t>
            </w:r>
          </w:p>
        </w:tc>
        <w:tc>
          <w:tcPr>
            <w:tcW w:w="2496"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120</w:t>
            </w:r>
          </w:p>
        </w:tc>
      </w:tr>
      <w:tr>
        <w:tblPrEx>
          <w:tblCellMar>
            <w:top w:w="0" w:type="dxa"/>
            <w:left w:w="108" w:type="dxa"/>
            <w:bottom w:w="0" w:type="dxa"/>
            <w:right w:w="108" w:type="dxa"/>
          </w:tblCellMar>
        </w:tblPrEx>
        <w:trPr>
          <w:trHeight w:val="285" w:hRule="atLeast"/>
        </w:trPr>
        <w:tc>
          <w:tcPr>
            <w:tcW w:w="77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98</w:t>
            </w:r>
          </w:p>
        </w:tc>
        <w:tc>
          <w:tcPr>
            <w:tcW w:w="1706"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洗衣粉</w:t>
            </w:r>
          </w:p>
        </w:tc>
        <w:tc>
          <w:tcPr>
            <w:tcW w:w="131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定制包装</w:t>
            </w:r>
          </w:p>
        </w:tc>
        <w:tc>
          <w:tcPr>
            <w:tcW w:w="1517"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szCs w:val="24"/>
              </w:rPr>
            </w:pPr>
            <w:r>
              <w:rPr>
                <w:rFonts w:hint="eastAsia" w:ascii="宋体" w:hAnsi="宋体" w:cs="宋体"/>
                <w:color w:val="auto"/>
                <w:kern w:val="0"/>
                <w:sz w:val="24"/>
                <w:szCs w:val="24"/>
              </w:rPr>
              <w:t>公斤</w:t>
            </w:r>
          </w:p>
        </w:tc>
        <w:tc>
          <w:tcPr>
            <w:tcW w:w="2162"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ascii="宋体" w:hAnsi="宋体" w:cs="宋体"/>
                <w:color w:val="FF0000"/>
                <w:sz w:val="24"/>
                <w:szCs w:val="24"/>
              </w:rPr>
            </w:pPr>
            <w:r>
              <w:rPr>
                <w:rFonts w:hint="default" w:ascii="Times New Roman" w:hAnsi="Times New Roman" w:eastAsia="宋体" w:cs="Times New Roman"/>
                <w:i w:val="0"/>
                <w:color w:val="FF0000"/>
                <w:kern w:val="0"/>
                <w:sz w:val="24"/>
                <w:szCs w:val="24"/>
                <w:u w:val="none"/>
                <w:lang w:val="en-US" w:eastAsia="zh-CN" w:bidi="ar"/>
              </w:rPr>
              <w:t>6.00</w:t>
            </w:r>
          </w:p>
        </w:tc>
        <w:tc>
          <w:tcPr>
            <w:tcW w:w="2496" w:type="dxa"/>
            <w:tcBorders>
              <w:top w:val="nil"/>
              <w:left w:val="nil"/>
              <w:bottom w:val="single" w:color="auto" w:sz="4" w:space="0"/>
              <w:right w:val="single" w:color="auto" w:sz="4" w:space="0"/>
            </w:tcBorders>
            <w:noWrap w:val="0"/>
            <w:vAlign w:val="center"/>
          </w:tcPr>
          <w:p>
            <w:pPr>
              <w:jc w:val="center"/>
              <w:rPr>
                <w:rFonts w:ascii="宋体" w:hAnsi="宋体" w:cs="宋体"/>
                <w:color w:val="auto"/>
                <w:sz w:val="24"/>
                <w:szCs w:val="24"/>
              </w:rPr>
            </w:pPr>
            <w:r>
              <w:rPr>
                <w:rFonts w:hint="eastAsia"/>
                <w:color w:val="auto"/>
                <w:sz w:val="24"/>
                <w:szCs w:val="24"/>
              </w:rPr>
              <w:t>100</w:t>
            </w:r>
          </w:p>
        </w:tc>
      </w:tr>
    </w:tbl>
    <w:p>
      <w:pPr>
        <w:spacing w:line="400" w:lineRule="exact"/>
        <w:ind w:firstLine="480" w:firstLineChars="200"/>
        <w:jc w:val="left"/>
        <w:rPr>
          <w:rFonts w:hint="eastAsia" w:ascii="宋体" w:hAnsi="宋体"/>
          <w:sz w:val="24"/>
          <w:szCs w:val="24"/>
        </w:rPr>
      </w:pPr>
      <w:r>
        <w:rPr>
          <w:rFonts w:hint="eastAsia" w:ascii="宋体" w:hAnsi="宋体"/>
          <w:sz w:val="24"/>
          <w:szCs w:val="24"/>
        </w:rPr>
        <w:t>备注：表内月均采购数量仅供参考，具体供应按监狱实际需求做调整。</w:t>
      </w:r>
    </w:p>
    <w:p>
      <w:pPr>
        <w:spacing w:line="400" w:lineRule="exact"/>
        <w:ind w:firstLine="480" w:firstLineChars="200"/>
        <w:jc w:val="left"/>
        <w:rPr>
          <w:rFonts w:hint="eastAsia" w:ascii="宋体" w:hAnsi="宋体" w:eastAsia="宋体"/>
          <w:sz w:val="24"/>
          <w:szCs w:val="24"/>
          <w:lang w:eastAsia="zh-CN"/>
        </w:rPr>
      </w:pPr>
      <w:r>
        <w:rPr>
          <w:rFonts w:hint="eastAsia" w:ascii="宋体" w:hAnsi="宋体"/>
          <w:sz w:val="24"/>
          <w:szCs w:val="24"/>
        </w:rPr>
        <w:t>2、罪犯伙房向罪犯供应的应节食品（汤圆、粽子等）由监狱开展市场调查，与中标人协商品种、品牌、价格后供应。</w:t>
      </w:r>
      <w:r>
        <w:rPr>
          <w:rFonts w:hint="eastAsia" w:ascii="宋体" w:hAnsi="宋体"/>
          <w:b/>
          <w:bCs/>
          <w:color w:val="auto"/>
          <w:sz w:val="24"/>
          <w:szCs w:val="24"/>
          <w:lang w:eastAsia="zh-CN"/>
        </w:rPr>
        <w:t>（</w:t>
      </w:r>
      <w:r>
        <w:rPr>
          <w:rFonts w:hint="eastAsia" w:ascii="宋体" w:hAnsi="宋体"/>
          <w:b/>
          <w:bCs/>
          <w:color w:val="auto"/>
          <w:sz w:val="24"/>
          <w:szCs w:val="24"/>
          <w:lang w:val="en-US" w:eastAsia="zh-CN"/>
        </w:rPr>
        <w:t xml:space="preserve">说明：供应价格=监狱市场调查平均价格 </w:t>
      </w:r>
      <w:r>
        <w:rPr>
          <w:rFonts w:hint="default" w:ascii="Arial" w:hAnsi="Arial" w:cs="Arial"/>
          <w:b/>
          <w:bCs/>
          <w:color w:val="auto"/>
          <w:sz w:val="24"/>
          <w:szCs w:val="24"/>
          <w:lang w:val="en-US" w:eastAsia="zh-CN"/>
        </w:rPr>
        <w:t>×</w:t>
      </w:r>
      <w:r>
        <w:rPr>
          <w:rFonts w:hint="eastAsia" w:ascii="Arial" w:hAnsi="Arial" w:cs="Arial"/>
          <w:b/>
          <w:bCs/>
          <w:color w:val="auto"/>
          <w:sz w:val="24"/>
          <w:szCs w:val="24"/>
          <w:lang w:val="en-US" w:eastAsia="zh-CN"/>
        </w:rPr>
        <w:t>（1-投标下浮率））</w:t>
      </w:r>
      <w:r>
        <w:rPr>
          <w:rFonts w:hint="eastAsia" w:ascii="Arial" w:hAnsi="Arial" w:cs="Arial"/>
          <w:sz w:val="24"/>
          <w:szCs w:val="24"/>
          <w:lang w:val="en-US" w:eastAsia="zh-CN"/>
        </w:rPr>
        <w:t>。</w:t>
      </w:r>
    </w:p>
    <w:p>
      <w:pPr>
        <w:spacing w:line="400" w:lineRule="exact"/>
        <w:ind w:firstLine="480" w:firstLineChars="200"/>
        <w:jc w:val="left"/>
        <w:rPr>
          <w:rFonts w:hint="eastAsia" w:ascii="宋体" w:hAnsi="宋体"/>
          <w:spacing w:val="-2"/>
          <w:sz w:val="24"/>
          <w:szCs w:val="24"/>
        </w:rPr>
      </w:pPr>
      <w:r>
        <w:rPr>
          <w:rFonts w:hint="eastAsia" w:ascii="宋体" w:hAnsi="宋体"/>
          <w:sz w:val="24"/>
          <w:szCs w:val="24"/>
        </w:rPr>
        <w:t>3、</w:t>
      </w:r>
      <w:r>
        <w:rPr>
          <w:rFonts w:ascii="宋体" w:hAnsi="宋体"/>
          <w:spacing w:val="-2"/>
          <w:sz w:val="24"/>
          <w:szCs w:val="24"/>
        </w:rPr>
        <w:t>在满足质量要求的情况下，</w:t>
      </w:r>
      <w:r>
        <w:rPr>
          <w:rFonts w:hint="eastAsia" w:ascii="宋体" w:hAnsi="宋体"/>
          <w:spacing w:val="-2"/>
          <w:sz w:val="24"/>
          <w:szCs w:val="24"/>
        </w:rPr>
        <w:t>每种定制包装商品</w:t>
      </w:r>
      <w:r>
        <w:rPr>
          <w:rFonts w:ascii="宋体" w:hAnsi="宋体"/>
          <w:spacing w:val="-2"/>
          <w:sz w:val="24"/>
          <w:szCs w:val="24"/>
        </w:rPr>
        <w:t>允许投报不超过</w:t>
      </w:r>
      <w:r>
        <w:rPr>
          <w:rFonts w:hint="eastAsia" w:ascii="宋体" w:hAnsi="宋体"/>
          <w:spacing w:val="-2"/>
          <w:sz w:val="24"/>
          <w:szCs w:val="24"/>
        </w:rPr>
        <w:t>两</w:t>
      </w:r>
      <w:r>
        <w:rPr>
          <w:rFonts w:ascii="宋体" w:hAnsi="宋体"/>
          <w:spacing w:val="-2"/>
          <w:sz w:val="24"/>
          <w:szCs w:val="24"/>
        </w:rPr>
        <w:t>个品牌</w:t>
      </w:r>
      <w:r>
        <w:rPr>
          <w:rFonts w:hint="eastAsia" w:ascii="宋体" w:hAnsi="宋体"/>
          <w:spacing w:val="-2"/>
          <w:sz w:val="24"/>
          <w:szCs w:val="24"/>
        </w:rPr>
        <w:t>（需在投标文件中列明投报品牌）</w:t>
      </w:r>
      <w:r>
        <w:rPr>
          <w:rFonts w:ascii="宋体" w:hAnsi="宋体"/>
          <w:spacing w:val="-2"/>
          <w:sz w:val="24"/>
          <w:szCs w:val="24"/>
        </w:rPr>
        <w:t>，</w:t>
      </w:r>
      <w:r>
        <w:rPr>
          <w:rFonts w:hint="eastAsia" w:ascii="宋体" w:hAnsi="宋体"/>
          <w:spacing w:val="-2"/>
          <w:sz w:val="24"/>
          <w:szCs w:val="24"/>
        </w:rPr>
        <w:t>但每品种只允许投报一个价格，</w:t>
      </w:r>
      <w:r>
        <w:rPr>
          <w:rFonts w:ascii="宋体" w:hAnsi="宋体"/>
          <w:spacing w:val="-2"/>
          <w:sz w:val="24"/>
          <w:szCs w:val="24"/>
        </w:rPr>
        <w:t>投标品牌</w:t>
      </w:r>
      <w:r>
        <w:rPr>
          <w:rFonts w:hint="eastAsia" w:ascii="宋体" w:hAnsi="宋体"/>
          <w:spacing w:val="-2"/>
          <w:sz w:val="24"/>
          <w:szCs w:val="24"/>
        </w:rPr>
        <w:t>须为监狱属地普遍销售的品牌，投标品牌</w:t>
      </w:r>
      <w:r>
        <w:rPr>
          <w:rFonts w:ascii="宋体" w:hAnsi="宋体"/>
          <w:spacing w:val="-2"/>
          <w:sz w:val="24"/>
          <w:szCs w:val="24"/>
        </w:rPr>
        <w:t>生产商的质量管理体系将作为商务技术评比条件之一。</w:t>
      </w:r>
    </w:p>
    <w:p>
      <w:pPr>
        <w:spacing w:line="400" w:lineRule="exact"/>
        <w:ind w:firstLine="480" w:firstLineChars="200"/>
        <w:jc w:val="left"/>
        <w:rPr>
          <w:rFonts w:hint="eastAsia" w:ascii="宋体" w:hAnsi="宋体"/>
          <w:sz w:val="24"/>
          <w:szCs w:val="24"/>
        </w:rPr>
      </w:pPr>
      <w:r>
        <w:rPr>
          <w:rFonts w:hint="eastAsia" w:ascii="宋体" w:hAnsi="宋体"/>
          <w:sz w:val="24"/>
          <w:szCs w:val="24"/>
        </w:rPr>
        <w:t>4、货物质量要求</w:t>
      </w:r>
    </w:p>
    <w:p>
      <w:pPr>
        <w:spacing w:line="400" w:lineRule="exact"/>
        <w:ind w:firstLine="480" w:firstLineChars="200"/>
        <w:jc w:val="left"/>
        <w:rPr>
          <w:rFonts w:hint="eastAsia" w:ascii="宋体" w:hAnsi="宋体"/>
          <w:sz w:val="24"/>
          <w:szCs w:val="24"/>
        </w:rPr>
      </w:pPr>
      <w:r>
        <w:rPr>
          <w:rFonts w:hint="eastAsia" w:ascii="宋体" w:hAnsi="宋体"/>
          <w:sz w:val="24"/>
          <w:szCs w:val="24"/>
        </w:rPr>
        <w:t>酱油</w:t>
      </w:r>
    </w:p>
    <w:p>
      <w:pPr>
        <w:spacing w:line="400" w:lineRule="exact"/>
        <w:ind w:firstLine="480" w:firstLineChars="200"/>
        <w:jc w:val="left"/>
        <w:rPr>
          <w:rFonts w:hint="eastAsia" w:ascii="宋体" w:hAnsi="宋体"/>
          <w:sz w:val="24"/>
          <w:szCs w:val="24"/>
        </w:rPr>
      </w:pPr>
      <w:r>
        <w:rPr>
          <w:rFonts w:hint="eastAsia" w:ascii="宋体" w:hAnsi="宋体"/>
          <w:sz w:val="24"/>
          <w:szCs w:val="24"/>
        </w:rPr>
        <w:t>合格的酱油颜色比较红、亮，有光泽、透明，把这酱油倒在瓶子里后，摇一下，合格酱油产生的泡沫非常细腻，保持持久，挂碗现象非常好，有一种发黏的感觉；不合格的酱油泡沫比较大，很容易散去，挂碗现象不好，很容易滑落。</w:t>
      </w:r>
    </w:p>
    <w:p>
      <w:pPr>
        <w:spacing w:line="400" w:lineRule="exact"/>
        <w:ind w:firstLine="480" w:firstLineChars="200"/>
        <w:jc w:val="left"/>
        <w:rPr>
          <w:rFonts w:hint="eastAsia" w:ascii="宋体" w:hAnsi="宋体"/>
          <w:sz w:val="24"/>
          <w:szCs w:val="24"/>
        </w:rPr>
      </w:pPr>
      <w:r>
        <w:rPr>
          <w:rFonts w:hint="eastAsia" w:ascii="宋体" w:hAnsi="宋体"/>
          <w:sz w:val="24"/>
          <w:szCs w:val="24"/>
        </w:rPr>
        <w:t>味精</w:t>
      </w:r>
    </w:p>
    <w:p>
      <w:pPr>
        <w:spacing w:line="400" w:lineRule="exact"/>
        <w:ind w:firstLine="480" w:firstLineChars="200"/>
        <w:jc w:val="left"/>
        <w:rPr>
          <w:rFonts w:hint="eastAsia" w:ascii="宋体" w:hAnsi="宋体"/>
          <w:sz w:val="24"/>
          <w:szCs w:val="24"/>
        </w:rPr>
      </w:pPr>
      <w:r>
        <w:rPr>
          <w:rFonts w:hint="eastAsia" w:ascii="宋体" w:hAnsi="宋体"/>
          <w:sz w:val="24"/>
          <w:szCs w:val="24"/>
        </w:rPr>
        <w:t>无色至白色结晶或粉末，具有特殊的鲜味，无异味，无肉眼可见杂质。</w:t>
      </w:r>
    </w:p>
    <w:p>
      <w:pPr>
        <w:spacing w:line="400" w:lineRule="exact"/>
        <w:ind w:firstLine="480" w:firstLineChars="200"/>
        <w:jc w:val="left"/>
        <w:rPr>
          <w:rFonts w:hint="eastAsia" w:ascii="宋体" w:hAnsi="宋体"/>
          <w:sz w:val="24"/>
          <w:szCs w:val="24"/>
        </w:rPr>
      </w:pPr>
      <w:r>
        <w:rPr>
          <w:rFonts w:hint="eastAsia" w:ascii="宋体" w:hAnsi="宋体"/>
          <w:sz w:val="24"/>
          <w:szCs w:val="24"/>
        </w:rPr>
        <w:t>食醋</w:t>
      </w:r>
    </w:p>
    <w:p>
      <w:pPr>
        <w:spacing w:line="400" w:lineRule="exact"/>
        <w:ind w:firstLine="480" w:firstLineChars="200"/>
        <w:jc w:val="left"/>
        <w:rPr>
          <w:rFonts w:hint="eastAsia" w:ascii="宋体" w:hAnsi="宋体"/>
          <w:sz w:val="24"/>
          <w:szCs w:val="24"/>
        </w:rPr>
      </w:pPr>
      <w:r>
        <w:rPr>
          <w:rFonts w:hint="eastAsia" w:ascii="宋体" w:hAnsi="宋体"/>
          <w:sz w:val="24"/>
          <w:szCs w:val="24"/>
        </w:rPr>
        <w:t>具有正常食醋的色泽、气味和滋味，不涩，无其他不良气味与异味，无浮物，不浑浊，无沉淀，无异物，无醋鳗、醋虱。</w:t>
      </w:r>
    </w:p>
    <w:p>
      <w:pPr>
        <w:spacing w:line="400" w:lineRule="exact"/>
        <w:ind w:firstLine="480" w:firstLineChars="200"/>
        <w:jc w:val="left"/>
        <w:rPr>
          <w:rFonts w:hint="eastAsia" w:ascii="宋体" w:hAnsi="宋体"/>
          <w:sz w:val="24"/>
          <w:szCs w:val="24"/>
        </w:rPr>
      </w:pPr>
      <w:r>
        <w:rPr>
          <w:rFonts w:hint="eastAsia" w:ascii="宋体" w:hAnsi="宋体"/>
          <w:sz w:val="24"/>
          <w:szCs w:val="24"/>
        </w:rPr>
        <w:t>酱腌菜</w:t>
      </w:r>
    </w:p>
    <w:p>
      <w:pPr>
        <w:spacing w:line="400" w:lineRule="exact"/>
        <w:ind w:firstLine="480" w:firstLineChars="200"/>
        <w:jc w:val="left"/>
        <w:rPr>
          <w:rFonts w:hint="eastAsia" w:ascii="宋体" w:hAnsi="宋体"/>
          <w:sz w:val="24"/>
          <w:szCs w:val="24"/>
        </w:rPr>
      </w:pPr>
      <w:r>
        <w:rPr>
          <w:rFonts w:hint="eastAsia" w:ascii="宋体" w:hAnsi="宋体"/>
          <w:sz w:val="24"/>
          <w:szCs w:val="24"/>
        </w:rPr>
        <w:t>具有酱腌菜固有的色、香、味，无杂质，无其他不良气味，不得有霉斑白膜。</w:t>
      </w:r>
    </w:p>
    <w:p>
      <w:pPr>
        <w:spacing w:line="400" w:lineRule="exact"/>
        <w:ind w:firstLine="480" w:firstLineChars="200"/>
        <w:jc w:val="left"/>
        <w:rPr>
          <w:rFonts w:hint="eastAsia" w:ascii="宋体" w:hAnsi="宋体"/>
          <w:sz w:val="24"/>
          <w:szCs w:val="24"/>
        </w:rPr>
      </w:pPr>
      <w:r>
        <w:rPr>
          <w:rFonts w:hint="eastAsia" w:ascii="宋体" w:hAnsi="宋体"/>
          <w:sz w:val="24"/>
          <w:szCs w:val="24"/>
        </w:rPr>
        <w:t>酱类食品</w:t>
      </w:r>
    </w:p>
    <w:p>
      <w:pPr>
        <w:spacing w:line="400" w:lineRule="exact"/>
        <w:ind w:firstLine="480" w:firstLineChars="200"/>
        <w:jc w:val="left"/>
        <w:rPr>
          <w:rFonts w:hint="eastAsia" w:ascii="宋体" w:hAnsi="宋体"/>
          <w:sz w:val="24"/>
          <w:szCs w:val="24"/>
        </w:rPr>
      </w:pPr>
      <w:r>
        <w:rPr>
          <w:rFonts w:hint="eastAsia" w:ascii="宋体" w:hAnsi="宋体"/>
          <w:sz w:val="24"/>
          <w:szCs w:val="24"/>
        </w:rPr>
        <w:t>具有正常酿造酱的色泽、气味和滋味，不涩，无其他不良气味，不得有酸、苦、焦糊及其它异味、异物。</w:t>
      </w:r>
    </w:p>
    <w:p>
      <w:pPr>
        <w:spacing w:line="400" w:lineRule="exact"/>
        <w:ind w:firstLine="480" w:firstLineChars="200"/>
        <w:jc w:val="left"/>
        <w:rPr>
          <w:rFonts w:hint="eastAsia" w:ascii="宋体" w:hAnsi="宋体"/>
          <w:sz w:val="24"/>
          <w:szCs w:val="24"/>
        </w:rPr>
      </w:pPr>
      <w:r>
        <w:rPr>
          <w:rFonts w:hint="eastAsia" w:ascii="宋体" w:hAnsi="宋体"/>
          <w:sz w:val="24"/>
          <w:szCs w:val="24"/>
        </w:rPr>
        <w:t>淀粉制品</w:t>
      </w:r>
    </w:p>
    <w:p>
      <w:pPr>
        <w:spacing w:line="400" w:lineRule="exact"/>
        <w:ind w:firstLine="480" w:firstLineChars="200"/>
        <w:jc w:val="left"/>
        <w:rPr>
          <w:rFonts w:hint="eastAsia" w:ascii="宋体" w:hAnsi="宋体"/>
          <w:sz w:val="24"/>
          <w:szCs w:val="24"/>
        </w:rPr>
      </w:pPr>
      <w:r>
        <w:rPr>
          <w:rFonts w:hint="eastAsia" w:ascii="宋体" w:hAnsi="宋体"/>
          <w:sz w:val="24"/>
          <w:szCs w:val="24"/>
        </w:rPr>
        <w:t>具有各自品种固有的形态和色泽，不酸、不粘、不发霉，无变质，无异味，无杂质，口尝无砂质。</w:t>
      </w:r>
    </w:p>
    <w:p>
      <w:pPr>
        <w:spacing w:line="400" w:lineRule="exact"/>
        <w:ind w:firstLine="480" w:firstLineChars="200"/>
        <w:jc w:val="left"/>
        <w:rPr>
          <w:rFonts w:hint="eastAsia" w:ascii="宋体" w:hAnsi="宋体"/>
          <w:sz w:val="24"/>
          <w:szCs w:val="24"/>
        </w:rPr>
      </w:pPr>
      <w:r>
        <w:rPr>
          <w:rFonts w:hint="eastAsia" w:ascii="宋体" w:hAnsi="宋体"/>
          <w:sz w:val="24"/>
          <w:szCs w:val="24"/>
        </w:rPr>
        <w:t>食盐</w:t>
      </w:r>
    </w:p>
    <w:p>
      <w:pPr>
        <w:spacing w:line="400" w:lineRule="exact"/>
        <w:ind w:firstLine="480" w:firstLineChars="200"/>
        <w:jc w:val="left"/>
        <w:rPr>
          <w:rFonts w:hint="eastAsia" w:ascii="宋体" w:hAnsi="宋体"/>
          <w:sz w:val="24"/>
          <w:szCs w:val="24"/>
        </w:rPr>
      </w:pPr>
      <w:r>
        <w:rPr>
          <w:rFonts w:hint="eastAsia" w:ascii="宋体" w:hAnsi="宋体"/>
          <w:sz w:val="24"/>
          <w:szCs w:val="24"/>
        </w:rPr>
        <w:t>结晶整齐一致，坚硬光滑，呈透明或半透明，不结块，无反卤吸潮现象，无杂质，沾取少许尝试具有纯正的咸味。</w:t>
      </w:r>
    </w:p>
    <w:p>
      <w:pPr>
        <w:spacing w:line="400" w:lineRule="exact"/>
        <w:ind w:firstLine="480" w:firstLineChars="200"/>
        <w:jc w:val="left"/>
        <w:rPr>
          <w:rFonts w:hint="eastAsia" w:ascii="宋体" w:hAnsi="宋体"/>
          <w:sz w:val="24"/>
          <w:szCs w:val="24"/>
        </w:rPr>
      </w:pPr>
      <w:r>
        <w:rPr>
          <w:rFonts w:hint="eastAsia" w:ascii="宋体" w:hAnsi="宋体"/>
          <w:sz w:val="24"/>
          <w:szCs w:val="24"/>
        </w:rPr>
        <w:t>鸡蛋</w:t>
      </w:r>
      <w:r>
        <w:rPr>
          <w:rFonts w:hint="eastAsia" w:ascii="宋体" w:hAnsi="宋体"/>
          <w:sz w:val="24"/>
          <w:szCs w:val="24"/>
        </w:rPr>
        <w:br w:type="textWrapping"/>
      </w:r>
      <w:r>
        <w:rPr>
          <w:rFonts w:hint="eastAsia" w:ascii="宋体" w:hAnsi="宋体"/>
          <w:sz w:val="24"/>
          <w:szCs w:val="24"/>
        </w:rPr>
        <w:t>　　个体均匀，蛋壳清洁完整，色泽鲜明，无破损、裂纹，无霉斑，灯光透视时，整个蛋呈桔黄色至橙红色，蛋黄不见或略见阴影，没有霉味、酸味，臭味等不良气味，打开后蛋黄凸起、完整、有韧性，蛋白澄清、透明、稀稠分明，无异味。</w:t>
      </w:r>
    </w:p>
    <w:p>
      <w:pPr>
        <w:spacing w:line="400" w:lineRule="exact"/>
        <w:ind w:firstLine="480" w:firstLineChars="200"/>
        <w:jc w:val="left"/>
        <w:rPr>
          <w:rFonts w:hint="eastAsia" w:ascii="宋体" w:hAnsi="宋体"/>
          <w:sz w:val="24"/>
          <w:szCs w:val="24"/>
        </w:rPr>
      </w:pPr>
      <w:r>
        <w:rPr>
          <w:rFonts w:hint="eastAsia" w:ascii="宋体" w:hAnsi="宋体"/>
          <w:sz w:val="24"/>
          <w:szCs w:val="24"/>
        </w:rPr>
        <w:t>皮蛋</w:t>
      </w:r>
    </w:p>
    <w:p>
      <w:pPr>
        <w:spacing w:line="400" w:lineRule="exact"/>
        <w:ind w:firstLine="480" w:firstLineChars="200"/>
        <w:jc w:val="left"/>
        <w:rPr>
          <w:rFonts w:hint="eastAsia" w:ascii="宋体" w:hAnsi="宋体"/>
          <w:sz w:val="24"/>
          <w:szCs w:val="24"/>
        </w:rPr>
      </w:pPr>
      <w:r>
        <w:rPr>
          <w:rFonts w:hint="eastAsia" w:ascii="宋体" w:hAnsi="宋体"/>
          <w:sz w:val="24"/>
          <w:szCs w:val="24"/>
        </w:rPr>
        <w:t>个体均匀，外表泥状包料完整、无霉斑，包料除掉后蛋壳亦完整无损，灯光透照蛋内容物凝固不动，打开观察，整个蛋凝固、不粘壳、清洁而有弹性，呈半透明的棕黄色，闻起来有芳香，无辛辣气。</w:t>
      </w:r>
    </w:p>
    <w:p>
      <w:pPr>
        <w:spacing w:line="400" w:lineRule="exact"/>
        <w:ind w:firstLine="480" w:firstLineChars="200"/>
        <w:jc w:val="left"/>
        <w:rPr>
          <w:rFonts w:hint="eastAsia" w:ascii="宋体" w:hAnsi="宋体"/>
          <w:sz w:val="24"/>
          <w:szCs w:val="24"/>
        </w:rPr>
      </w:pPr>
      <w:r>
        <w:rPr>
          <w:rFonts w:hint="eastAsia" w:ascii="宋体" w:hAnsi="宋体"/>
          <w:sz w:val="24"/>
          <w:szCs w:val="24"/>
        </w:rPr>
        <w:t>咸蛋</w:t>
      </w:r>
    </w:p>
    <w:p>
      <w:pPr>
        <w:spacing w:line="400" w:lineRule="exact"/>
        <w:ind w:firstLine="480" w:firstLineChars="200"/>
        <w:jc w:val="left"/>
        <w:rPr>
          <w:rFonts w:hint="eastAsia" w:ascii="宋体" w:hAnsi="宋体"/>
          <w:sz w:val="24"/>
          <w:szCs w:val="24"/>
        </w:rPr>
      </w:pPr>
      <w:r>
        <w:rPr>
          <w:rFonts w:hint="eastAsia" w:ascii="宋体" w:hAnsi="宋体"/>
          <w:sz w:val="24"/>
          <w:szCs w:val="24"/>
        </w:rPr>
        <w:t>个体均匀，蛋壳亦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p>
      <w:pPr>
        <w:spacing w:line="400" w:lineRule="exact"/>
        <w:ind w:firstLine="480" w:firstLineChars="200"/>
        <w:jc w:val="left"/>
        <w:rPr>
          <w:rFonts w:hint="eastAsia" w:ascii="宋体" w:hAnsi="宋体"/>
          <w:sz w:val="24"/>
          <w:szCs w:val="24"/>
        </w:rPr>
      </w:pPr>
      <w:r>
        <w:rPr>
          <w:rFonts w:hint="eastAsia" w:ascii="宋体" w:hAnsi="宋体"/>
          <w:sz w:val="24"/>
          <w:szCs w:val="24"/>
        </w:rPr>
        <w:t>面粉</w:t>
      </w:r>
    </w:p>
    <w:p>
      <w:pPr>
        <w:spacing w:line="400" w:lineRule="exact"/>
        <w:ind w:firstLine="480" w:firstLineChars="200"/>
        <w:jc w:val="left"/>
        <w:rPr>
          <w:rFonts w:hint="eastAsia" w:ascii="宋体" w:hAnsi="宋体"/>
          <w:sz w:val="24"/>
          <w:szCs w:val="24"/>
        </w:rPr>
      </w:pPr>
      <w:r>
        <w:rPr>
          <w:rFonts w:hint="eastAsia" w:ascii="宋体" w:hAnsi="宋体"/>
          <w:sz w:val="24"/>
          <w:szCs w:val="24"/>
        </w:rPr>
        <w:t>色泽呈白色或微黄色，不发暗，无杂质的颜色，呈细粉末状，不含杂质，手指捻捏时无粗粒感，无虫子和结块，置于手中紧捏后放开不成团，具有面粉的正常气味，无其他异味。</w:t>
      </w:r>
    </w:p>
    <w:p>
      <w:pPr>
        <w:spacing w:line="400" w:lineRule="exact"/>
        <w:ind w:firstLine="480" w:firstLineChars="200"/>
        <w:jc w:val="left"/>
        <w:rPr>
          <w:rFonts w:hint="eastAsia" w:ascii="宋体" w:hAnsi="宋体"/>
          <w:sz w:val="24"/>
          <w:szCs w:val="24"/>
        </w:rPr>
      </w:pPr>
      <w:r>
        <w:rPr>
          <w:rFonts w:hint="eastAsia" w:ascii="宋体" w:hAnsi="宋体"/>
          <w:sz w:val="24"/>
          <w:szCs w:val="24"/>
        </w:rPr>
        <w:t>豆腐</w:t>
      </w:r>
    </w:p>
    <w:p>
      <w:pPr>
        <w:spacing w:line="400" w:lineRule="exact"/>
        <w:ind w:firstLine="480" w:firstLineChars="200"/>
        <w:jc w:val="left"/>
        <w:rPr>
          <w:rFonts w:hint="eastAsia" w:ascii="宋体" w:hAnsi="宋体"/>
          <w:sz w:val="24"/>
          <w:szCs w:val="24"/>
        </w:rPr>
      </w:pPr>
      <w:r>
        <w:rPr>
          <w:rFonts w:hint="eastAsia" w:ascii="宋体" w:hAnsi="宋体"/>
          <w:sz w:val="24"/>
          <w:szCs w:val="24"/>
        </w:rPr>
        <w:t>豆腐呈均匀的乳白色或淡黄色，稍有光泽，块形完整，软硬适度，富有一定的弹性，质地细嫩，结构均匀，无杂质，具有豆腐特有的香味，取样品品尝时口感细腻鲜嫩，味道纯正清香。</w:t>
      </w:r>
    </w:p>
    <w:p>
      <w:pPr>
        <w:spacing w:line="400" w:lineRule="exact"/>
        <w:ind w:firstLine="480" w:firstLineChars="200"/>
        <w:jc w:val="left"/>
        <w:rPr>
          <w:rFonts w:hint="eastAsia" w:ascii="宋体" w:hAnsi="宋体"/>
          <w:sz w:val="24"/>
          <w:szCs w:val="24"/>
        </w:rPr>
      </w:pPr>
      <w:r>
        <w:rPr>
          <w:rFonts w:hint="eastAsia" w:ascii="宋体" w:hAnsi="宋体"/>
          <w:sz w:val="24"/>
          <w:szCs w:val="24"/>
        </w:rPr>
        <w:t>油炸豆卜</w:t>
      </w:r>
    </w:p>
    <w:p>
      <w:pPr>
        <w:spacing w:line="400" w:lineRule="exact"/>
        <w:ind w:firstLine="480" w:firstLineChars="200"/>
        <w:jc w:val="left"/>
        <w:rPr>
          <w:rFonts w:hint="eastAsia" w:ascii="宋体" w:hAnsi="宋体"/>
          <w:sz w:val="24"/>
          <w:szCs w:val="24"/>
        </w:rPr>
      </w:pPr>
      <w:r>
        <w:rPr>
          <w:rFonts w:hint="eastAsia" w:ascii="宋体" w:hAnsi="宋体"/>
          <w:sz w:val="24"/>
          <w:szCs w:val="24"/>
        </w:rPr>
        <w:t>为金黄色或棕黄色，色彩鲜艳而有光泽，块形整齐，有弹性，皮脆，内质呈蜂窝状，不粘不散，无杂质，具有豆腐泡特有的清香风味，无其他任何不良气味，取样品细细咀嚼，外皮酥脆适口，泡内软嫩，咸香适度，具有豆腐泡固有的滋味。</w:t>
      </w:r>
    </w:p>
    <w:p>
      <w:pPr>
        <w:spacing w:line="400" w:lineRule="exact"/>
        <w:ind w:firstLine="480" w:firstLineChars="200"/>
        <w:jc w:val="left"/>
        <w:rPr>
          <w:rFonts w:hint="eastAsia" w:ascii="宋体" w:hAnsi="宋体"/>
          <w:sz w:val="24"/>
          <w:szCs w:val="24"/>
        </w:rPr>
      </w:pPr>
      <w:r>
        <w:rPr>
          <w:rFonts w:hint="eastAsia" w:ascii="宋体" w:hAnsi="宋体"/>
          <w:sz w:val="24"/>
          <w:szCs w:val="24"/>
        </w:rPr>
        <w:t>腐竹</w:t>
      </w:r>
    </w:p>
    <w:p>
      <w:pPr>
        <w:spacing w:line="400" w:lineRule="exact"/>
        <w:ind w:firstLine="480" w:firstLineChars="200"/>
        <w:jc w:val="left"/>
        <w:rPr>
          <w:rFonts w:hint="eastAsia" w:ascii="宋体" w:hAnsi="宋体"/>
          <w:sz w:val="24"/>
          <w:szCs w:val="24"/>
        </w:rPr>
      </w:pPr>
      <w:r>
        <w:rPr>
          <w:rFonts w:hint="eastAsia" w:ascii="宋体" w:hAnsi="宋体"/>
          <w:sz w:val="24"/>
          <w:szCs w:val="24"/>
        </w:rPr>
        <w:t>为枝条或片叶状，质脆易折，条状折断有空心，无霉斑、杂质、虫蛀。呈淡黄色，有光泽。具有腐竹固有的香味，无其他任何异味，取样品品尝其滋味，具有腐竹固有的鲜香滋味。</w:t>
      </w:r>
    </w:p>
    <w:p>
      <w:pPr>
        <w:spacing w:line="400" w:lineRule="exact"/>
        <w:ind w:firstLine="480" w:firstLineChars="200"/>
        <w:jc w:val="left"/>
        <w:rPr>
          <w:rFonts w:hint="eastAsia" w:ascii="宋体" w:hAnsi="宋体"/>
          <w:sz w:val="24"/>
          <w:szCs w:val="24"/>
        </w:rPr>
      </w:pPr>
      <w:r>
        <w:rPr>
          <w:rFonts w:hint="eastAsia" w:ascii="宋体" w:hAnsi="宋体"/>
          <w:sz w:val="24"/>
          <w:szCs w:val="24"/>
        </w:rPr>
        <w:t>腐乳</w:t>
      </w:r>
    </w:p>
    <w:p>
      <w:pPr>
        <w:spacing w:line="400" w:lineRule="exact"/>
        <w:ind w:firstLine="480" w:firstLineChars="200"/>
        <w:jc w:val="left"/>
        <w:rPr>
          <w:rFonts w:hint="eastAsia" w:ascii="宋体" w:hAnsi="宋体"/>
          <w:sz w:val="24"/>
          <w:szCs w:val="24"/>
        </w:rPr>
      </w:pPr>
      <w:r>
        <w:rPr>
          <w:rFonts w:hint="eastAsia" w:ascii="宋体" w:hAnsi="宋体"/>
          <w:sz w:val="24"/>
          <w:szCs w:val="24"/>
        </w:rPr>
        <w:t>红腐乳表面呈红色或枣红色，内部呈杏黄色，色泽鲜艳，有光泽。白腐乳外表呈乳黄色。块形整齐均匀，质地细腻，无霉斑、霉变及杂质。具有各品种的腐乳特有的香味或特征气味，无任何其他异味，滋味鲜美，咸淡适口，无任何其他异味。</w:t>
      </w:r>
    </w:p>
    <w:p>
      <w:pPr>
        <w:spacing w:line="400" w:lineRule="exact"/>
        <w:ind w:firstLine="480" w:firstLineChars="200"/>
        <w:jc w:val="left"/>
        <w:rPr>
          <w:rFonts w:hint="eastAsia" w:ascii="宋体" w:hAnsi="宋体"/>
          <w:sz w:val="24"/>
          <w:szCs w:val="24"/>
        </w:rPr>
      </w:pPr>
      <w:r>
        <w:rPr>
          <w:rFonts w:hint="eastAsia" w:ascii="宋体" w:hAnsi="宋体"/>
          <w:sz w:val="24"/>
          <w:szCs w:val="24"/>
        </w:rPr>
        <w:t>黄豆</w:t>
      </w:r>
    </w:p>
    <w:p>
      <w:pPr>
        <w:spacing w:line="400" w:lineRule="exact"/>
        <w:ind w:firstLine="480" w:firstLineChars="200"/>
        <w:jc w:val="left"/>
        <w:rPr>
          <w:rFonts w:hint="eastAsia" w:ascii="宋体" w:hAnsi="宋体"/>
          <w:sz w:val="24"/>
          <w:szCs w:val="24"/>
        </w:rPr>
      </w:pPr>
      <w:r>
        <w:rPr>
          <w:rFonts w:hint="eastAsia" w:ascii="宋体" w:hAnsi="宋体"/>
          <w:sz w:val="24"/>
          <w:szCs w:val="24"/>
        </w:rPr>
        <w:t>大豆皮色呈各种大豆固有的颜色，光彩油亮，洁净而有光泽，颗粒饱满，整齐均匀，无虫蛀粒，无杂质，无霉变。</w:t>
      </w:r>
    </w:p>
    <w:p>
      <w:pPr>
        <w:spacing w:line="400" w:lineRule="exact"/>
        <w:ind w:firstLine="480" w:firstLineChars="200"/>
        <w:jc w:val="left"/>
        <w:rPr>
          <w:rFonts w:hint="eastAsia" w:ascii="宋体" w:hAnsi="宋体"/>
          <w:sz w:val="24"/>
          <w:szCs w:val="24"/>
        </w:rPr>
      </w:pPr>
      <w:r>
        <w:rPr>
          <w:rFonts w:hint="eastAsia" w:ascii="宋体" w:hAnsi="宋体"/>
          <w:sz w:val="24"/>
          <w:szCs w:val="24"/>
        </w:rPr>
        <w:t>花生</w:t>
      </w:r>
    </w:p>
    <w:p>
      <w:pPr>
        <w:spacing w:line="400" w:lineRule="exact"/>
        <w:ind w:firstLine="480" w:firstLineChars="200"/>
        <w:jc w:val="left"/>
        <w:rPr>
          <w:rFonts w:hint="eastAsia" w:ascii="宋体" w:hAnsi="宋体"/>
          <w:sz w:val="24"/>
          <w:szCs w:val="24"/>
        </w:rPr>
      </w:pPr>
      <w:r>
        <w:rPr>
          <w:rFonts w:hint="eastAsia" w:ascii="宋体" w:hAnsi="宋体"/>
          <w:sz w:val="24"/>
          <w:szCs w:val="24"/>
        </w:rPr>
        <w:t>果荚呈土黄色或白色，果仁呈各不同品种所特有的颜色，色泽分布均匀一致，带荚花生和去荚果仁均颗粒饱满、形态完整、大小均匀，子叶肥厚而有光泽，无杂质，具有花生特有的气味、香味，无任何异味。</w:t>
      </w:r>
    </w:p>
    <w:p>
      <w:pPr>
        <w:spacing w:line="400" w:lineRule="exact"/>
        <w:ind w:firstLine="480" w:firstLineChars="200"/>
        <w:jc w:val="left"/>
        <w:rPr>
          <w:rFonts w:hint="eastAsia" w:ascii="宋体" w:hAnsi="宋体"/>
          <w:sz w:val="24"/>
          <w:szCs w:val="24"/>
        </w:rPr>
      </w:pPr>
      <w:r>
        <w:rPr>
          <w:rFonts w:hint="eastAsia" w:ascii="宋体" w:hAnsi="宋体"/>
          <w:sz w:val="24"/>
          <w:szCs w:val="24"/>
        </w:rPr>
        <w:t>食糖</w:t>
      </w:r>
    </w:p>
    <w:p>
      <w:pPr>
        <w:spacing w:line="400" w:lineRule="exact"/>
        <w:ind w:firstLine="480" w:firstLineChars="200"/>
        <w:jc w:val="left"/>
        <w:rPr>
          <w:rFonts w:hint="eastAsia" w:ascii="宋体" w:hAnsi="宋体"/>
          <w:sz w:val="24"/>
          <w:szCs w:val="24"/>
        </w:rPr>
      </w:pPr>
      <w:r>
        <w:rPr>
          <w:rFonts w:hint="eastAsia" w:ascii="宋体" w:hAnsi="宋体"/>
          <w:sz w:val="24"/>
          <w:szCs w:val="24"/>
        </w:rPr>
        <w:t>食糖根据经营习惯分为白糖、红糖、冰糖、方糖等。</w:t>
      </w:r>
    </w:p>
    <w:p>
      <w:pPr>
        <w:spacing w:line="400" w:lineRule="exact"/>
        <w:ind w:firstLine="480" w:firstLineChars="200"/>
        <w:jc w:val="left"/>
        <w:rPr>
          <w:rFonts w:hint="eastAsia" w:ascii="宋体" w:hAnsi="宋体"/>
          <w:sz w:val="24"/>
          <w:szCs w:val="24"/>
        </w:rPr>
      </w:pPr>
      <w:r>
        <w:rPr>
          <w:rFonts w:hint="eastAsia" w:ascii="宋体" w:hAnsi="宋体"/>
          <w:sz w:val="24"/>
          <w:szCs w:val="24"/>
        </w:rPr>
        <w:t>(1)白糖的感官鉴别：色泽洁白明亮，有光泽，具有白糖的正常气味，无酸味、酒味或其他外来气味。</w:t>
      </w:r>
    </w:p>
    <w:p>
      <w:pPr>
        <w:spacing w:line="400" w:lineRule="exact"/>
        <w:ind w:firstLine="480" w:firstLineChars="200"/>
        <w:jc w:val="left"/>
        <w:rPr>
          <w:rFonts w:hint="eastAsia" w:ascii="宋体" w:hAnsi="宋体"/>
          <w:sz w:val="24"/>
          <w:szCs w:val="24"/>
        </w:rPr>
      </w:pPr>
      <w:r>
        <w:rPr>
          <w:rFonts w:hint="eastAsia" w:ascii="宋体" w:hAnsi="宋体"/>
          <w:sz w:val="24"/>
          <w:szCs w:val="24"/>
        </w:rPr>
        <w:t>白砂糖：颗粒大如砂粒，晶粒均匀整齐，晶面明显，无碎末，糖质坚硬。</w:t>
      </w:r>
    </w:p>
    <w:p>
      <w:pPr>
        <w:spacing w:line="400" w:lineRule="exact"/>
        <w:ind w:firstLine="480" w:firstLineChars="200"/>
        <w:jc w:val="left"/>
        <w:rPr>
          <w:rFonts w:hint="eastAsia" w:ascii="宋体" w:hAnsi="宋体"/>
          <w:sz w:val="24"/>
          <w:szCs w:val="24"/>
        </w:rPr>
      </w:pPr>
      <w:r>
        <w:rPr>
          <w:rFonts w:hint="eastAsia" w:ascii="宋体" w:hAnsi="宋体"/>
          <w:sz w:val="24"/>
          <w:szCs w:val="24"/>
        </w:rPr>
        <w:t>绵白糖：颗粒细小而均匀，质地绵软、潮润。</w:t>
      </w:r>
    </w:p>
    <w:p>
      <w:pPr>
        <w:spacing w:line="400" w:lineRule="exact"/>
        <w:ind w:firstLine="480" w:firstLineChars="200"/>
        <w:jc w:val="left"/>
        <w:rPr>
          <w:rFonts w:hint="eastAsia" w:ascii="宋体" w:hAnsi="宋体"/>
          <w:sz w:val="24"/>
          <w:szCs w:val="24"/>
        </w:rPr>
      </w:pPr>
      <w:r>
        <w:rPr>
          <w:rFonts w:hint="eastAsia" w:ascii="宋体" w:hAnsi="宋体"/>
          <w:sz w:val="24"/>
          <w:szCs w:val="24"/>
        </w:rPr>
        <w:t>冰糖：块形完整，个粒均匀，结晶组织严密，透明或半透明，无破碎。</w:t>
      </w:r>
    </w:p>
    <w:p>
      <w:pPr>
        <w:spacing w:line="400" w:lineRule="exact"/>
        <w:ind w:firstLine="480" w:firstLineChars="200"/>
        <w:jc w:val="left"/>
        <w:rPr>
          <w:rFonts w:hint="eastAsia" w:ascii="宋体" w:hAnsi="宋体"/>
          <w:sz w:val="24"/>
          <w:szCs w:val="24"/>
        </w:rPr>
      </w:pPr>
      <w:r>
        <w:rPr>
          <w:rFonts w:hint="eastAsia" w:ascii="宋体" w:hAnsi="宋体"/>
          <w:sz w:val="24"/>
          <w:szCs w:val="24"/>
        </w:rPr>
        <w:t>方糖：呈正六面体状，表面平整，无裂纹，铁边，断角，无突出砂粒，无霉斑。</w:t>
      </w:r>
    </w:p>
    <w:p>
      <w:pPr>
        <w:spacing w:line="400" w:lineRule="exact"/>
        <w:ind w:firstLine="480" w:firstLineChars="200"/>
        <w:jc w:val="left"/>
        <w:rPr>
          <w:rFonts w:hint="eastAsia" w:ascii="宋体" w:hAnsi="宋体"/>
          <w:sz w:val="24"/>
          <w:szCs w:val="24"/>
        </w:rPr>
      </w:pPr>
      <w:r>
        <w:rPr>
          <w:rFonts w:hint="eastAsia" w:ascii="宋体" w:hAnsi="宋体"/>
          <w:sz w:val="24"/>
          <w:szCs w:val="24"/>
        </w:rPr>
        <w:t>凡是白糖都应干燥，晶粒松散，不粘手，不结块，无肉眼可见的杂质，白糖的水溶液应清晰透明无杂质。</w:t>
      </w:r>
    </w:p>
    <w:p>
      <w:pPr>
        <w:spacing w:line="400" w:lineRule="exact"/>
        <w:ind w:firstLine="480" w:firstLineChars="200"/>
        <w:jc w:val="left"/>
        <w:rPr>
          <w:rFonts w:hint="eastAsia" w:ascii="宋体" w:hAnsi="宋体"/>
          <w:sz w:val="24"/>
          <w:szCs w:val="24"/>
        </w:rPr>
      </w:pPr>
      <w:r>
        <w:rPr>
          <w:rFonts w:hint="eastAsia" w:ascii="宋体" w:hAnsi="宋体"/>
          <w:sz w:val="24"/>
          <w:szCs w:val="24"/>
        </w:rPr>
        <w:t>(2)红糖的感官鉴别</w:t>
      </w:r>
    </w:p>
    <w:p>
      <w:pPr>
        <w:spacing w:line="400" w:lineRule="exact"/>
        <w:ind w:firstLine="480" w:firstLineChars="200"/>
        <w:jc w:val="left"/>
        <w:rPr>
          <w:rFonts w:hint="eastAsia" w:ascii="宋体" w:hAnsi="宋体"/>
          <w:sz w:val="24"/>
          <w:szCs w:val="24"/>
        </w:rPr>
      </w:pPr>
      <w:r>
        <w:rPr>
          <w:rFonts w:hint="eastAsia" w:ascii="宋体" w:hAnsi="宋体"/>
          <w:sz w:val="24"/>
          <w:szCs w:val="24"/>
        </w:rPr>
        <w:t>红糖可细分为赤砂糖和红糖两种，其中赤砂糖是机制未经洗蜜的糖，红糖是用手工制成的土糖。</w:t>
      </w:r>
    </w:p>
    <w:p>
      <w:pPr>
        <w:spacing w:line="400" w:lineRule="exact"/>
        <w:ind w:firstLine="480" w:firstLineChars="200"/>
        <w:jc w:val="left"/>
        <w:rPr>
          <w:rFonts w:hint="eastAsia" w:ascii="宋体" w:hAnsi="宋体"/>
          <w:sz w:val="24"/>
          <w:szCs w:val="24"/>
        </w:rPr>
      </w:pPr>
      <w:r>
        <w:rPr>
          <w:rFonts w:hint="eastAsia" w:ascii="宋体" w:hAnsi="宋体"/>
          <w:sz w:val="24"/>
          <w:szCs w:val="24"/>
        </w:rPr>
        <w:t>因为红糖的颜色有红褐、青褐、黄褐、赤红、金黄、淡黄、枣红等多种，很不一致，故凭色泽难以识别红糖的质量，应将感官鉴别的侧重点放在组织状态、气味、滋味三个指标上。</w:t>
      </w:r>
    </w:p>
    <w:p>
      <w:pPr>
        <w:spacing w:line="400" w:lineRule="exact"/>
        <w:ind w:firstLine="480" w:firstLineChars="200"/>
        <w:jc w:val="left"/>
        <w:rPr>
          <w:rFonts w:hint="eastAsia" w:ascii="宋体" w:hAnsi="宋体"/>
          <w:sz w:val="24"/>
          <w:szCs w:val="24"/>
        </w:rPr>
      </w:pPr>
      <w:r>
        <w:rPr>
          <w:rFonts w:hint="eastAsia" w:ascii="宋体" w:hAnsi="宋体"/>
          <w:sz w:val="24"/>
          <w:szCs w:val="24"/>
        </w:rPr>
        <w:t>呈晶粒状或粉末状，干燥而松散，不结块，不成团，杂质，其水溶液清晰，无沉淀，无悬浮物，具有甘蔗汁的清香味，无有酒味、酸味或其他外来不良气味，口味浓甜带鲜，微有糖蜜味，无焦苦味或其他外来异味。</w:t>
      </w:r>
    </w:p>
    <w:p>
      <w:pPr>
        <w:spacing w:line="400" w:lineRule="exact"/>
        <w:ind w:firstLine="480" w:firstLineChars="200"/>
        <w:jc w:val="left"/>
        <w:rPr>
          <w:rFonts w:hint="eastAsia" w:ascii="宋体" w:hAnsi="宋体"/>
          <w:sz w:val="24"/>
          <w:szCs w:val="24"/>
        </w:rPr>
      </w:pPr>
      <w:r>
        <w:rPr>
          <w:rFonts w:hint="eastAsia" w:ascii="宋体" w:hAnsi="宋体"/>
          <w:sz w:val="24"/>
          <w:szCs w:val="24"/>
        </w:rPr>
        <w:t>辛辣料</w:t>
      </w:r>
    </w:p>
    <w:p>
      <w:pPr>
        <w:spacing w:line="400" w:lineRule="exact"/>
        <w:ind w:firstLine="480" w:firstLineChars="200"/>
        <w:jc w:val="left"/>
        <w:rPr>
          <w:rFonts w:hint="eastAsia" w:ascii="宋体" w:hAnsi="宋体"/>
          <w:sz w:val="24"/>
          <w:szCs w:val="24"/>
        </w:rPr>
      </w:pPr>
      <w:r>
        <w:rPr>
          <w:rFonts w:hint="eastAsia" w:ascii="宋体" w:hAnsi="宋体"/>
          <w:sz w:val="24"/>
          <w:szCs w:val="24"/>
        </w:rPr>
        <w:t xml:space="preserve">辛辣料是采用植物果实和种子粉碎而配制成的天然植物香料，如五香粉、胡椒粉、花椒粉、咖喱粉、芥末粉等，辛辣料的主要原料有八角、花椒、胡椒、桂皮、小茴香、大茴香、辣椒、孜然等。 </w:t>
      </w:r>
    </w:p>
    <w:p>
      <w:pPr>
        <w:spacing w:line="400" w:lineRule="exact"/>
        <w:ind w:firstLine="480" w:firstLineChars="200"/>
        <w:jc w:val="left"/>
        <w:rPr>
          <w:rFonts w:hint="eastAsia" w:ascii="宋体" w:hAnsi="宋体"/>
          <w:sz w:val="24"/>
          <w:szCs w:val="24"/>
        </w:rPr>
      </w:pPr>
      <w:r>
        <w:rPr>
          <w:rFonts w:hint="eastAsia" w:ascii="宋体" w:hAnsi="宋体"/>
          <w:sz w:val="24"/>
          <w:szCs w:val="24"/>
        </w:rPr>
        <w:t>辛辣料呈干燥状，具有该种香料植物所特有的色、香、味，没有不纯正的气味和味道，无发霉味或其他异味。</w:t>
      </w:r>
    </w:p>
    <w:p>
      <w:pPr>
        <w:spacing w:line="400" w:lineRule="exact"/>
        <w:ind w:firstLine="480" w:firstLineChars="200"/>
        <w:jc w:val="left"/>
        <w:rPr>
          <w:rFonts w:hint="eastAsia" w:ascii="宋体" w:hAnsi="宋体"/>
          <w:sz w:val="24"/>
          <w:szCs w:val="24"/>
        </w:rPr>
      </w:pPr>
    </w:p>
    <w:p>
      <w:pPr>
        <w:spacing w:line="400" w:lineRule="exact"/>
        <w:ind w:firstLine="482" w:firstLineChars="200"/>
        <w:rPr>
          <w:rFonts w:hint="eastAsia" w:ascii="宋体" w:hAnsi="宋体"/>
          <w:b/>
          <w:sz w:val="24"/>
          <w:szCs w:val="24"/>
        </w:rPr>
      </w:pPr>
      <w:r>
        <w:rPr>
          <w:rFonts w:hint="eastAsia" w:ascii="宋体" w:hAnsi="宋体"/>
          <w:b/>
          <w:sz w:val="24"/>
          <w:szCs w:val="24"/>
        </w:rPr>
        <w:t>五、合同签订及履约保证金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（一）中标人与监狱在中标公告发布之日起三十日内签订合同。</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（二）合同签订后十个工作日内，中标人须向监狱支付合同金额5%的履约保证金。在中标人完成其合同义务，包括任何保证义务后30日内，监狱一次性无息退还保证金。</w:t>
      </w:r>
    </w:p>
    <w:p>
      <w:pPr>
        <w:tabs>
          <w:tab w:val="left" w:pos="630"/>
        </w:tabs>
        <w:spacing w:line="400" w:lineRule="exact"/>
        <w:ind w:firstLine="480" w:firstLineChars="200"/>
        <w:rPr>
          <w:rFonts w:hint="default" w:eastAsia="宋体"/>
          <w:sz w:val="24"/>
          <w:szCs w:val="24"/>
          <w:lang w:val="en-US" w:eastAsia="zh-CN"/>
        </w:rPr>
      </w:pPr>
      <w:r>
        <w:rPr>
          <w:rFonts w:hint="eastAsia" w:ascii="宋体" w:hAnsi="宋体"/>
          <w:sz w:val="24"/>
          <w:szCs w:val="24"/>
        </w:rPr>
        <w:t>履约保证金以支票、汇票、本票或者金融机构、担保机构出具的保函等非现金形式提交。</w:t>
      </w:r>
      <w:r>
        <w:rPr>
          <w:rFonts w:hint="eastAsia" w:ascii="宋体" w:hAnsi="宋体"/>
          <w:sz w:val="24"/>
          <w:szCs w:val="24"/>
          <w:lang w:val="en-US" w:eastAsia="zh-CN"/>
        </w:rPr>
        <w:t>供应商以银行保函形式缴纳履约保证金的，需提交不可撤销、见索即付的独立保函。</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（三）发生以下情形，经调查属实的，扣除5%履约保证金：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1、未按要求随货提供相关票证；</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2、一个货物品种质量验收不合格，退货数量未超过50%（不含本数）的；</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3、未按监狱采购计划的时间供货（提前一天与监狱协商，且未影响罪犯伙食供应的除外）；</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4、供货数量仅为监狱采购计划数量的80%-90%（不含本数），且未影响罪犯伙食供应；（供应数大于计划数的，可退回给供应商或验收合格后入库，不扣除履约保证金）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5、未按监狱指定秩序卸货；</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6、货物出现质量问题，供应商不积极配合查找原因，不及时反馈处理结果；</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7、工作人员不遵守《外来人员进出监管区须知》第十项所列事项的。</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（四）发生以下情形，经调查属实的，扣除10%履约保证金：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1、供应货物品种、品牌、规格或质量等级与合同不符；</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2、一个货物品种质量验收不合格，退货数量超过50%（含本数）的；</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3、提供虚假检验报告等相关票证；</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4、因退货或未按监狱采购计划数量、时间供应，造成监狱伙食无法按时供应；</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5、供货数量低于监狱采购计划数量的80%（含本数）；</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6、同一品种货物连续两次验收发现质量不合格产品并退货；</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7、把监狱验收不合格退货的货物重新配送给监狱；</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8、在包装、运输、装卸等环节不符合食品安全要求；</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9、组织机构发生调整，或经营场所、联系人、联系方式变更，未及时通知监狱业务部门，造成无法及时联系；</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10、食品溯源管理制度不落实，进货查验记录不全；</w:t>
      </w:r>
    </w:p>
    <w:p>
      <w:pPr>
        <w:tabs>
          <w:tab w:val="left" w:pos="630"/>
        </w:tabs>
        <w:spacing w:line="400" w:lineRule="exact"/>
        <w:ind w:left="279" w:leftChars="133" w:firstLine="241" w:firstLineChars="100"/>
        <w:rPr>
          <w:rFonts w:hint="eastAsia" w:ascii="宋体" w:hAnsi="宋体"/>
          <w:b/>
          <w:sz w:val="24"/>
          <w:szCs w:val="24"/>
        </w:rPr>
      </w:pPr>
      <w:r>
        <w:rPr>
          <w:rFonts w:hint="eastAsia" w:ascii="宋体" w:hAnsi="宋体"/>
          <w:b/>
          <w:sz w:val="24"/>
          <w:szCs w:val="24"/>
          <w:lang w:val="en-US" w:eastAsia="zh-CN"/>
        </w:rPr>
        <w:t>在合同期前两个月内</w:t>
      </w:r>
      <w:r>
        <w:rPr>
          <w:rFonts w:hint="eastAsia" w:ascii="宋体" w:hAnsi="宋体"/>
          <w:b/>
          <w:sz w:val="24"/>
          <w:szCs w:val="24"/>
        </w:rPr>
        <w:t>发生上述（三）、（四）扣除履约保证金情形的，</w:t>
      </w:r>
      <w:r>
        <w:rPr>
          <w:rFonts w:hint="eastAsia" w:ascii="宋体" w:hAnsi="宋体"/>
          <w:b/>
          <w:sz w:val="24"/>
          <w:szCs w:val="24"/>
          <w:lang w:val="en-US" w:eastAsia="zh-CN"/>
        </w:rPr>
        <w:t>次数不超过三次（含三次），</w:t>
      </w:r>
      <w:r>
        <w:rPr>
          <w:rFonts w:hint="eastAsia" w:ascii="宋体" w:hAnsi="宋体"/>
          <w:b/>
          <w:sz w:val="24"/>
          <w:szCs w:val="24"/>
        </w:rPr>
        <w:t>在未影响罪犯伙食按时供应、未因所供货物发生食品安全事故的前提下可</w:t>
      </w:r>
      <w:r>
        <w:rPr>
          <w:rFonts w:hint="eastAsia" w:ascii="宋体" w:hAnsi="宋体"/>
          <w:b/>
          <w:sz w:val="24"/>
          <w:szCs w:val="24"/>
          <w:lang w:val="en-US" w:eastAsia="zh-CN"/>
        </w:rPr>
        <w:t>免</w:t>
      </w:r>
      <w:r>
        <w:rPr>
          <w:rFonts w:hint="eastAsia" w:ascii="宋体" w:hAnsi="宋体"/>
          <w:b/>
          <w:sz w:val="24"/>
          <w:szCs w:val="24"/>
        </w:rPr>
        <w:t>予扣除履约保证金，第三月起严格执行。</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（五）发生以下情形，经调查属实的，扣除20%履约保证金：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1、监狱第一次发现中标人的工作人员为监狱服刑人员传带物品的；</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2、中标人对货物检查把关不严，造成现金、绳索、利器等危险品、违禁品、违规品流入狱内，影响监管安全的；</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（六）发生以下情形，经调查属实的，扣除50%履约保证金：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监狱第二次发现中标人的工作人员为监狱服刑人员传带物品的。</w:t>
      </w:r>
    </w:p>
    <w:p>
      <w:pPr>
        <w:tabs>
          <w:tab w:val="left" w:pos="630"/>
        </w:tabs>
        <w:spacing w:line="400" w:lineRule="exact"/>
        <w:ind w:firstLine="482" w:firstLineChars="200"/>
        <w:rPr>
          <w:rFonts w:hint="eastAsia" w:ascii="宋体" w:hAnsi="宋体"/>
          <w:b/>
          <w:sz w:val="24"/>
          <w:szCs w:val="24"/>
        </w:rPr>
      </w:pPr>
      <w:r>
        <w:rPr>
          <w:rFonts w:hint="eastAsia" w:ascii="宋体" w:hAnsi="宋体"/>
          <w:b/>
          <w:sz w:val="24"/>
          <w:szCs w:val="24"/>
        </w:rPr>
        <w:t>若同时出现上述履约保证金扣除情形，则仅按扣除数额最大的情形执行，不对同时出现的情形累计扣除履约保证金。</w:t>
      </w:r>
    </w:p>
    <w:p>
      <w:pPr>
        <w:tabs>
          <w:tab w:val="left" w:pos="630"/>
        </w:tabs>
        <w:spacing w:line="400" w:lineRule="exact"/>
        <w:ind w:firstLine="480" w:firstLineChars="200"/>
        <w:rPr>
          <w:rFonts w:hint="eastAsia" w:ascii="宋体" w:hAnsi="宋体"/>
          <w:sz w:val="24"/>
          <w:szCs w:val="24"/>
        </w:rPr>
      </w:pPr>
      <w:r>
        <w:rPr>
          <w:rFonts w:hint="eastAsia" w:ascii="宋体" w:hAnsi="宋体"/>
          <w:sz w:val="24"/>
          <w:szCs w:val="24"/>
        </w:rPr>
        <w:t>（七）如在合同执行期间因中标人违约导致履约保证金部分扣除，中标人需在五个工作日内将扣除的履约保证金补齐。</w:t>
      </w:r>
    </w:p>
    <w:p>
      <w:pPr>
        <w:tabs>
          <w:tab w:val="left" w:pos="630"/>
        </w:tabs>
        <w:spacing w:line="400" w:lineRule="exact"/>
        <w:ind w:firstLine="480" w:firstLineChars="200"/>
        <w:rPr>
          <w:rFonts w:hint="eastAsia" w:ascii="宋体" w:hAnsi="宋体"/>
          <w:color w:val="auto"/>
          <w:sz w:val="24"/>
          <w:szCs w:val="24"/>
        </w:rPr>
      </w:pPr>
      <w:r>
        <w:rPr>
          <w:rFonts w:hint="eastAsia" w:ascii="宋体" w:hAnsi="宋体"/>
          <w:color w:val="auto"/>
          <w:sz w:val="24"/>
          <w:szCs w:val="24"/>
        </w:rPr>
        <w:t>（八）</w:t>
      </w:r>
      <w:r>
        <w:rPr>
          <w:rFonts w:hint="eastAsia" w:ascii="宋体" w:hAnsi="宋体"/>
          <w:color w:val="auto"/>
          <w:sz w:val="24"/>
          <w:szCs w:val="24"/>
          <w:lang w:val="en-US" w:eastAsia="zh-CN"/>
        </w:rPr>
        <w:t>中标人在合同执行过程中不得提前终止合同。</w:t>
      </w:r>
      <w:r>
        <w:rPr>
          <w:rFonts w:hint="eastAsia" w:ascii="宋体" w:hAnsi="宋体"/>
          <w:color w:val="auto"/>
          <w:sz w:val="24"/>
          <w:szCs w:val="24"/>
        </w:rPr>
        <w:t>如中标人</w:t>
      </w:r>
      <w:r>
        <w:rPr>
          <w:rFonts w:hint="eastAsia" w:ascii="宋体" w:hAnsi="宋体"/>
          <w:color w:val="auto"/>
          <w:sz w:val="24"/>
          <w:szCs w:val="24"/>
          <w:lang w:val="en-US" w:eastAsia="zh-CN"/>
        </w:rPr>
        <w:t>违反合同约定提前</w:t>
      </w:r>
      <w:r>
        <w:rPr>
          <w:rFonts w:hint="eastAsia" w:ascii="宋体" w:hAnsi="宋体"/>
          <w:color w:val="auto"/>
          <w:sz w:val="24"/>
          <w:szCs w:val="24"/>
        </w:rPr>
        <w:t>终止执行合同，</w:t>
      </w:r>
      <w:r>
        <w:rPr>
          <w:rFonts w:hint="eastAsia" w:ascii="宋体" w:hAnsi="宋体"/>
          <w:color w:val="auto"/>
          <w:sz w:val="24"/>
          <w:szCs w:val="24"/>
          <w:lang w:val="en-US" w:eastAsia="zh-CN"/>
        </w:rPr>
        <w:t>应当</w:t>
      </w:r>
      <w:r>
        <w:rPr>
          <w:rFonts w:hint="eastAsia" w:ascii="宋体" w:hAnsi="宋体"/>
          <w:color w:val="auto"/>
          <w:sz w:val="24"/>
          <w:szCs w:val="24"/>
        </w:rPr>
        <w:t>提前六十</w:t>
      </w:r>
      <w:r>
        <w:rPr>
          <w:rFonts w:hint="eastAsia" w:ascii="宋体" w:hAnsi="宋体"/>
          <w:color w:val="auto"/>
          <w:sz w:val="24"/>
          <w:szCs w:val="24"/>
          <w:lang w:val="en-US" w:eastAsia="zh-CN"/>
        </w:rPr>
        <w:t>日</w:t>
      </w:r>
      <w:r>
        <w:rPr>
          <w:rFonts w:hint="eastAsia" w:ascii="宋体" w:hAnsi="宋体"/>
          <w:color w:val="auto"/>
          <w:sz w:val="24"/>
          <w:szCs w:val="24"/>
        </w:rPr>
        <w:t>以书面形式告知监狱</w:t>
      </w:r>
      <w:r>
        <w:rPr>
          <w:rFonts w:hint="eastAsia" w:ascii="宋体" w:hAnsi="宋体"/>
          <w:color w:val="auto"/>
          <w:sz w:val="24"/>
          <w:szCs w:val="24"/>
          <w:lang w:eastAsia="zh-CN"/>
        </w:rPr>
        <w:t>。</w:t>
      </w:r>
      <w:r>
        <w:rPr>
          <w:rFonts w:hint="eastAsia" w:ascii="宋体" w:hAnsi="宋体"/>
          <w:color w:val="auto"/>
          <w:sz w:val="24"/>
          <w:szCs w:val="24"/>
          <w:lang w:val="en-US" w:eastAsia="zh-CN"/>
        </w:rPr>
        <w:t>该终止执行合同的行为视为违约行为，监狱将扣除其全部</w:t>
      </w:r>
      <w:r>
        <w:rPr>
          <w:rFonts w:hint="eastAsia" w:ascii="宋体" w:hAnsi="宋体"/>
          <w:color w:val="auto"/>
          <w:sz w:val="24"/>
          <w:szCs w:val="24"/>
        </w:rPr>
        <w:t>履约保证金不退还。</w:t>
      </w:r>
    </w:p>
    <w:p>
      <w:pPr>
        <w:tabs>
          <w:tab w:val="left" w:pos="630"/>
        </w:tabs>
        <w:spacing w:line="400" w:lineRule="exact"/>
        <w:ind w:firstLine="480" w:firstLineChars="200"/>
        <w:rPr>
          <w:rFonts w:hint="eastAsia" w:ascii="宋体" w:hAnsi="宋体"/>
          <w:b/>
          <w:color w:val="auto"/>
          <w:sz w:val="24"/>
          <w:szCs w:val="24"/>
        </w:rPr>
      </w:pPr>
      <w:r>
        <w:rPr>
          <w:rFonts w:hint="eastAsia" w:ascii="宋体" w:hAnsi="宋体"/>
          <w:color w:val="auto"/>
          <w:sz w:val="24"/>
          <w:szCs w:val="24"/>
          <w:lang w:eastAsia="zh-CN"/>
        </w:rPr>
        <w:t>（</w:t>
      </w:r>
      <w:r>
        <w:rPr>
          <w:rFonts w:hint="eastAsia" w:ascii="宋体" w:hAnsi="宋体"/>
          <w:color w:val="auto"/>
          <w:sz w:val="24"/>
          <w:szCs w:val="24"/>
          <w:lang w:val="en-US" w:eastAsia="zh-CN"/>
        </w:rPr>
        <w:t>九）监狱</w:t>
      </w:r>
      <w:r>
        <w:rPr>
          <w:rFonts w:hint="eastAsia" w:ascii="宋体" w:hAnsi="宋体"/>
          <w:color w:val="auto"/>
          <w:sz w:val="24"/>
          <w:szCs w:val="24"/>
        </w:rPr>
        <w:t>在合同执行过程需终止执行合同的，需提前六十</w:t>
      </w:r>
      <w:r>
        <w:rPr>
          <w:rFonts w:hint="eastAsia" w:ascii="宋体" w:hAnsi="宋体"/>
          <w:color w:val="auto"/>
          <w:sz w:val="24"/>
          <w:szCs w:val="24"/>
          <w:lang w:val="en-US" w:eastAsia="zh-CN"/>
        </w:rPr>
        <w:t>日</w:t>
      </w:r>
      <w:r>
        <w:rPr>
          <w:rFonts w:hint="eastAsia" w:ascii="宋体" w:hAnsi="宋体"/>
          <w:color w:val="auto"/>
          <w:sz w:val="24"/>
          <w:szCs w:val="24"/>
        </w:rPr>
        <w:t>以书面形式告知</w:t>
      </w:r>
      <w:r>
        <w:rPr>
          <w:rFonts w:hint="eastAsia" w:ascii="宋体" w:hAnsi="宋体"/>
          <w:color w:val="auto"/>
          <w:sz w:val="24"/>
          <w:szCs w:val="24"/>
          <w:lang w:val="en-US" w:eastAsia="zh-CN"/>
        </w:rPr>
        <w:t>中标人</w:t>
      </w:r>
      <w:r>
        <w:rPr>
          <w:rFonts w:hint="eastAsia" w:ascii="宋体" w:hAnsi="宋体"/>
          <w:color w:val="auto"/>
          <w:sz w:val="24"/>
          <w:szCs w:val="24"/>
        </w:rPr>
        <w:t>，</w:t>
      </w:r>
      <w:r>
        <w:rPr>
          <w:rFonts w:hint="eastAsia" w:ascii="宋体" w:hAnsi="宋体"/>
          <w:color w:val="auto"/>
          <w:sz w:val="24"/>
          <w:szCs w:val="24"/>
          <w:lang w:val="en-US" w:eastAsia="zh-CN"/>
        </w:rPr>
        <w:t>并在合同终止后三十日内不计息退还中标人全部履约保证金。</w:t>
      </w:r>
    </w:p>
    <w:p>
      <w:pPr>
        <w:spacing w:line="400" w:lineRule="exact"/>
        <w:ind w:firstLine="482" w:firstLineChars="200"/>
        <w:rPr>
          <w:rFonts w:hint="default" w:ascii="宋体" w:hAnsi="宋体"/>
          <w:b/>
          <w:bCs/>
          <w:color w:val="auto"/>
          <w:sz w:val="24"/>
          <w:szCs w:val="24"/>
          <w:lang w:val="en-US" w:eastAsia="zh-CN"/>
        </w:rPr>
      </w:pPr>
      <w:r>
        <w:rPr>
          <w:rFonts w:hint="eastAsia" w:ascii="宋体" w:hAnsi="宋体"/>
          <w:b/>
          <w:color w:val="auto"/>
          <w:sz w:val="24"/>
          <w:szCs w:val="24"/>
        </w:rPr>
        <w:t>五、</w:t>
      </w:r>
      <w:r>
        <w:rPr>
          <w:rFonts w:hint="eastAsia" w:ascii="宋体" w:hAnsi="宋体"/>
          <w:b/>
          <w:bCs/>
          <w:color w:val="auto"/>
          <w:sz w:val="24"/>
          <w:szCs w:val="24"/>
          <w:lang w:val="en-US" w:eastAsia="zh-CN"/>
        </w:rPr>
        <w:t>本项目合同期内供应价格不作调整。</w:t>
      </w:r>
    </w:p>
    <w:p>
      <w:pPr>
        <w:spacing w:line="400" w:lineRule="exact"/>
        <w:ind w:firstLine="482" w:firstLineChars="200"/>
        <w:rPr>
          <w:rFonts w:hint="eastAsia" w:ascii="宋体" w:hAnsi="宋体"/>
          <w:b/>
          <w:sz w:val="24"/>
          <w:szCs w:val="24"/>
        </w:rPr>
      </w:pPr>
      <w:r>
        <w:rPr>
          <w:rFonts w:hint="eastAsia" w:ascii="宋体" w:hAnsi="宋体"/>
          <w:b/>
          <w:sz w:val="24"/>
          <w:szCs w:val="24"/>
        </w:rPr>
        <w:t>六、配送与支付要求</w:t>
      </w:r>
    </w:p>
    <w:p>
      <w:pPr>
        <w:widowControl/>
        <w:spacing w:line="400" w:lineRule="exact"/>
        <w:ind w:firstLine="480" w:firstLineChars="200"/>
        <w:jc w:val="left"/>
        <w:rPr>
          <w:rFonts w:hint="eastAsia" w:ascii="宋体" w:hAnsi="宋体"/>
          <w:color w:val="000000"/>
          <w:kern w:val="0"/>
          <w:sz w:val="24"/>
          <w:szCs w:val="24"/>
        </w:rPr>
      </w:pPr>
      <w:r>
        <w:rPr>
          <w:rFonts w:hint="eastAsia" w:ascii="宋体" w:hAnsi="宋体"/>
          <w:color w:val="000000"/>
          <w:kern w:val="0"/>
          <w:sz w:val="24"/>
          <w:szCs w:val="24"/>
        </w:rPr>
        <w:t>（一）副食品以罪犯伙房为单位，由中标人按照采购清单要求，将货物配送至广州监狱指定地点。</w:t>
      </w:r>
    </w:p>
    <w:p>
      <w:pPr>
        <w:spacing w:line="400" w:lineRule="exact"/>
        <w:ind w:firstLine="480" w:firstLineChars="200"/>
        <w:rPr>
          <w:rFonts w:hint="eastAsia" w:ascii="宋体" w:hAnsi="宋体"/>
          <w:color w:val="000000"/>
          <w:kern w:val="0"/>
          <w:sz w:val="24"/>
          <w:szCs w:val="24"/>
          <w:lang w:val="en-US" w:eastAsia="zh-CN"/>
        </w:rPr>
      </w:pPr>
      <w:r>
        <w:rPr>
          <w:rFonts w:hint="eastAsia" w:ascii="宋体" w:hAnsi="宋体"/>
          <w:color w:val="000000"/>
          <w:kern w:val="0"/>
          <w:sz w:val="24"/>
          <w:szCs w:val="24"/>
        </w:rPr>
        <w:t>（二）首次供应时，应提供中标人的《营业执照》、《食品经营许可证》等证照复印件予监狱存档。每次供应时应向监狱提供加盖公章的货物清单（送货单）。</w:t>
      </w:r>
      <w:r>
        <w:rPr>
          <w:rFonts w:hint="eastAsia" w:ascii="宋体" w:hAnsi="宋体"/>
          <w:color w:val="000000"/>
          <w:kern w:val="0"/>
          <w:sz w:val="24"/>
          <w:szCs w:val="24"/>
          <w:lang w:val="en-US" w:eastAsia="zh-CN"/>
        </w:rPr>
        <w:t xml:space="preserve"> </w:t>
      </w:r>
    </w:p>
    <w:p>
      <w:pPr>
        <w:spacing w:line="400" w:lineRule="exact"/>
        <w:ind w:firstLine="480" w:firstLineChars="200"/>
        <w:rPr>
          <w:rFonts w:hint="eastAsia" w:ascii="宋体" w:hAnsi="宋体" w:cs="宋体"/>
          <w:kern w:val="0"/>
          <w:sz w:val="24"/>
          <w:szCs w:val="24"/>
        </w:rPr>
      </w:pPr>
      <w:r>
        <w:rPr>
          <w:rFonts w:hint="eastAsia" w:ascii="宋体" w:hAnsi="宋体"/>
          <w:color w:val="000000"/>
          <w:kern w:val="0"/>
          <w:sz w:val="24"/>
          <w:szCs w:val="24"/>
        </w:rPr>
        <w:t>（三）</w:t>
      </w:r>
      <w:r>
        <w:rPr>
          <w:rFonts w:hint="eastAsia" w:ascii="宋体" w:hAnsi="宋体" w:cs="宋体"/>
          <w:kern w:val="0"/>
          <w:sz w:val="24"/>
          <w:szCs w:val="24"/>
        </w:rPr>
        <w:t>整个运输过程应科学合理，运输必须采用符合卫生要求的外包装和运载工具，并且要保持清洁和定期消毒，车厢内无不良气味、异味。</w:t>
      </w:r>
    </w:p>
    <w:p>
      <w:pPr>
        <w:spacing w:line="400" w:lineRule="exact"/>
        <w:ind w:firstLine="480" w:firstLineChars="200"/>
        <w:rPr>
          <w:rFonts w:hint="eastAsia" w:ascii="宋体" w:hAnsi="宋体" w:cs="宋体"/>
          <w:kern w:val="0"/>
          <w:sz w:val="24"/>
          <w:szCs w:val="24"/>
        </w:rPr>
      </w:pPr>
      <w:r>
        <w:rPr>
          <w:rFonts w:hint="eastAsia" w:ascii="宋体" w:hAnsi="宋体"/>
          <w:sz w:val="24"/>
          <w:szCs w:val="24"/>
        </w:rPr>
        <w:t>（四）</w:t>
      </w:r>
      <w:r>
        <w:rPr>
          <w:rFonts w:hint="eastAsia" w:ascii="宋体" w:hAnsi="宋体"/>
          <w:color w:val="000000"/>
          <w:sz w:val="24"/>
          <w:szCs w:val="24"/>
        </w:rPr>
        <w:t>商品</w:t>
      </w:r>
      <w:r>
        <w:rPr>
          <w:rFonts w:ascii="宋体" w:hAnsi="宋体"/>
          <w:color w:val="000000"/>
          <w:sz w:val="24"/>
          <w:szCs w:val="24"/>
        </w:rPr>
        <w:t>包装</w:t>
      </w:r>
      <w:r>
        <w:rPr>
          <w:rFonts w:hint="eastAsia" w:ascii="宋体" w:hAnsi="宋体"/>
          <w:color w:val="000000"/>
          <w:sz w:val="24"/>
          <w:szCs w:val="24"/>
        </w:rPr>
        <w:t>要求，</w:t>
      </w:r>
      <w:r>
        <w:rPr>
          <w:rFonts w:ascii="宋体" w:hAnsi="宋体"/>
          <w:color w:val="000000"/>
          <w:sz w:val="24"/>
          <w:szCs w:val="24"/>
        </w:rPr>
        <w:t>容器(框、箱、袋)要求清洁、干燥、牢固、无异味、无霉变现象</w:t>
      </w:r>
      <w:r>
        <w:rPr>
          <w:rFonts w:hint="eastAsia" w:ascii="宋体" w:hAnsi="宋体"/>
          <w:color w:val="000000"/>
          <w:sz w:val="24"/>
          <w:szCs w:val="24"/>
        </w:rPr>
        <w:t>，食品包装符合国家有关法规、标准的要求，包装完好无破损</w:t>
      </w:r>
      <w:r>
        <w:rPr>
          <w:rFonts w:ascii="宋体" w:hAnsi="宋体"/>
          <w:color w:val="000000"/>
          <w:sz w:val="24"/>
          <w:szCs w:val="24"/>
        </w:rPr>
        <w:t>。</w:t>
      </w:r>
    </w:p>
    <w:p>
      <w:pPr>
        <w:spacing w:line="400" w:lineRule="exact"/>
        <w:ind w:firstLine="480" w:firstLineChars="200"/>
        <w:rPr>
          <w:rFonts w:hint="eastAsia" w:ascii="宋体" w:hAnsi="宋体"/>
          <w:sz w:val="24"/>
          <w:szCs w:val="24"/>
        </w:rPr>
      </w:pPr>
      <w:r>
        <w:rPr>
          <w:rFonts w:hint="eastAsia" w:ascii="宋体" w:hAnsi="宋体"/>
          <w:sz w:val="24"/>
          <w:szCs w:val="24"/>
        </w:rPr>
        <w:t>（五）送货时间：合同签订后，按用户要求，原则上副食品每周供应一次。</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监狱根据实际需求，提前三天以传真方式将下周需求通知中标人。</w:t>
      </w:r>
    </w:p>
    <w:p>
      <w:pPr>
        <w:spacing w:line="400" w:lineRule="exact"/>
        <w:ind w:firstLine="480" w:firstLineChars="200"/>
        <w:rPr>
          <w:rFonts w:hint="eastAsia" w:ascii="宋体" w:hAnsi="宋体"/>
          <w:sz w:val="24"/>
          <w:szCs w:val="24"/>
        </w:rPr>
      </w:pPr>
      <w:r>
        <w:rPr>
          <w:rFonts w:hint="eastAsia" w:ascii="宋体" w:hAnsi="宋体" w:cs="宋体"/>
          <w:kern w:val="0"/>
          <w:sz w:val="24"/>
          <w:szCs w:val="24"/>
        </w:rPr>
        <w:t>中标人在接到通知后备齐货物，按时送抵交货地点。中标人除不可抗力，不得因其他任何理由延迟送货。监狱如遇特殊情况需推迟送货，应提前通知中标人。中标人</w:t>
      </w:r>
      <w:r>
        <w:rPr>
          <w:rFonts w:hint="eastAsia" w:ascii="宋体" w:hAnsi="宋体"/>
          <w:sz w:val="24"/>
          <w:szCs w:val="24"/>
        </w:rPr>
        <w:t>不能按时、按质、按量供货，导致监狱无法正常供应伙食的，监狱有权自行采购同等质量的货物，由此造成的经济损失和责任均由中标人承担，并承担违约责任。</w:t>
      </w:r>
    </w:p>
    <w:p>
      <w:pPr>
        <w:autoSpaceDE w:val="0"/>
        <w:autoSpaceDN w:val="0"/>
        <w:adjustRightInd w:val="0"/>
        <w:snapToGrid w:val="0"/>
        <w:spacing w:line="400" w:lineRule="exact"/>
        <w:ind w:firstLine="480" w:firstLineChars="200"/>
        <w:rPr>
          <w:rFonts w:hint="eastAsia" w:ascii="宋体" w:hAnsi="宋体"/>
          <w:b/>
          <w:sz w:val="24"/>
          <w:szCs w:val="24"/>
        </w:rPr>
      </w:pPr>
      <w:r>
        <w:rPr>
          <w:rFonts w:hint="eastAsia" w:ascii="宋体" w:hAnsi="宋体"/>
          <w:sz w:val="24"/>
          <w:szCs w:val="24"/>
        </w:rPr>
        <w:t>（六）付款方式：中标人按监狱要求完成当月供货后，于次月10日前凭国家正式发票（监狱企业采购的物资需开具增值税专用发票）向监狱申请付款，监狱收到申请后在20个工作日内结清货款（采购人向财政部门申请办理国库支付即视为已按期支付）。</w:t>
      </w:r>
    </w:p>
    <w:p>
      <w:pPr>
        <w:spacing w:line="400" w:lineRule="exact"/>
        <w:ind w:firstLine="480" w:firstLineChars="200"/>
        <w:jc w:val="left"/>
        <w:rPr>
          <w:rFonts w:hint="eastAsia" w:ascii="宋体" w:hAnsi="宋体"/>
          <w:sz w:val="24"/>
          <w:szCs w:val="24"/>
        </w:rPr>
      </w:pPr>
    </w:p>
    <w:p>
      <w:pPr>
        <w:spacing w:line="400" w:lineRule="exact"/>
        <w:ind w:firstLine="482" w:firstLineChars="200"/>
        <w:rPr>
          <w:rFonts w:hint="eastAsia" w:ascii="宋体" w:hAnsi="宋体" w:cs="宋体"/>
          <w:kern w:val="0"/>
          <w:sz w:val="24"/>
          <w:szCs w:val="24"/>
        </w:rPr>
      </w:pPr>
      <w:r>
        <w:rPr>
          <w:rFonts w:hint="eastAsia" w:ascii="宋体" w:hAnsi="宋体" w:cs="宋体"/>
          <w:b/>
          <w:kern w:val="0"/>
          <w:sz w:val="24"/>
          <w:szCs w:val="24"/>
        </w:rPr>
        <w:t>七、物资验收</w:t>
      </w:r>
    </w:p>
    <w:p>
      <w:pPr>
        <w:spacing w:line="400" w:lineRule="exact"/>
        <w:ind w:firstLine="480" w:firstLineChars="200"/>
        <w:rPr>
          <w:rFonts w:hint="eastAsia" w:ascii="宋体" w:hAnsi="宋体"/>
          <w:color w:val="000000"/>
          <w:sz w:val="24"/>
          <w:szCs w:val="24"/>
        </w:rPr>
      </w:pPr>
      <w:r>
        <w:rPr>
          <w:rFonts w:hint="eastAsia" w:ascii="宋体" w:hAnsi="宋体" w:cs="宋体"/>
          <w:kern w:val="0"/>
          <w:sz w:val="24"/>
          <w:szCs w:val="24"/>
        </w:rPr>
        <w:t>（一）按《广东省监狱罪犯生活物资验收管理办法》（附件）验收</w:t>
      </w:r>
      <w:r>
        <w:rPr>
          <w:rFonts w:hint="eastAsia" w:ascii="宋体" w:hAnsi="宋体"/>
          <w:color w:val="000000"/>
          <w:sz w:val="24"/>
          <w:szCs w:val="24"/>
        </w:rPr>
        <w:t>。</w:t>
      </w:r>
    </w:p>
    <w:p>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（二）双方对质量有争议，如需将货物送至具有资质的质量检测机构检测的，若检测结果合格，检测费用由监狱支付。</w:t>
      </w:r>
    </w:p>
    <w:p>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若检测结果不合格，则检测费用由中标人支付，监狱将该批次货物退货，中标人重新配送合格物资外，中标人还需缴纳该批次货物金额的30%作为违约金予监狱。</w:t>
      </w:r>
    </w:p>
    <w:p>
      <w:pPr>
        <w:spacing w:line="400" w:lineRule="exact"/>
        <w:ind w:firstLine="480" w:firstLineChars="200"/>
        <w:rPr>
          <w:rFonts w:hint="eastAsia" w:ascii="宋体" w:hAnsi="宋体"/>
          <w:color w:val="000000"/>
          <w:sz w:val="24"/>
          <w:szCs w:val="24"/>
        </w:rPr>
      </w:pPr>
      <w:r>
        <w:rPr>
          <w:rFonts w:hint="eastAsia" w:ascii="宋体" w:hAnsi="宋体"/>
          <w:color w:val="000000"/>
          <w:sz w:val="24"/>
          <w:szCs w:val="24"/>
        </w:rPr>
        <w:t>（三）合同期内，省监狱管理局对货物质量进行两次以内的抽查（食品安全事故调查、接到投诉调查而送检不受此次数限制），质量检验费用由中标人支付；对抽查发现货物质量（含包装）不合格的，责成监狱对该批次产品作出更换、退货、扣除50%履约保证金、情节严重的解除合同等处理；合同期内两次抽查发现不合格的（可为相同或不同货物），责成监狱全部扣除履约保证金并解除合同。</w:t>
      </w:r>
    </w:p>
    <w:p>
      <w:pPr>
        <w:spacing w:line="400" w:lineRule="exact"/>
        <w:ind w:firstLine="480" w:firstLineChars="200"/>
        <w:rPr>
          <w:rFonts w:ascii="宋体" w:hAnsi="宋体"/>
          <w:color w:val="000000"/>
          <w:sz w:val="24"/>
          <w:szCs w:val="24"/>
        </w:rPr>
      </w:pPr>
      <w:r>
        <w:rPr>
          <w:rFonts w:hint="eastAsia" w:ascii="宋体" w:hAnsi="宋体"/>
          <w:color w:val="000000"/>
          <w:sz w:val="24"/>
          <w:szCs w:val="24"/>
        </w:rPr>
        <w:t>（四）物资验收时未发现质量问题，而入库后七天内发现质量问题，中标人无法证明因监狱保管、使用不善导致质量问题的，中标人应无条件更换该批次该品种物资。</w:t>
      </w:r>
    </w:p>
    <w:p>
      <w:pPr>
        <w:spacing w:line="400" w:lineRule="exact"/>
        <w:ind w:firstLine="482" w:firstLineChars="200"/>
        <w:rPr>
          <w:rFonts w:hint="eastAsia" w:ascii="宋体" w:hAnsi="宋体"/>
          <w:b/>
          <w:color w:val="000000"/>
          <w:sz w:val="24"/>
          <w:szCs w:val="24"/>
        </w:rPr>
      </w:pPr>
    </w:p>
    <w:p>
      <w:pPr>
        <w:spacing w:line="400" w:lineRule="exact"/>
        <w:ind w:firstLine="482" w:firstLineChars="200"/>
        <w:rPr>
          <w:rFonts w:hint="eastAsia" w:ascii="宋体" w:hAnsi="宋体"/>
          <w:b/>
          <w:color w:val="000000"/>
          <w:sz w:val="24"/>
          <w:szCs w:val="24"/>
        </w:rPr>
      </w:pPr>
      <w:r>
        <w:rPr>
          <w:rFonts w:hint="eastAsia" w:ascii="宋体" w:hAnsi="宋体"/>
          <w:b/>
          <w:color w:val="000000"/>
          <w:sz w:val="24"/>
          <w:szCs w:val="24"/>
        </w:rPr>
        <w:t>八、中标人的管理要求</w:t>
      </w:r>
    </w:p>
    <w:p>
      <w:pPr>
        <w:spacing w:line="400" w:lineRule="exact"/>
        <w:ind w:firstLine="480" w:firstLineChars="200"/>
        <w:rPr>
          <w:rFonts w:hint="eastAsia" w:ascii="宋体" w:hAnsi="宋体"/>
          <w:sz w:val="24"/>
          <w:szCs w:val="24"/>
        </w:rPr>
      </w:pPr>
      <w:r>
        <w:rPr>
          <w:rFonts w:hint="eastAsia" w:ascii="宋体" w:hAnsi="宋体"/>
          <w:sz w:val="24"/>
          <w:szCs w:val="24"/>
        </w:rPr>
        <w:t>（一）供应商有以下行为，经调查属实的，监狱将立即解除相关供应合同，履约保证金不退还：</w:t>
      </w:r>
      <w:r>
        <w:rPr>
          <w:rFonts w:hint="eastAsia" w:ascii="宋体" w:hAnsi="宋体"/>
          <w:sz w:val="24"/>
          <w:szCs w:val="24"/>
        </w:rPr>
        <w:br w:type="textWrapping"/>
      </w:r>
      <w:r>
        <w:rPr>
          <w:rFonts w:hint="eastAsia" w:ascii="宋体" w:hAnsi="宋体"/>
          <w:sz w:val="24"/>
          <w:szCs w:val="24"/>
        </w:rPr>
        <w:t xml:space="preserve">    1、弄虚作假，提供虚假材料取得中标供应资格的；</w:t>
      </w:r>
    </w:p>
    <w:p>
      <w:pPr>
        <w:spacing w:line="400" w:lineRule="exact"/>
        <w:ind w:firstLine="480" w:firstLineChars="200"/>
        <w:rPr>
          <w:rFonts w:hint="eastAsia" w:ascii="宋体" w:hAnsi="宋体"/>
          <w:sz w:val="24"/>
          <w:szCs w:val="24"/>
        </w:rPr>
      </w:pPr>
      <w:r>
        <w:rPr>
          <w:rFonts w:hint="eastAsia" w:ascii="宋体" w:hAnsi="宋体"/>
          <w:sz w:val="24"/>
          <w:szCs w:val="24"/>
        </w:rPr>
        <w:t>2、中标供应项目有转包、分包行为的；</w:t>
      </w:r>
    </w:p>
    <w:p>
      <w:pPr>
        <w:spacing w:line="400" w:lineRule="exact"/>
        <w:ind w:firstLine="480" w:firstLineChars="200"/>
        <w:rPr>
          <w:rFonts w:hint="eastAsia" w:ascii="宋体" w:hAnsi="宋体"/>
          <w:sz w:val="24"/>
          <w:szCs w:val="24"/>
        </w:rPr>
      </w:pPr>
      <w:r>
        <w:rPr>
          <w:rFonts w:hint="eastAsia" w:ascii="宋体" w:hAnsi="宋体"/>
          <w:sz w:val="24"/>
          <w:szCs w:val="24"/>
        </w:rPr>
        <w:t>3、经营情况发生重大变更，已经不具备承接中标供应项目能力的；</w:t>
      </w:r>
    </w:p>
    <w:p>
      <w:pPr>
        <w:spacing w:line="400" w:lineRule="exact"/>
        <w:ind w:firstLine="480" w:firstLineChars="200"/>
        <w:rPr>
          <w:rFonts w:hint="eastAsia" w:ascii="宋体" w:hAnsi="宋体"/>
          <w:sz w:val="24"/>
          <w:szCs w:val="24"/>
        </w:rPr>
      </w:pPr>
      <w:r>
        <w:rPr>
          <w:rFonts w:hint="eastAsia" w:ascii="宋体" w:hAnsi="宋体"/>
          <w:sz w:val="24"/>
          <w:szCs w:val="24"/>
        </w:rPr>
        <w:t>4、无正当理由拒绝履行合同向监狱供货的；</w:t>
      </w:r>
      <w:r>
        <w:rPr>
          <w:rFonts w:hint="eastAsia" w:ascii="宋体" w:hAnsi="宋体"/>
          <w:sz w:val="24"/>
          <w:szCs w:val="24"/>
        </w:rPr>
        <w:br w:type="textWrapping"/>
      </w:r>
      <w:r>
        <w:rPr>
          <w:rFonts w:hint="eastAsia" w:ascii="宋体" w:hAnsi="宋体"/>
          <w:sz w:val="24"/>
          <w:szCs w:val="24"/>
        </w:rPr>
        <w:t xml:space="preserve">    5、有行贿、给回扣等不正当竞争行为的；</w:t>
      </w:r>
    </w:p>
    <w:p>
      <w:pPr>
        <w:spacing w:line="400" w:lineRule="exact"/>
        <w:ind w:firstLine="480" w:firstLineChars="200"/>
        <w:rPr>
          <w:rFonts w:hint="eastAsia" w:ascii="宋体" w:hAnsi="宋体"/>
          <w:sz w:val="24"/>
          <w:szCs w:val="24"/>
        </w:rPr>
      </w:pPr>
      <w:r>
        <w:rPr>
          <w:rFonts w:hint="eastAsia" w:ascii="宋体" w:hAnsi="宋体"/>
          <w:sz w:val="24"/>
          <w:szCs w:val="24"/>
        </w:rPr>
        <w:t>6、因所供货物质量原因导致狱内发生食品安全事故的；</w:t>
      </w:r>
      <w:r>
        <w:rPr>
          <w:rFonts w:hint="eastAsia" w:ascii="宋体" w:hAnsi="宋体"/>
          <w:sz w:val="24"/>
          <w:szCs w:val="24"/>
        </w:rPr>
        <w:br w:type="textWrapping"/>
      </w:r>
      <w:r>
        <w:rPr>
          <w:rFonts w:hint="eastAsia" w:ascii="宋体" w:hAnsi="宋体"/>
          <w:sz w:val="24"/>
          <w:szCs w:val="24"/>
        </w:rPr>
        <w:t xml:space="preserve">    7、所供应货物存在故意假冒伪劣行为的；</w:t>
      </w:r>
    </w:p>
    <w:p>
      <w:pPr>
        <w:spacing w:line="400" w:lineRule="exact"/>
        <w:ind w:firstLine="480" w:firstLineChars="200"/>
        <w:rPr>
          <w:rFonts w:hint="eastAsia" w:ascii="宋体" w:hAnsi="宋体"/>
          <w:sz w:val="24"/>
          <w:szCs w:val="24"/>
        </w:rPr>
      </w:pPr>
      <w:r>
        <w:rPr>
          <w:rFonts w:hint="eastAsia" w:ascii="宋体" w:hAnsi="宋体"/>
          <w:sz w:val="24"/>
          <w:szCs w:val="24"/>
        </w:rPr>
        <w:t>8、因供应商原因导致狱内发生监管安全事故的；</w:t>
      </w:r>
    </w:p>
    <w:p>
      <w:pPr>
        <w:spacing w:line="400" w:lineRule="exact"/>
        <w:ind w:firstLine="480" w:firstLineChars="200"/>
        <w:rPr>
          <w:rFonts w:hint="eastAsia" w:ascii="宋体" w:hAnsi="宋体"/>
          <w:sz w:val="24"/>
          <w:szCs w:val="24"/>
        </w:rPr>
      </w:pPr>
      <w:r>
        <w:rPr>
          <w:rFonts w:hint="eastAsia" w:ascii="宋体" w:hAnsi="宋体"/>
          <w:sz w:val="24"/>
          <w:szCs w:val="24"/>
        </w:rPr>
        <w:t>9、监狱第一或第二次发现中标人的工作人员为监狱服刑人员传带物品，且造成重大社会不良影响的；</w:t>
      </w:r>
    </w:p>
    <w:p>
      <w:pPr>
        <w:spacing w:line="400" w:lineRule="exact"/>
        <w:ind w:firstLine="480" w:firstLineChars="200"/>
        <w:rPr>
          <w:rFonts w:hint="eastAsia" w:ascii="宋体" w:hAnsi="宋体"/>
          <w:sz w:val="24"/>
          <w:szCs w:val="24"/>
        </w:rPr>
      </w:pPr>
      <w:r>
        <w:rPr>
          <w:rFonts w:hint="eastAsia" w:ascii="宋体" w:hAnsi="宋体"/>
          <w:sz w:val="24"/>
          <w:szCs w:val="24"/>
        </w:rPr>
        <w:t>10、监狱第三次发现中标人的工作人员为监狱服刑人员传带物品的。</w:t>
      </w:r>
    </w:p>
    <w:p>
      <w:pPr>
        <w:spacing w:line="400" w:lineRule="exact"/>
        <w:ind w:firstLine="480" w:firstLineChars="200"/>
        <w:rPr>
          <w:rFonts w:hint="eastAsia" w:ascii="宋体" w:hAnsi="宋体"/>
          <w:sz w:val="24"/>
          <w:szCs w:val="24"/>
        </w:rPr>
      </w:pPr>
      <w:r>
        <w:rPr>
          <w:rFonts w:hint="eastAsia" w:ascii="宋体" w:hAnsi="宋体"/>
          <w:sz w:val="24"/>
          <w:szCs w:val="24"/>
        </w:rPr>
        <w:t>11、工作人员为监狱服刑人员私传违禁品、违规品、危险品等违反监狱管理规定的。</w:t>
      </w:r>
    </w:p>
    <w:p>
      <w:pPr>
        <w:spacing w:line="400" w:lineRule="exact"/>
        <w:ind w:firstLine="480" w:firstLineChars="200"/>
        <w:rPr>
          <w:rFonts w:hint="eastAsia" w:ascii="宋体" w:hAnsi="宋体"/>
          <w:sz w:val="24"/>
          <w:szCs w:val="24"/>
        </w:rPr>
      </w:pPr>
      <w:r>
        <w:rPr>
          <w:rFonts w:hint="eastAsia" w:ascii="宋体" w:hAnsi="宋体"/>
          <w:sz w:val="24"/>
          <w:szCs w:val="24"/>
        </w:rPr>
        <w:t>12、有其他违法违纪行为的。</w:t>
      </w:r>
    </w:p>
    <w:p>
      <w:pPr>
        <w:spacing w:line="400" w:lineRule="exact"/>
        <w:ind w:firstLine="480" w:firstLineChars="200"/>
        <w:rPr>
          <w:rFonts w:hint="eastAsia" w:ascii="宋体" w:hAnsi="宋体"/>
          <w:sz w:val="24"/>
          <w:szCs w:val="24"/>
        </w:rPr>
      </w:pPr>
      <w:r>
        <w:rPr>
          <w:rFonts w:hint="eastAsia" w:ascii="宋体" w:hAnsi="宋体" w:cs="宋体"/>
          <w:kern w:val="0"/>
          <w:sz w:val="24"/>
          <w:szCs w:val="24"/>
        </w:rPr>
        <w:t>（二）必须依据国家有关法律法规要求建立健全各项管理制度，保证食品安全，有明确的食品安全责任人。</w:t>
      </w:r>
      <w:r>
        <w:rPr>
          <w:rFonts w:hint="eastAsia" w:ascii="宋体" w:hAnsi="宋体"/>
          <w:sz w:val="24"/>
          <w:szCs w:val="24"/>
        </w:rPr>
        <w:t>因所供货物质量原因导致狱内发生食品安全事故，除解除合同、扣除全部履约保证金外，中标人还需赔偿监狱救治经费及误工损失。</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（三）由于监狱工作的特殊性，中标人应做好本单位工作人员的教育工作，遵守监狱出入监门和物品携带等各项规定。</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（四）按合同约定的标的供货，中标人不得转包、分包，否则监狱有权单方面终止合同，项目另行处理，中标人承担由此造成的经济损失，履约保证金不退还。</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（五）中标人应严格按招标要求（含品种、质量等）供应，不得变更供应商品，否则，监狱有权退货。</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（六）</w:t>
      </w:r>
      <w:r>
        <w:rPr>
          <w:rFonts w:hint="eastAsia" w:ascii="宋体" w:hAnsi="宋体"/>
          <w:bCs/>
          <w:sz w:val="24"/>
          <w:szCs w:val="24"/>
        </w:rPr>
        <w:t>因生产商原因停产、改变生产规格的，中标供应商凭生产商证明告知监狱，监狱经市场调查确认，选择替换品种、规格，报省局生活卫生处备案后与供应商协商定价后确认更换的品种、规格、价格。</w:t>
      </w:r>
    </w:p>
    <w:p>
      <w:pPr>
        <w:spacing w:line="400" w:lineRule="exact"/>
        <w:ind w:firstLine="480" w:firstLineChars="200"/>
        <w:rPr>
          <w:rFonts w:hint="eastAsia" w:ascii="宋体" w:hAnsi="宋体"/>
          <w:bCs/>
          <w:sz w:val="24"/>
          <w:szCs w:val="24"/>
        </w:rPr>
      </w:pPr>
      <w:r>
        <w:rPr>
          <w:rFonts w:hint="eastAsia" w:ascii="宋体" w:hAnsi="宋体" w:cs="宋体"/>
          <w:kern w:val="0"/>
          <w:sz w:val="24"/>
          <w:szCs w:val="24"/>
        </w:rPr>
        <w:t>（七）监狱按合同对商品进行严格验收，对不符合规格要求的商品，供应商必须无条件退货或更换。</w:t>
      </w:r>
    </w:p>
    <w:p>
      <w:pPr>
        <w:spacing w:line="400" w:lineRule="exact"/>
        <w:ind w:firstLine="480" w:firstLineChars="200"/>
        <w:rPr>
          <w:rFonts w:hint="eastAsia" w:ascii="宋体" w:hAnsi="宋体" w:cs="宋体"/>
          <w:kern w:val="0"/>
          <w:sz w:val="24"/>
          <w:szCs w:val="24"/>
        </w:rPr>
      </w:pPr>
      <w:r>
        <w:rPr>
          <w:rFonts w:hint="eastAsia" w:ascii="宋体" w:hAnsi="宋体"/>
          <w:bCs/>
          <w:sz w:val="24"/>
          <w:szCs w:val="24"/>
        </w:rPr>
        <w:t>（八）</w:t>
      </w:r>
      <w:r>
        <w:rPr>
          <w:rFonts w:hint="eastAsia" w:ascii="宋体" w:hAnsi="宋体" w:cs="宋体"/>
          <w:kern w:val="0"/>
          <w:sz w:val="24"/>
          <w:szCs w:val="24"/>
        </w:rPr>
        <w:t>中标人须按供应商品的销售额开具国家正式发票。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九）食品溯源要求。食品供应链必须明确，所有食品的来源必须清晰，来源应当是受到地方政府部门监管的流通市场或具有相关资质的厂家生产，食品生产企业必须获得《食品生产许可证》，生产食品的源头与供应商要有固定的合法的供应关系。供应商应保存以下资料：</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1、供应商与生产企业的销售合同；</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2、生产企业的送货单和销售发票；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3、供应商与采购方的采购合同及送货单据、销售发票。</w:t>
      </w:r>
    </w:p>
    <w:p>
      <w:pPr>
        <w:spacing w:line="400" w:lineRule="exact"/>
        <w:ind w:firstLine="480" w:firstLineChars="200"/>
        <w:rPr>
          <w:rFonts w:hint="eastAsia" w:ascii="宋体" w:hAnsi="宋体" w:cs="宋体"/>
          <w:kern w:val="0"/>
          <w:sz w:val="24"/>
          <w:szCs w:val="24"/>
        </w:rPr>
      </w:pPr>
    </w:p>
    <w:p>
      <w:pPr>
        <w:spacing w:line="400" w:lineRule="exact"/>
        <w:ind w:firstLine="482" w:firstLineChars="200"/>
        <w:rPr>
          <w:rFonts w:hint="eastAsia" w:ascii="宋体" w:hAnsi="宋体" w:cs="宋体"/>
          <w:b/>
          <w:kern w:val="0"/>
          <w:sz w:val="24"/>
          <w:szCs w:val="24"/>
        </w:rPr>
      </w:pPr>
      <w:r>
        <w:rPr>
          <w:rFonts w:hint="eastAsia" w:ascii="宋体" w:hAnsi="宋体" w:cs="宋体"/>
          <w:b/>
          <w:kern w:val="0"/>
          <w:sz w:val="24"/>
          <w:szCs w:val="24"/>
        </w:rPr>
        <w:t>九、外来人员进出监管区须知</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由于监狱工作的特殊性，中标人应认真教育本单位工作人员严格遵守监狱的相关管理规定。</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（一）外来人员必须遵守法律法规，不得假借监狱名义从事有损监狱形象的行为。</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（二）外来人员进入监管区应提高警惕，注意人身安全保护，加强自我防范意识；自觉与罪犯划清界线，防止被罪犯利用。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（三）外来人员进入监管区必须衣着整齐，举止文明；女士不得衣着暴露。</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（四）凡需进入监管区的外来人员必须由合作方开具委派证明和身份证明原件，向狱方提出申请，经核准后办理相关手续。</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（五）外来车辆应凭审批手续并由监狱警察带领或监狱指定人员驾驶，方可进出监管区大门。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（六）所有进出监管区大门的人员、车辆和物品应接受监门警察和监门哨兵的检查，凭通行证件或经监狱审批的手续，人证相符、手续齐全方可进出监管区大门。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七）外来人员进出监管区大门必须遵守《广东省监狱监管区大门管理规定（试行）》。凭有效身份证件办理《外来人员通行证》或《外来人员临时通行证》，由监狱相关部门警察带入带出，并接受监门武警和值班警察的检查管理。</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（八）外来人员不得携带违禁品、违规品、危险品等可能影响监管安全的物品进入监管区，进入监管区时必须按规定将移动电话等物品保管在贮物箱。</w:t>
      </w:r>
    </w:p>
    <w:p>
      <w:pPr>
        <w:spacing w:line="400" w:lineRule="exact"/>
        <w:ind w:firstLine="480" w:firstLineChars="200"/>
        <w:rPr>
          <w:rFonts w:hint="eastAsia" w:ascii="宋体" w:hAnsi="宋体"/>
          <w:sz w:val="24"/>
          <w:szCs w:val="24"/>
        </w:rPr>
      </w:pPr>
      <w:r>
        <w:rPr>
          <w:rFonts w:hint="eastAsia" w:ascii="宋体" w:hAnsi="宋体"/>
          <w:sz w:val="24"/>
          <w:szCs w:val="24"/>
        </w:rPr>
        <w:t>违禁品是指枪支弹药、通讯设备、现金、刀具、毒品、麻醉及精神药品、军警制服、便服、假发、反动、淫秽宣传制品等物品；</w:t>
      </w:r>
    </w:p>
    <w:p>
      <w:pPr>
        <w:spacing w:line="400" w:lineRule="exact"/>
        <w:ind w:firstLine="480" w:firstLineChars="200"/>
        <w:rPr>
          <w:rFonts w:hint="eastAsia" w:ascii="宋体" w:hAnsi="宋体"/>
          <w:sz w:val="24"/>
          <w:szCs w:val="24"/>
        </w:rPr>
      </w:pPr>
      <w:r>
        <w:rPr>
          <w:rFonts w:hint="eastAsia" w:ascii="宋体" w:hAnsi="宋体"/>
          <w:sz w:val="24"/>
          <w:szCs w:val="24"/>
        </w:rPr>
        <w:t>违规品是指含有酒精的饮品、火种及可用作点火的可燃物品、身份类证件、绳索及可用作绳索的生产原材料、半成品、成品、玻璃陶瓷类制品及含有玻璃制品的物品、绝缘物品、燃料炊具和电炊具等物品；</w:t>
      </w:r>
    </w:p>
    <w:p>
      <w:pPr>
        <w:spacing w:line="400" w:lineRule="exact"/>
        <w:ind w:firstLine="480" w:firstLineChars="200"/>
        <w:rPr>
          <w:rFonts w:hint="eastAsia" w:ascii="宋体" w:hAnsi="宋体" w:cs="宋体"/>
          <w:kern w:val="0"/>
          <w:sz w:val="24"/>
          <w:szCs w:val="24"/>
        </w:rPr>
      </w:pPr>
      <w:r>
        <w:rPr>
          <w:rFonts w:hint="eastAsia" w:ascii="宋体" w:hAnsi="宋体"/>
          <w:sz w:val="24"/>
          <w:szCs w:val="24"/>
        </w:rPr>
        <w:t>危险品是指钝器、攀高物、易燃易爆、剧毒、放射、腐蚀性等物品。</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（九）外来人员进入监管区大门后，必须将《外来人员通行证》或《外来人员临时通行证》挂于胸前，并妥善保管。</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（十）外来人员在监管区内必须遵守监狱的下列规定：</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1、不得擅自与服刑人员接触，与服刑人员认老乡、攀亲结友；</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 xml:space="preserve">2、不得为服刑人员传带、保管任何物品； </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3、不得为服刑人员邮寄信件、捎口信或替服刑人员打电话；</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4、不得在监管区拍照、摄像或录音；</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5、不得在监管区内随意走动，非经许可不得进入监舍区；</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6、不得与服刑人员交谈业务以外的内容；</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7、不得散布不利于服刑人员改造的言论；</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8、不得干涉、干扰监狱对服刑人员的执法活动；</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9、不得破坏监狱设施；</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10、患有传染性疾病的外来人员严禁进入监管区；</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11、不得向无关人员谈及监狱工作秘密，或从事其它有碍监管安全的行为。</w:t>
      </w:r>
    </w:p>
    <w:p>
      <w:pPr>
        <w:spacing w:line="400" w:lineRule="exact"/>
        <w:ind w:firstLine="480" w:firstLineChars="200"/>
        <w:rPr>
          <w:rFonts w:hint="eastAsia" w:ascii="宋体" w:hAnsi="宋体" w:cs="宋体"/>
          <w:kern w:val="0"/>
          <w:sz w:val="24"/>
          <w:szCs w:val="24"/>
        </w:rPr>
      </w:pPr>
      <w:r>
        <w:rPr>
          <w:rFonts w:hint="eastAsia" w:ascii="宋体" w:hAnsi="宋体" w:cs="宋体"/>
          <w:kern w:val="0"/>
          <w:sz w:val="24"/>
          <w:szCs w:val="24"/>
        </w:rPr>
        <w:t>（十一）外来车辆应按指定位置停放并熄火，拔下钥匙，锁紧车门窗。所有车辆在当天21时前应驶离监管区。</w:t>
      </w:r>
    </w:p>
    <w:p>
      <w:pPr>
        <w:widowControl/>
        <w:tabs>
          <w:tab w:val="left" w:pos="420"/>
        </w:tabs>
        <w:spacing w:line="560" w:lineRule="exact"/>
        <w:ind w:firstLine="480" w:firstLineChars="200"/>
        <w:rPr>
          <w:rFonts w:cs="仿宋_GB2312" w:asciiTheme="minorEastAsia" w:hAnsiTheme="minorEastAsia" w:eastAsiaTheme="minorEastAsia"/>
          <w:b/>
          <w:bCs/>
          <w:szCs w:val="21"/>
        </w:rPr>
      </w:pPr>
      <w:r>
        <w:rPr>
          <w:rFonts w:hint="eastAsia" w:ascii="宋体" w:hAnsi="宋体" w:cs="宋体"/>
          <w:kern w:val="0"/>
          <w:sz w:val="24"/>
          <w:szCs w:val="24"/>
        </w:rPr>
        <w:t>（十二）外来人员若违反本管理规定，监狱将责成中标人将其解聘、辞退或调离，严禁其再次进入监管区，有违法行为的送司法机关处理。</w:t>
      </w:r>
    </w:p>
    <w:p>
      <w:pPr>
        <w:widowControl/>
        <w:tabs>
          <w:tab w:val="left" w:pos="420"/>
        </w:tabs>
        <w:spacing w:line="560" w:lineRule="exact"/>
        <w:ind w:firstLine="422" w:firstLineChars="200"/>
        <w:rPr>
          <w:rFonts w:cs="仿宋_GB2312" w:asciiTheme="minorEastAsia" w:hAnsiTheme="minorEastAsia" w:eastAsiaTheme="minorEastAsia"/>
          <w:b/>
          <w:bCs/>
          <w:szCs w:val="21"/>
        </w:rPr>
      </w:pPr>
    </w:p>
    <w:p>
      <w:pPr>
        <w:widowControl/>
        <w:tabs>
          <w:tab w:val="left" w:pos="420"/>
        </w:tabs>
        <w:spacing w:line="560" w:lineRule="exact"/>
        <w:ind w:firstLine="643" w:firstLineChars="200"/>
        <w:rPr>
          <w:rFonts w:ascii="仿宋_GB2312" w:hAnsi="仿宋_GB2312" w:eastAsia="仿宋_GB2312" w:cs="仿宋_GB2312"/>
          <w:b/>
          <w:bCs/>
          <w:sz w:val="32"/>
          <w:szCs w:val="32"/>
        </w:rPr>
      </w:pPr>
    </w:p>
    <w:p>
      <w:pPr>
        <w:spacing w:before="156" w:beforeLines="50" w:after="156" w:afterLines="50" w:line="360" w:lineRule="auto"/>
        <w:jc w:val="center"/>
        <w:outlineLvl w:val="0"/>
        <w:rPr>
          <w:rFonts w:ascii="宋体" w:hAnsi="宋体"/>
          <w:b/>
          <w:bCs/>
          <w:sz w:val="28"/>
          <w:szCs w:val="28"/>
        </w:rPr>
      </w:pPr>
      <w:r>
        <w:rPr>
          <w:rFonts w:hint="eastAsia" w:ascii="宋体" w:hAnsi="宋体"/>
          <w:b/>
          <w:bCs/>
          <w:sz w:val="28"/>
          <w:szCs w:val="28"/>
        </w:rPr>
        <w:br w:type="page"/>
      </w:r>
    </w:p>
    <w:p>
      <w:pPr>
        <w:spacing w:before="156" w:beforeLines="50" w:after="156" w:afterLines="50" w:line="360" w:lineRule="auto"/>
        <w:jc w:val="center"/>
        <w:outlineLvl w:val="0"/>
        <w:rPr>
          <w:rFonts w:ascii="宋体" w:hAnsi="宋体"/>
          <w:b/>
          <w:bCs/>
          <w:sz w:val="28"/>
          <w:szCs w:val="28"/>
        </w:rPr>
      </w:pPr>
      <w:bookmarkStart w:id="13" w:name="_Toc12788"/>
      <w:r>
        <w:rPr>
          <w:rFonts w:hint="eastAsia" w:ascii="宋体" w:hAnsi="宋体"/>
          <w:b/>
          <w:bCs/>
          <w:sz w:val="28"/>
          <w:szCs w:val="28"/>
        </w:rPr>
        <w:t>第五章</w:t>
      </w:r>
      <w:bookmarkStart w:id="14" w:name="_Toc435109307"/>
      <w:r>
        <w:rPr>
          <w:rFonts w:hint="eastAsia" w:ascii="宋体" w:hAnsi="宋体"/>
          <w:b/>
          <w:bCs/>
          <w:sz w:val="28"/>
          <w:szCs w:val="28"/>
        </w:rPr>
        <w:t xml:space="preserve">  合同通用条款</w:t>
      </w:r>
      <w:bookmarkEnd w:id="13"/>
      <w:bookmarkEnd w:id="14"/>
    </w:p>
    <w:p>
      <w:pPr>
        <w:pStyle w:val="9"/>
        <w:kinsoku w:val="0"/>
        <w:overflowPunct w:val="0"/>
        <w:autoSpaceDE w:val="0"/>
        <w:autoSpaceDN w:val="0"/>
        <w:adjustRightInd w:val="0"/>
        <w:spacing w:line="360" w:lineRule="auto"/>
        <w:ind w:right="3555"/>
        <w:rPr>
          <w:rFonts w:cs="宋体"/>
          <w:sz w:val="24"/>
          <w:u w:val="single"/>
        </w:rPr>
      </w:pPr>
      <w:r>
        <w:rPr>
          <w:rFonts w:hint="eastAsia" w:cs="宋体"/>
          <w:sz w:val="24"/>
        </w:rPr>
        <w:t>甲方（买方、招标人）：</w:t>
      </w:r>
      <w:r>
        <w:rPr>
          <w:rFonts w:hint="eastAsia" w:cs="宋体"/>
          <w:spacing w:val="-3"/>
          <w:sz w:val="24"/>
          <w:u w:val="single"/>
        </w:rPr>
        <w:t>广东省广州监狱</w:t>
      </w:r>
      <w:r>
        <w:rPr>
          <w:rFonts w:cs="宋体"/>
          <w:sz w:val="24"/>
          <w:u w:val="single"/>
        </w:rPr>
        <w:t xml:space="preserve"> </w:t>
      </w:r>
    </w:p>
    <w:p>
      <w:pPr>
        <w:pStyle w:val="9"/>
        <w:kinsoku w:val="0"/>
        <w:overflowPunct w:val="0"/>
        <w:autoSpaceDE w:val="0"/>
        <w:autoSpaceDN w:val="0"/>
        <w:adjustRightInd w:val="0"/>
        <w:spacing w:line="360" w:lineRule="auto"/>
        <w:ind w:right="3555"/>
        <w:rPr>
          <w:rFonts w:cs="宋体"/>
          <w:sz w:val="24"/>
        </w:rPr>
      </w:pPr>
      <w:r>
        <w:rPr>
          <w:rFonts w:hint="eastAsia" w:cs="宋体"/>
          <w:sz w:val="24"/>
        </w:rPr>
        <w:t>乙方（卖方、乙方）：</w:t>
      </w:r>
      <w:r>
        <w:rPr>
          <w:rFonts w:cs="宋体"/>
          <w:sz w:val="24"/>
          <w:u w:val="single"/>
        </w:rPr>
        <w:t xml:space="preserve">               </w:t>
      </w:r>
    </w:p>
    <w:p>
      <w:pPr>
        <w:autoSpaceDE w:val="0"/>
        <w:autoSpaceDN w:val="0"/>
        <w:adjustRightInd w:val="0"/>
        <w:spacing w:line="360" w:lineRule="auto"/>
        <w:ind w:firstLine="480" w:firstLineChars="200"/>
        <w:rPr>
          <w:rFonts w:ascii="宋体" w:cs="宋体"/>
          <w:sz w:val="24"/>
        </w:rPr>
      </w:pPr>
      <w:r>
        <w:rPr>
          <w:rFonts w:hint="eastAsia" w:ascii="宋体" w:hAnsi="宋体" w:cs="宋体"/>
          <w:sz w:val="24"/>
        </w:rPr>
        <w:t>根据《中华人民共和国合同法》及</w:t>
      </w:r>
      <w:r>
        <w:rPr>
          <w:rFonts w:hint="eastAsia" w:ascii="宋体" w:hAnsi="宋体" w:cs="宋体"/>
          <w:sz w:val="24"/>
          <w:u w:val="single"/>
        </w:rPr>
        <w:t>广东省广州监狱罪犯伙房副食品</w:t>
      </w:r>
      <w:r>
        <w:rPr>
          <w:rFonts w:hint="eastAsia" w:ascii="宋体" w:hAnsi="宋体" w:cs="宋体"/>
          <w:sz w:val="24"/>
          <w:u w:val="single"/>
          <w:lang w:eastAsia="zh-CN"/>
        </w:rPr>
        <w:t>补充</w:t>
      </w:r>
      <w:r>
        <w:rPr>
          <w:rFonts w:hint="eastAsia" w:ascii="宋体" w:hAnsi="宋体" w:cs="宋体"/>
          <w:sz w:val="24"/>
          <w:u w:val="single"/>
        </w:rPr>
        <w:t>采购项目</w:t>
      </w:r>
      <w:r>
        <w:rPr>
          <w:rFonts w:hint="eastAsia" w:ascii="宋体" w:hAnsi="宋体" w:cs="宋体"/>
          <w:sz w:val="24"/>
        </w:rPr>
        <w:t>（项目编号：）招标文件的要求及乙方中标文件的承诺等，买卖双方经协商确定，买方向卖方订购下列货物及其服务，为明确双方责任和权利，特签订本合同，共同遵守。具体条款如下：</w:t>
      </w:r>
    </w:p>
    <w:p>
      <w:pPr>
        <w:autoSpaceDE w:val="0"/>
        <w:autoSpaceDN w:val="0"/>
        <w:adjustRightInd w:val="0"/>
        <w:spacing w:line="360" w:lineRule="auto"/>
        <w:ind w:firstLine="480" w:firstLineChars="200"/>
        <w:rPr>
          <w:rFonts w:ascii="宋体" w:cs="宋体"/>
          <w:sz w:val="24"/>
        </w:rPr>
      </w:pPr>
      <w:r>
        <w:rPr>
          <w:rFonts w:hint="eastAsia" w:ascii="宋体" w:hAnsi="宋体" w:cs="宋体"/>
          <w:sz w:val="24"/>
        </w:rPr>
        <w:t>一、货物的品种、数量、价格、供应期限：</w:t>
      </w:r>
    </w:p>
    <w:p>
      <w:pPr>
        <w:autoSpaceDE w:val="0"/>
        <w:autoSpaceDN w:val="0"/>
        <w:adjustRightInd w:val="0"/>
        <w:spacing w:line="360" w:lineRule="auto"/>
        <w:ind w:firstLine="480" w:firstLineChars="200"/>
        <w:rPr>
          <w:rFonts w:ascii="宋体" w:cs="宋体"/>
          <w:sz w:val="24"/>
        </w:rPr>
      </w:pPr>
      <w:r>
        <w:rPr>
          <w:rFonts w:ascii="宋体" w:hAnsi="宋体" w:cs="宋体"/>
          <w:sz w:val="24"/>
        </w:rPr>
        <w:t>1</w:t>
      </w:r>
      <w:r>
        <w:rPr>
          <w:rFonts w:hint="eastAsia" w:ascii="宋体" w:hAnsi="宋体" w:cs="宋体"/>
          <w:sz w:val="24"/>
        </w:rPr>
        <w:t>、</w:t>
      </w:r>
      <w:r>
        <w:rPr>
          <w:rFonts w:ascii="宋体" w:hAnsi="宋体" w:cs="宋体"/>
          <w:sz w:val="24"/>
        </w:rPr>
        <w:t xml:space="preserve"> </w:t>
      </w:r>
      <w:r>
        <w:rPr>
          <w:rFonts w:hint="eastAsia" w:ascii="宋体" w:hAnsi="宋体" w:cs="宋体"/>
          <w:sz w:val="24"/>
        </w:rPr>
        <w:t>货物的品种：详见附表（副食品品种、品牌、规格及价格表）。</w:t>
      </w:r>
    </w:p>
    <w:p>
      <w:pPr>
        <w:autoSpaceDE w:val="0"/>
        <w:autoSpaceDN w:val="0"/>
        <w:adjustRightInd w:val="0"/>
        <w:spacing w:line="360" w:lineRule="auto"/>
        <w:ind w:firstLine="480" w:firstLineChars="200"/>
        <w:rPr>
          <w:rFonts w:ascii="宋体" w:cs="宋体"/>
          <w:sz w:val="24"/>
        </w:rPr>
      </w:pPr>
      <w:r>
        <w:rPr>
          <w:rFonts w:ascii="宋体" w:hAnsi="宋体" w:cs="宋体"/>
          <w:sz w:val="24"/>
        </w:rPr>
        <w:t>2</w:t>
      </w:r>
      <w:r>
        <w:rPr>
          <w:rFonts w:hint="eastAsia" w:ascii="宋体" w:hAnsi="宋体" w:cs="宋体"/>
          <w:sz w:val="24"/>
        </w:rPr>
        <w:t>、</w:t>
      </w:r>
      <w:r>
        <w:rPr>
          <w:rFonts w:ascii="宋体" w:hAnsi="宋体" w:cs="宋体"/>
          <w:sz w:val="24"/>
        </w:rPr>
        <w:t xml:space="preserve"> </w:t>
      </w:r>
      <w:r>
        <w:rPr>
          <w:rFonts w:hint="eastAsia" w:ascii="宋体" w:hAnsi="宋体" w:cs="宋体"/>
          <w:sz w:val="24"/>
        </w:rPr>
        <w:t>供货数量：以甲方月计划为准。</w:t>
      </w:r>
    </w:p>
    <w:p>
      <w:pPr>
        <w:autoSpaceDE w:val="0"/>
        <w:autoSpaceDN w:val="0"/>
        <w:adjustRightInd w:val="0"/>
        <w:spacing w:line="360" w:lineRule="auto"/>
        <w:ind w:firstLine="480" w:firstLineChars="200"/>
        <w:rPr>
          <w:rFonts w:ascii="宋体" w:cs="宋体"/>
          <w:sz w:val="24"/>
        </w:rPr>
      </w:pPr>
      <w:r>
        <w:rPr>
          <w:rFonts w:ascii="宋体" w:hAnsi="宋体" w:cs="宋体"/>
          <w:sz w:val="24"/>
        </w:rPr>
        <w:t>3</w:t>
      </w:r>
      <w:r>
        <w:rPr>
          <w:rFonts w:hint="eastAsia" w:ascii="宋体" w:hAnsi="宋体" w:cs="宋体"/>
          <w:sz w:val="24"/>
        </w:rPr>
        <w:t>、供货目录及价格：详见附表。供货价格包含产品价格、运输、装卸、售后服务、保险、搬运</w:t>
      </w:r>
      <w:r>
        <w:rPr>
          <w:rFonts w:ascii="宋体" w:hAnsi="宋体" w:cs="宋体"/>
          <w:sz w:val="24"/>
        </w:rPr>
        <w:t xml:space="preserve"> </w:t>
      </w:r>
      <w:r>
        <w:rPr>
          <w:rFonts w:hint="eastAsia" w:ascii="宋体" w:hAnsi="宋体" w:cs="宋体"/>
          <w:sz w:val="24"/>
        </w:rPr>
        <w:t>费、税金等一切费用。供货金额：按合同单价和当月实际供货量结算，计算公式为：当月供货金</w:t>
      </w:r>
      <w:r>
        <w:rPr>
          <w:rFonts w:ascii="宋体" w:hAnsi="宋体" w:cs="宋体"/>
          <w:sz w:val="24"/>
        </w:rPr>
        <w:t xml:space="preserve"> </w:t>
      </w:r>
      <w:r>
        <w:rPr>
          <w:rFonts w:hint="eastAsia" w:ascii="宋体" w:hAnsi="宋体" w:cs="宋体"/>
          <w:sz w:val="24"/>
        </w:rPr>
        <w:t>额</w:t>
      </w:r>
      <w:r>
        <w:rPr>
          <w:rFonts w:ascii="宋体" w:hAnsi="宋体" w:cs="宋体"/>
          <w:sz w:val="24"/>
        </w:rPr>
        <w:t>=</w:t>
      </w:r>
      <w:r>
        <w:rPr>
          <w:rFonts w:hint="eastAsia" w:ascii="宋体" w:hAnsi="宋体" w:cs="宋体"/>
          <w:sz w:val="24"/>
        </w:rPr>
        <w:t>∑（当月实际供货量×相应品种的合同单价）</w:t>
      </w:r>
    </w:p>
    <w:p>
      <w:pPr>
        <w:autoSpaceDE w:val="0"/>
        <w:autoSpaceDN w:val="0"/>
        <w:adjustRightInd w:val="0"/>
        <w:spacing w:line="360" w:lineRule="auto"/>
        <w:ind w:firstLine="480" w:firstLineChars="200"/>
        <w:rPr>
          <w:rFonts w:ascii="宋体" w:cs="宋体"/>
          <w:sz w:val="24"/>
        </w:rPr>
      </w:pPr>
      <w:r>
        <w:rPr>
          <w:rFonts w:ascii="宋体" w:hAnsi="宋体" w:cs="宋体"/>
          <w:sz w:val="24"/>
        </w:rPr>
        <w:t>4</w:t>
      </w:r>
      <w:r>
        <w:rPr>
          <w:rFonts w:hint="eastAsia" w:ascii="宋体" w:hAnsi="宋体" w:cs="宋体"/>
          <w:sz w:val="24"/>
        </w:rPr>
        <w:t>、</w:t>
      </w:r>
      <w:r>
        <w:rPr>
          <w:rFonts w:ascii="宋体" w:hAnsi="宋体" w:cs="宋体"/>
          <w:sz w:val="24"/>
        </w:rPr>
        <w:t xml:space="preserve"> </w:t>
      </w:r>
      <w:r>
        <w:rPr>
          <w:rFonts w:hint="eastAsia" w:ascii="宋体" w:hAnsi="宋体" w:cs="宋体"/>
          <w:sz w:val="24"/>
        </w:rPr>
        <w:t>供应期限：</w:t>
      </w:r>
      <w:r>
        <w:rPr>
          <w:rFonts w:ascii="宋体" w:cs="宋体"/>
          <w:kern w:val="0"/>
          <w:sz w:val="24"/>
        </w:rPr>
        <w:t>2019</w:t>
      </w:r>
      <w:r>
        <w:rPr>
          <w:rFonts w:hint="eastAsia" w:ascii="宋体" w:cs="宋体"/>
          <w:kern w:val="0"/>
          <w:sz w:val="24"/>
        </w:rPr>
        <w:t>年</w:t>
      </w:r>
      <w:r>
        <w:rPr>
          <w:rFonts w:ascii="宋体" w:cs="宋体"/>
          <w:kern w:val="0"/>
          <w:sz w:val="24"/>
        </w:rPr>
        <w:t>10</w:t>
      </w:r>
      <w:r>
        <w:rPr>
          <w:rFonts w:hint="eastAsia" w:ascii="宋体" w:cs="宋体"/>
          <w:kern w:val="0"/>
          <w:sz w:val="24"/>
        </w:rPr>
        <w:t>月</w:t>
      </w:r>
      <w:r>
        <w:rPr>
          <w:rFonts w:ascii="宋体" w:cs="宋体"/>
          <w:kern w:val="0"/>
          <w:sz w:val="24"/>
        </w:rPr>
        <w:t>1</w:t>
      </w:r>
      <w:r>
        <w:rPr>
          <w:rFonts w:hint="eastAsia" w:ascii="宋体" w:cs="宋体"/>
          <w:kern w:val="0"/>
          <w:sz w:val="24"/>
        </w:rPr>
        <w:t>日至</w:t>
      </w:r>
      <w:r>
        <w:rPr>
          <w:rFonts w:ascii="宋体" w:cs="宋体"/>
          <w:kern w:val="0"/>
          <w:sz w:val="24"/>
        </w:rPr>
        <w:t>2021</w:t>
      </w:r>
      <w:r>
        <w:rPr>
          <w:rFonts w:hint="eastAsia" w:ascii="宋体" w:cs="宋体"/>
          <w:kern w:val="0"/>
          <w:sz w:val="24"/>
        </w:rPr>
        <w:t>年</w:t>
      </w:r>
      <w:r>
        <w:rPr>
          <w:rFonts w:ascii="宋体" w:cs="宋体"/>
          <w:kern w:val="0"/>
          <w:sz w:val="24"/>
        </w:rPr>
        <w:t>9</w:t>
      </w:r>
      <w:r>
        <w:rPr>
          <w:rFonts w:hint="eastAsia" w:ascii="宋体" w:cs="宋体"/>
          <w:kern w:val="0"/>
          <w:sz w:val="24"/>
        </w:rPr>
        <w:t>月</w:t>
      </w:r>
      <w:r>
        <w:rPr>
          <w:rFonts w:ascii="宋体" w:cs="宋体"/>
          <w:kern w:val="0"/>
          <w:sz w:val="24"/>
        </w:rPr>
        <w:t>30</w:t>
      </w:r>
      <w:r>
        <w:rPr>
          <w:rFonts w:hint="eastAsia" w:ascii="宋体" w:cs="宋体"/>
          <w:kern w:val="0"/>
          <w:sz w:val="24"/>
        </w:rPr>
        <w:t>日</w:t>
      </w:r>
      <w:r>
        <w:rPr>
          <w:rFonts w:hint="eastAsia" w:ascii="宋体" w:hAnsi="宋体" w:cs="宋体"/>
          <w:sz w:val="24"/>
        </w:rPr>
        <w:t>。</w:t>
      </w:r>
    </w:p>
    <w:p>
      <w:pPr>
        <w:autoSpaceDE w:val="0"/>
        <w:autoSpaceDN w:val="0"/>
        <w:adjustRightInd w:val="0"/>
        <w:spacing w:line="360" w:lineRule="auto"/>
        <w:ind w:firstLine="480" w:firstLineChars="200"/>
        <w:rPr>
          <w:rFonts w:ascii="宋体" w:cs="宋体"/>
          <w:sz w:val="24"/>
        </w:rPr>
      </w:pPr>
      <w:r>
        <w:rPr>
          <w:rFonts w:ascii="宋体" w:hAnsi="宋体" w:cs="宋体"/>
          <w:sz w:val="24"/>
        </w:rPr>
        <w:t>5</w:t>
      </w:r>
      <w:r>
        <w:rPr>
          <w:rFonts w:hint="eastAsia" w:ascii="宋体" w:hAnsi="宋体" w:cs="宋体"/>
          <w:sz w:val="24"/>
        </w:rPr>
        <w:t>、乙方应严格按合同约定（含品牌、品种、质量、规格、数量等）供应。乙方未经甲方同意，不得变更供应商品的品牌、品种、质量、规格等，否则，买方有权拒收。</w:t>
      </w:r>
    </w:p>
    <w:p>
      <w:pPr>
        <w:autoSpaceDE w:val="0"/>
        <w:autoSpaceDN w:val="0"/>
        <w:adjustRightInd w:val="0"/>
        <w:spacing w:line="360" w:lineRule="auto"/>
        <w:ind w:firstLine="480" w:firstLineChars="200"/>
        <w:rPr>
          <w:rFonts w:ascii="宋体" w:cs="宋体"/>
          <w:sz w:val="24"/>
        </w:rPr>
      </w:pPr>
      <w:r>
        <w:rPr>
          <w:rFonts w:ascii="宋体" w:hAnsi="宋体" w:cs="宋体"/>
          <w:sz w:val="24"/>
        </w:rPr>
        <w:t>6</w:t>
      </w:r>
      <w:r>
        <w:rPr>
          <w:rFonts w:hint="eastAsia" w:ascii="宋体" w:hAnsi="宋体" w:cs="宋体"/>
          <w:sz w:val="24"/>
        </w:rPr>
        <w:t>、甲方如需要采购应节食品（汤圆、粽子等）由甲方开展市场调查、与乙方协商品种、品牌</w:t>
      </w:r>
      <w:r>
        <w:rPr>
          <w:rFonts w:ascii="宋体" w:hAnsi="宋体" w:cs="宋体"/>
          <w:sz w:val="24"/>
        </w:rPr>
        <w:t xml:space="preserve"> </w:t>
      </w:r>
      <w:r>
        <w:rPr>
          <w:rFonts w:hint="eastAsia" w:ascii="宋体" w:hAnsi="宋体" w:cs="宋体"/>
          <w:sz w:val="24"/>
        </w:rPr>
        <w:t>价格后供应。</w:t>
      </w:r>
    </w:p>
    <w:p>
      <w:pPr>
        <w:autoSpaceDE w:val="0"/>
        <w:autoSpaceDN w:val="0"/>
        <w:adjustRightInd w:val="0"/>
        <w:spacing w:line="360" w:lineRule="auto"/>
        <w:ind w:firstLine="480" w:firstLineChars="200"/>
        <w:jc w:val="left"/>
        <w:rPr>
          <w:rFonts w:ascii="宋体" w:cs="宋体"/>
          <w:bCs/>
          <w:color w:val="000000"/>
          <w:sz w:val="24"/>
        </w:rPr>
      </w:pPr>
      <w:r>
        <w:rPr>
          <w:rFonts w:hint="eastAsia" w:ascii="宋体" w:hAnsi="宋体" w:cs="宋体"/>
          <w:bCs/>
          <w:sz w:val="24"/>
        </w:rPr>
        <w:t>二、副食品类</w:t>
      </w:r>
      <w:r>
        <w:rPr>
          <w:rFonts w:hint="eastAsia" w:ascii="宋体" w:hAnsi="宋体" w:cs="宋体"/>
          <w:bCs/>
          <w:color w:val="000000"/>
          <w:sz w:val="24"/>
        </w:rPr>
        <w:t>货物总体质量要求</w:t>
      </w:r>
    </w:p>
    <w:p>
      <w:pPr>
        <w:autoSpaceDE w:val="0"/>
        <w:autoSpaceDN w:val="0"/>
        <w:adjustRightInd w:val="0"/>
        <w:spacing w:line="360" w:lineRule="auto"/>
        <w:ind w:firstLine="480" w:firstLineChars="200"/>
        <w:jc w:val="left"/>
        <w:rPr>
          <w:rFonts w:ascii="宋体" w:cs="宋体"/>
          <w:bCs/>
          <w:color w:val="000000"/>
          <w:sz w:val="24"/>
        </w:rPr>
      </w:pPr>
      <w:r>
        <w:rPr>
          <w:rFonts w:ascii="宋体" w:hAnsi="宋体" w:cs="宋体"/>
          <w:bCs/>
          <w:color w:val="000000"/>
          <w:sz w:val="24"/>
        </w:rPr>
        <w:t>1</w:t>
      </w:r>
      <w:r>
        <w:rPr>
          <w:rFonts w:hint="eastAsia" w:ascii="宋体" w:hAnsi="宋体" w:cs="宋体"/>
          <w:bCs/>
          <w:color w:val="000000"/>
          <w:sz w:val="24"/>
        </w:rPr>
        <w:t>、货物包装应完好无破漏，可视的内容物无腐败霉变或影响使用的变型，不存在危及人身、财产安全的不合理危险。</w:t>
      </w:r>
    </w:p>
    <w:p>
      <w:pPr>
        <w:autoSpaceDE w:val="0"/>
        <w:autoSpaceDN w:val="0"/>
        <w:adjustRightInd w:val="0"/>
        <w:spacing w:line="360" w:lineRule="auto"/>
        <w:ind w:firstLine="480" w:firstLineChars="200"/>
        <w:jc w:val="left"/>
        <w:rPr>
          <w:rFonts w:ascii="宋体" w:cs="宋体"/>
          <w:bCs/>
          <w:color w:val="000000"/>
          <w:sz w:val="24"/>
        </w:rPr>
      </w:pPr>
      <w:r>
        <w:rPr>
          <w:rFonts w:ascii="宋体" w:hAnsi="宋体" w:cs="宋体"/>
          <w:bCs/>
          <w:color w:val="000000"/>
          <w:sz w:val="24"/>
        </w:rPr>
        <w:t>2</w:t>
      </w:r>
      <w:r>
        <w:rPr>
          <w:rFonts w:hint="eastAsia" w:ascii="宋体" w:hAnsi="宋体" w:cs="宋体"/>
          <w:bCs/>
          <w:color w:val="000000"/>
          <w:sz w:val="24"/>
        </w:rPr>
        <w:t>、货物应当具备其应当具备的使用性能，应当符合国家或行业标准。</w:t>
      </w:r>
    </w:p>
    <w:p>
      <w:pPr>
        <w:autoSpaceDE w:val="0"/>
        <w:autoSpaceDN w:val="0"/>
        <w:adjustRightInd w:val="0"/>
        <w:spacing w:line="360" w:lineRule="auto"/>
        <w:ind w:firstLine="480" w:firstLineChars="200"/>
        <w:jc w:val="left"/>
        <w:rPr>
          <w:rFonts w:ascii="宋体" w:cs="宋体"/>
          <w:bCs/>
          <w:color w:val="000000"/>
          <w:sz w:val="24"/>
        </w:rPr>
      </w:pPr>
      <w:r>
        <w:rPr>
          <w:rFonts w:ascii="宋体" w:hAnsi="宋体" w:cs="宋体"/>
          <w:bCs/>
          <w:color w:val="000000"/>
          <w:sz w:val="24"/>
        </w:rPr>
        <w:t>3</w:t>
      </w:r>
      <w:r>
        <w:rPr>
          <w:rFonts w:hint="eastAsia" w:ascii="宋体" w:hAnsi="宋体" w:cs="宋体"/>
          <w:bCs/>
          <w:color w:val="000000"/>
          <w:sz w:val="24"/>
        </w:rPr>
        <w:t>、食品包装标签应符合《食品安全国家标准</w:t>
      </w:r>
      <w:r>
        <w:rPr>
          <w:rFonts w:ascii="宋体" w:hAnsi="宋体" w:cs="宋体"/>
          <w:bCs/>
          <w:color w:val="000000"/>
          <w:sz w:val="24"/>
        </w:rPr>
        <w:t xml:space="preserve"> </w:t>
      </w:r>
      <w:r>
        <w:rPr>
          <w:rFonts w:hint="eastAsia" w:ascii="宋体" w:hAnsi="宋体" w:cs="宋体"/>
          <w:bCs/>
          <w:color w:val="000000"/>
          <w:sz w:val="24"/>
        </w:rPr>
        <w:t>预包装食品标签通则》（</w:t>
      </w:r>
      <w:r>
        <w:rPr>
          <w:rFonts w:ascii="宋体" w:hAnsi="宋体" w:cs="宋体"/>
          <w:bCs/>
          <w:color w:val="000000"/>
          <w:sz w:val="24"/>
        </w:rPr>
        <w:t>GB 7718</w:t>
      </w:r>
      <w:r>
        <w:rPr>
          <w:rFonts w:hint="eastAsia" w:ascii="宋体" w:hAnsi="宋体" w:cs="宋体"/>
          <w:bCs/>
          <w:color w:val="000000"/>
          <w:sz w:val="24"/>
        </w:rPr>
        <w:t>）要求，包括食品名称、配料表、净含量、规格、生产者（或）经销者的名称、地址和联系方式、生产日期和保质期、贮存条件、食品生产许可证编号、产品标准代号等内容。</w:t>
      </w:r>
    </w:p>
    <w:p>
      <w:pPr>
        <w:autoSpaceDE w:val="0"/>
        <w:autoSpaceDN w:val="0"/>
        <w:adjustRightInd w:val="0"/>
        <w:spacing w:line="360" w:lineRule="auto"/>
        <w:ind w:firstLine="480" w:firstLineChars="200"/>
        <w:jc w:val="left"/>
        <w:rPr>
          <w:rFonts w:ascii="宋体" w:cs="宋体"/>
          <w:bCs/>
          <w:color w:val="000000"/>
          <w:sz w:val="24"/>
        </w:rPr>
      </w:pPr>
      <w:r>
        <w:rPr>
          <w:rFonts w:ascii="宋体" w:hAnsi="宋体" w:cs="宋体"/>
          <w:bCs/>
          <w:color w:val="000000"/>
          <w:sz w:val="24"/>
        </w:rPr>
        <w:t>4</w:t>
      </w:r>
      <w:r>
        <w:rPr>
          <w:rFonts w:hint="eastAsia" w:ascii="宋体" w:hAnsi="宋体" w:cs="宋体"/>
          <w:bCs/>
          <w:color w:val="000000"/>
          <w:sz w:val="24"/>
        </w:rPr>
        <w:t>、有保质期限的商品剩余保存期不得少于原有保质期的三分之二。</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color w:val="000000"/>
          <w:sz w:val="24"/>
        </w:rPr>
        <w:t>三、</w:t>
      </w:r>
      <w:r>
        <w:rPr>
          <w:rFonts w:hint="eastAsia" w:ascii="宋体" w:hAnsi="宋体" w:cs="宋体"/>
          <w:bCs/>
          <w:sz w:val="24"/>
        </w:rPr>
        <w:t>大豆油</w:t>
      </w:r>
      <w:r>
        <w:rPr>
          <w:rFonts w:hint="eastAsia" w:ascii="宋体" w:hAnsi="宋体" w:cs="宋体"/>
          <w:bCs/>
          <w:color w:val="000000"/>
          <w:sz w:val="24"/>
        </w:rPr>
        <w:t>总体质量要求</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1</w:t>
      </w:r>
      <w:r>
        <w:rPr>
          <w:rFonts w:hint="eastAsia" w:ascii="宋体" w:hAnsi="宋体" w:cs="宋体"/>
          <w:bCs/>
          <w:sz w:val="24"/>
        </w:rPr>
        <w:t>、包装要求：</w:t>
      </w:r>
      <w:r>
        <w:rPr>
          <w:rFonts w:ascii="宋体" w:hAnsi="宋体" w:cs="宋体"/>
          <w:bCs/>
          <w:sz w:val="24"/>
        </w:rPr>
        <w:t>22L/</w:t>
      </w:r>
      <w:r>
        <w:rPr>
          <w:rFonts w:hint="eastAsia" w:ascii="宋体" w:hAnsi="宋体" w:cs="宋体"/>
          <w:bCs/>
          <w:sz w:val="24"/>
        </w:rPr>
        <w:t>箱的塑料液体袋软包装，包装材料应清洁、卫生，不与大豆油发生化学作用而产生变化，符合国家食品安全标准和管理规定，符合《食用植物油销售包装》（</w:t>
      </w:r>
      <w:r>
        <w:rPr>
          <w:rFonts w:ascii="宋体" w:hAnsi="宋体" w:cs="宋体"/>
          <w:bCs/>
          <w:sz w:val="24"/>
        </w:rPr>
        <w:t>GB/T 17374</w:t>
      </w:r>
      <w:r>
        <w:rPr>
          <w:rFonts w:hint="eastAsia" w:ascii="宋体" w:hAnsi="宋体" w:cs="宋体"/>
          <w:bCs/>
          <w:sz w:val="24"/>
        </w:rPr>
        <w:t>）要求。</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2</w:t>
      </w:r>
      <w:r>
        <w:rPr>
          <w:rFonts w:hint="eastAsia" w:ascii="宋体" w:hAnsi="宋体" w:cs="宋体"/>
          <w:bCs/>
          <w:sz w:val="24"/>
        </w:rPr>
        <w:t>、标签标识：标明产品名称、净含量、生产者名称和地址、生产日期、保质期、产品标准号、质量等级、生产许可证号、产品批号等内容。</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3</w:t>
      </w:r>
      <w:r>
        <w:rPr>
          <w:rFonts w:hint="eastAsia" w:ascii="宋体" w:hAnsi="宋体" w:cs="宋体"/>
          <w:bCs/>
          <w:sz w:val="24"/>
        </w:rPr>
        <w:t>、</w:t>
      </w:r>
      <w:r>
        <w:rPr>
          <w:rFonts w:hint="eastAsia" w:ascii="宋体" w:hAnsi="宋体" w:cs="宋体"/>
          <w:bCs/>
          <w:spacing w:val="-2"/>
          <w:sz w:val="24"/>
        </w:rPr>
        <w:t>在满足质量要求的前提下，只允许投报一个品牌（需在投标文件中列明投报品牌）。</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4</w:t>
      </w:r>
      <w:r>
        <w:rPr>
          <w:rFonts w:hint="eastAsia" w:ascii="宋体" w:hAnsi="宋体" w:cs="宋体"/>
          <w:bCs/>
          <w:sz w:val="24"/>
        </w:rPr>
        <w:t>、质量要求：不低于《大豆油》（</w:t>
      </w:r>
      <w:r>
        <w:rPr>
          <w:rFonts w:ascii="宋体" w:hAnsi="宋体" w:cs="宋体"/>
          <w:bCs/>
          <w:sz w:val="24"/>
        </w:rPr>
        <w:t>GB 1535</w:t>
      </w:r>
      <w:r>
        <w:rPr>
          <w:rFonts w:hint="eastAsia" w:ascii="宋体" w:hAnsi="宋体" w:cs="宋体"/>
          <w:bCs/>
          <w:sz w:val="24"/>
        </w:rPr>
        <w:t>）一级大豆油的要求，不得掺有其它食用油和非食用油，不得添加任何香精和香料。剩余保存期不少于原有保质期的三分之二。</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四、货物质量要求</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酱油</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合格的酱油颜色比较红、亮，有光泽、透明，把这酱油倒在瓶子里后，摇一下，合格酱油产生的泡沫非常细腻，保持持久，挂碗现象非常好，有一种发黏的感觉；不合格的酱油泡沫比较大，很容易散去，挂碗现象不好，很容易滑落。</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味精</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无色至白色结晶或粉末，具有特殊的鲜味，无异味，无肉眼可见杂质。</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食醋</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具有正常食醋的色泽、气味和滋味，不涩，无其他不良气味与异味，无浮物，不浑浊，无沉淀，无异物，无醋鳗、醋虱。</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酱腌菜</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具有酱腌菜固有的色、香、味，无杂质，无其他不良气味，不得有霉斑白膜。</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酱类食品</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具有正常酿造酱的色泽、气味和滋味，不涩，无其他不良气味，不得有酸、苦、焦糊及其它异味、异物。</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淀粉制品</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具有各自品种固有的形态和色泽，不酸、不粘、不发霉，无变质，无异味，无杂质，口尝无砂质。</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食盐</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结晶整齐一致，坚硬光滑，呈透明或半透明，不结块，无反卤吸潮现象，无杂质，沾取少许尝试具有纯正的咸味。</w:t>
      </w:r>
    </w:p>
    <w:p>
      <w:pPr>
        <w:autoSpaceDE w:val="0"/>
        <w:autoSpaceDN w:val="0"/>
        <w:adjustRightInd w:val="0"/>
        <w:spacing w:line="360" w:lineRule="auto"/>
        <w:ind w:firstLine="482" w:firstLineChars="200"/>
        <w:jc w:val="left"/>
        <w:rPr>
          <w:rFonts w:ascii="宋体" w:cs="宋体"/>
          <w:bCs/>
          <w:sz w:val="24"/>
        </w:rPr>
      </w:pPr>
      <w:r>
        <w:rPr>
          <w:rFonts w:hint="eastAsia" w:ascii="宋体" w:hAnsi="宋体" w:cs="宋体"/>
          <w:b/>
          <w:sz w:val="24"/>
        </w:rPr>
        <w:t>鸡蛋</w:t>
      </w:r>
      <w:r>
        <w:rPr>
          <w:rFonts w:ascii="宋体" w:cs="宋体"/>
          <w:bCs/>
          <w:sz w:val="24"/>
        </w:rPr>
        <w:br w:type="textWrapping"/>
      </w:r>
      <w:r>
        <w:rPr>
          <w:rFonts w:hint="eastAsia" w:ascii="宋体" w:hAnsi="宋体" w:cs="宋体"/>
          <w:bCs/>
          <w:sz w:val="24"/>
        </w:rPr>
        <w:t>　　个体均匀，蛋壳清洁完整，色泽鲜明，无破损、裂纹，无霉斑，灯光透视时，整个蛋呈桔黄色至橙红色，蛋黄不见或略见阴影，没有霉味、酸味，臭味等不良气味，打开后蛋黄凸起、完整、有韧性，蛋白澄清、透明、稀稠分明，无异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皮蛋</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个体均匀，外表泥状包料完整、无霉斑，包料除掉后蛋壳亦完整无损，灯光透照蛋内容物凝固不动，打开观察，整个蛋凝固、不粘壳、清洁而有弹性，呈半透明的棕黄色，闻起来有芳香，无辛辣气。</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咸蛋</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个体均匀，蛋壳亦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面粉</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色泽呈白色或微黄色，不发暗，无杂质的颜色，呈细粉末状，不含杂质，手指捻捏时无粗粒感，无虫子和结块，置于手中紧捏后放开不成团，具有面粉的正常气味，无其他异味。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豆腐</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豆腐呈均匀的乳白色或淡黄色，稍有光泽，块形完整，软硬适度，富有一定的弹性，质地细嫩，结构均匀，无杂质，具有豆腐特有的香味，取样品品尝时口感细腻鲜嫩，味道纯正清香。</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油炸豆卜</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为金黄色或棕黄色，色彩鲜艳而有光泽，块形整齐，有弹性，皮脆，内质呈蜂窝状，不粘不散，无杂质，具有豆腐泡特有的清香风味，无其他任何不良气味，取样品细细咀嚼，外皮酥脆适口，泡内软嫩，咸香适度，具有豆腐泡固有的滋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腐竹</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为枝条或片叶状，质脆易折，条状折断有空心，无霉斑、杂质、虫蛀。呈淡黄色，有光泽。具有腐竹固有的香味，无其他任何异味，取样品品尝其滋味，具有腐竹固有的鲜香滋味。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腐乳</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红腐乳表面呈红色或枣红色，内部呈杏黄色，色泽鲜艳，有光泽。白腐乳外表呈乳黄色。块形整齐均匀，质地细腻，无霉斑、霉变及杂质。具有各品种的腐乳特有的香味或特征气味，无任何其他异味，滋味鲜美，咸淡适口，无任何其他异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黄豆</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大豆皮色呈各种大豆固有的颜色，光彩油亮，洁净而有光泽，颗粒饱满，整齐均匀，无虫蛀粒，无杂质，无霉变。</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花生</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果荚呈土黄色或白色，果仁呈各不同品种所特有的颜色，色泽分布均匀一致，带荚花生和去荚果仁均颗粒饱满、形态完整、大小均匀，子叶肥厚而有光泽，无杂质，具有花生特有的气味、香味，无任何异味。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食糖</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食糖根据经营习惯分为白糖、红糖、冰糖、方糖等。</w:t>
      </w:r>
    </w:p>
    <w:p>
      <w:pPr>
        <w:autoSpaceDE w:val="0"/>
        <w:autoSpaceDN w:val="0"/>
        <w:adjustRightInd w:val="0"/>
        <w:spacing w:line="360" w:lineRule="auto"/>
        <w:ind w:firstLine="480" w:firstLineChars="200"/>
        <w:jc w:val="left"/>
        <w:rPr>
          <w:rFonts w:ascii="宋体" w:cs="宋体"/>
          <w:bCs/>
          <w:sz w:val="24"/>
        </w:rPr>
      </w:pPr>
      <w:r>
        <w:rPr>
          <w:rFonts w:ascii="宋体" w:hAnsi="宋体" w:cs="宋体"/>
          <w:bCs/>
          <w:sz w:val="24"/>
        </w:rPr>
        <w:t>(1)</w:t>
      </w:r>
      <w:r>
        <w:rPr>
          <w:rFonts w:hint="eastAsia" w:ascii="宋体" w:hAnsi="宋体" w:cs="宋体"/>
          <w:bCs/>
          <w:sz w:val="24"/>
        </w:rPr>
        <w:t>白糖的感官鉴别：色泽洁白明亮，有光泽，具有白糖的正常气味，无酸味、酒味或其他外来气味。</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白砂糖：颗粒大如砂粒，晶粒均匀整齐，晶面明显，无碎末，糖质坚硬。</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绵白糖：颗粒细小而均匀，质地绵软、潮润。</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冰糖：块形完整，个粒均匀，结晶组织严密，透明或半透明，无破碎。</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方糖：呈正六面体状，表面平整，无裂纹，铁边，断角，无突出砂粒，无霉斑。</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凡是白糖都应干燥，晶粒松散，不粘手，不结块，无肉眼可见的杂质，白糖的水溶液应清晰透明无杂质。</w:t>
      </w:r>
    </w:p>
    <w:p>
      <w:pPr>
        <w:autoSpaceDE w:val="0"/>
        <w:autoSpaceDN w:val="0"/>
        <w:adjustRightInd w:val="0"/>
        <w:spacing w:line="360" w:lineRule="auto"/>
        <w:ind w:firstLine="480" w:firstLineChars="200"/>
        <w:jc w:val="left"/>
        <w:rPr>
          <w:rFonts w:ascii="宋体" w:cs="宋体"/>
          <w:bCs/>
          <w:sz w:val="24"/>
        </w:rPr>
      </w:pPr>
      <w:r>
        <w:rPr>
          <w:rFonts w:ascii="宋体" w:hAnsi="宋体" w:cs="宋体"/>
          <w:bCs/>
          <w:sz w:val="24"/>
        </w:rPr>
        <w:t>(2)</w:t>
      </w:r>
      <w:r>
        <w:rPr>
          <w:rFonts w:hint="eastAsia" w:ascii="宋体" w:hAnsi="宋体" w:cs="宋体"/>
          <w:bCs/>
          <w:sz w:val="24"/>
        </w:rPr>
        <w:t>红糖的感官鉴别</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红糖可细分为赤砂糖和红糖两种，其中赤砂糖是机制未经洗蜜的糖，红糖是用手工制成的土糖。</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因为红糖的颜色有红褐、青褐、黄褐、赤红、金黄、淡黄、枣红等多种，很不一致，故凭色泽难以识别红糖的质量，应将感官鉴别的侧重点放在组织状态、气味、滋味三个指标上。</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呈晶粒状或粉末状，干燥而松散，不结块，不成团，杂质，其水溶液清晰，无沉淀，无悬浮物，具有甘蔗汁的清香味，无有酒味、酸味或其他外来不良气味，口味浓甜带鲜，微有糖蜜味，无焦苦味或其他外来异味。</w:t>
      </w:r>
    </w:p>
    <w:p>
      <w:pPr>
        <w:autoSpaceDE w:val="0"/>
        <w:autoSpaceDN w:val="0"/>
        <w:adjustRightInd w:val="0"/>
        <w:spacing w:line="360" w:lineRule="auto"/>
        <w:ind w:firstLine="482" w:firstLineChars="200"/>
        <w:jc w:val="left"/>
        <w:rPr>
          <w:rFonts w:ascii="宋体" w:cs="宋体"/>
          <w:b/>
          <w:sz w:val="24"/>
        </w:rPr>
      </w:pPr>
      <w:r>
        <w:rPr>
          <w:rFonts w:hint="eastAsia" w:ascii="宋体" w:hAnsi="宋体" w:cs="宋体"/>
          <w:b/>
          <w:sz w:val="24"/>
        </w:rPr>
        <w:t>辛辣料</w:t>
      </w:r>
    </w:p>
    <w:p>
      <w:pPr>
        <w:autoSpaceDE w:val="0"/>
        <w:autoSpaceDN w:val="0"/>
        <w:adjustRightInd w:val="0"/>
        <w:spacing w:line="360" w:lineRule="auto"/>
        <w:ind w:firstLine="480" w:firstLineChars="200"/>
        <w:jc w:val="left"/>
        <w:rPr>
          <w:rFonts w:ascii="宋体" w:hAnsi="宋体" w:cs="宋体"/>
          <w:bCs/>
          <w:sz w:val="24"/>
        </w:rPr>
      </w:pPr>
      <w:r>
        <w:rPr>
          <w:rFonts w:hint="eastAsia" w:ascii="宋体" w:hAnsi="宋体" w:cs="宋体"/>
          <w:bCs/>
          <w:sz w:val="24"/>
        </w:rPr>
        <w:t>辛辣料是采用植物果实和种子粉碎而配制成的天然植物香料，如五香粉、胡椒粉、花椒粉、咖喱粉、芥末粉等，辛辣料的主要原料有八角、花椒、胡椒、桂皮、小茴香、大茴香、辣椒、孜然等。</w:t>
      </w:r>
      <w:r>
        <w:rPr>
          <w:rFonts w:ascii="宋体" w:hAnsi="宋体" w:cs="宋体"/>
          <w:bCs/>
          <w:sz w:val="24"/>
        </w:rPr>
        <w:t xml:space="preserve"> </w:t>
      </w:r>
    </w:p>
    <w:p>
      <w:pPr>
        <w:autoSpaceDE w:val="0"/>
        <w:autoSpaceDN w:val="0"/>
        <w:adjustRightInd w:val="0"/>
        <w:spacing w:line="360" w:lineRule="auto"/>
        <w:ind w:firstLine="480" w:firstLineChars="200"/>
        <w:jc w:val="left"/>
        <w:rPr>
          <w:rFonts w:ascii="宋体" w:cs="宋体"/>
          <w:bCs/>
          <w:sz w:val="24"/>
        </w:rPr>
      </w:pPr>
      <w:r>
        <w:rPr>
          <w:rFonts w:hint="eastAsia" w:ascii="宋体" w:hAnsi="宋体" w:cs="宋体"/>
          <w:bCs/>
          <w:sz w:val="24"/>
        </w:rPr>
        <w:t>辛辣料呈干燥状，具有该种香料植物所特有的色、香、味，没有不纯正的气味和味道，无发霉味或其他异味。</w:t>
      </w:r>
    </w:p>
    <w:p>
      <w:pPr>
        <w:autoSpaceDE w:val="0"/>
        <w:autoSpaceDN w:val="0"/>
        <w:adjustRightInd w:val="0"/>
        <w:spacing w:line="360" w:lineRule="auto"/>
        <w:rPr>
          <w:rFonts w:ascii="宋体" w:cs="宋体"/>
          <w:b/>
          <w:sz w:val="24"/>
        </w:rPr>
      </w:pPr>
      <w:r>
        <w:rPr>
          <w:rFonts w:hint="eastAsia" w:ascii="宋体" w:hAnsi="宋体" w:cs="宋体"/>
          <w:b/>
          <w:sz w:val="24"/>
        </w:rPr>
        <w:t>五、合同签订及履约保证金</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（一）乙方与监狱在中标公告发布之日起三十日内签订合同。</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（二）合同签订后十个工作日内，乙方须向监狱支付合同金额</w:t>
      </w:r>
      <w:r>
        <w:rPr>
          <w:rFonts w:ascii="宋体" w:hAnsi="宋体" w:cs="宋体"/>
          <w:bCs/>
          <w:sz w:val="24"/>
        </w:rPr>
        <w:t>5%</w:t>
      </w:r>
      <w:r>
        <w:rPr>
          <w:rFonts w:hint="eastAsia" w:ascii="宋体" w:hAnsi="宋体" w:cs="宋体"/>
          <w:bCs/>
          <w:sz w:val="24"/>
        </w:rPr>
        <w:t>的履约保证金。在乙方完成其合同义务，包括任何保证义务后</w:t>
      </w:r>
      <w:r>
        <w:rPr>
          <w:rFonts w:ascii="宋体" w:hAnsi="宋体" w:cs="宋体"/>
          <w:bCs/>
          <w:sz w:val="24"/>
        </w:rPr>
        <w:t>30</w:t>
      </w:r>
      <w:r>
        <w:rPr>
          <w:rFonts w:hint="eastAsia" w:ascii="宋体" w:hAnsi="宋体" w:cs="宋体"/>
          <w:bCs/>
          <w:sz w:val="24"/>
        </w:rPr>
        <w:t>日内，监狱一次性无息退还保证金。</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履约保证金以支票、汇票、本票或者金融机构、担保机构出具的保函等非现金形式提交。</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（三）发生以下情形，经调查属实的，扣除</w:t>
      </w:r>
      <w:r>
        <w:rPr>
          <w:rFonts w:ascii="宋体" w:hAnsi="宋体" w:cs="宋体"/>
          <w:bCs/>
          <w:sz w:val="24"/>
        </w:rPr>
        <w:t>5%</w:t>
      </w:r>
      <w:r>
        <w:rPr>
          <w:rFonts w:hint="eastAsia" w:ascii="宋体" w:hAnsi="宋体" w:cs="宋体"/>
          <w:bCs/>
          <w:sz w:val="24"/>
        </w:rPr>
        <w:t>履约保证金：</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1</w:t>
      </w:r>
      <w:r>
        <w:rPr>
          <w:rFonts w:hint="eastAsia" w:ascii="宋体" w:hAnsi="宋体" w:cs="宋体"/>
          <w:bCs/>
          <w:sz w:val="24"/>
        </w:rPr>
        <w:t>、未按要求随货提供相关票证；</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2</w:t>
      </w:r>
      <w:r>
        <w:rPr>
          <w:rFonts w:hint="eastAsia" w:ascii="宋体" w:hAnsi="宋体" w:cs="宋体"/>
          <w:bCs/>
          <w:sz w:val="24"/>
        </w:rPr>
        <w:t>、一个货物品种质量验收不合格，退货数量未超过</w:t>
      </w:r>
      <w:r>
        <w:rPr>
          <w:rFonts w:ascii="宋体" w:hAnsi="宋体" w:cs="宋体"/>
          <w:bCs/>
          <w:sz w:val="24"/>
        </w:rPr>
        <w:t>50%</w:t>
      </w:r>
      <w:r>
        <w:rPr>
          <w:rFonts w:hint="eastAsia" w:ascii="宋体" w:hAnsi="宋体" w:cs="宋体"/>
          <w:bCs/>
          <w:sz w:val="24"/>
        </w:rPr>
        <w:t>（不含本数）的；</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3</w:t>
      </w:r>
      <w:r>
        <w:rPr>
          <w:rFonts w:hint="eastAsia" w:ascii="宋体" w:hAnsi="宋体" w:cs="宋体"/>
          <w:bCs/>
          <w:sz w:val="24"/>
        </w:rPr>
        <w:t>、未按监狱采购计划的时间供货（提前一天与监狱协商，且未影响罪犯伙食供应的除外）；</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4</w:t>
      </w:r>
      <w:r>
        <w:rPr>
          <w:rFonts w:hint="eastAsia" w:ascii="宋体" w:hAnsi="宋体" w:cs="宋体"/>
          <w:bCs/>
          <w:sz w:val="24"/>
        </w:rPr>
        <w:t>、供货数量仅为监狱采购计划数量的</w:t>
      </w:r>
      <w:r>
        <w:rPr>
          <w:rFonts w:ascii="宋体" w:hAnsi="宋体" w:cs="宋体"/>
          <w:bCs/>
          <w:sz w:val="24"/>
        </w:rPr>
        <w:t>80%-90%</w:t>
      </w:r>
      <w:r>
        <w:rPr>
          <w:rFonts w:hint="eastAsia" w:ascii="宋体" w:hAnsi="宋体" w:cs="宋体"/>
          <w:bCs/>
          <w:sz w:val="24"/>
        </w:rPr>
        <w:t>（不含本数），且未影响罪犯伙食供应；（供应数大于计划数的，可退回给供应商或验收合格后入库，不扣除履约保证金）</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5</w:t>
      </w:r>
      <w:r>
        <w:rPr>
          <w:rFonts w:hint="eastAsia" w:ascii="宋体" w:hAnsi="宋体" w:cs="宋体"/>
          <w:bCs/>
          <w:sz w:val="24"/>
        </w:rPr>
        <w:t>、未按监狱指定秩序卸货；</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6</w:t>
      </w:r>
      <w:r>
        <w:rPr>
          <w:rFonts w:hint="eastAsia" w:ascii="宋体" w:hAnsi="宋体" w:cs="宋体"/>
          <w:bCs/>
          <w:sz w:val="24"/>
        </w:rPr>
        <w:t>、货物出现质量问题，供应商不积极配合查找原因，不及时反馈处理结果；</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7</w:t>
      </w:r>
      <w:r>
        <w:rPr>
          <w:rFonts w:hint="eastAsia" w:ascii="宋体" w:hAnsi="宋体" w:cs="宋体"/>
          <w:bCs/>
          <w:sz w:val="24"/>
        </w:rPr>
        <w:t>、工作人员不遵守《外来人员进出监管区须知》第十项所列事项的。</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（四）发生以下情形，经调查属实的，扣除</w:t>
      </w:r>
      <w:r>
        <w:rPr>
          <w:rFonts w:ascii="宋体" w:hAnsi="宋体" w:cs="宋体"/>
          <w:bCs/>
          <w:sz w:val="24"/>
        </w:rPr>
        <w:t>10%</w:t>
      </w:r>
      <w:r>
        <w:rPr>
          <w:rFonts w:hint="eastAsia" w:ascii="宋体" w:hAnsi="宋体" w:cs="宋体"/>
          <w:bCs/>
          <w:sz w:val="24"/>
        </w:rPr>
        <w:t>履约保证金：</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1</w:t>
      </w:r>
      <w:r>
        <w:rPr>
          <w:rFonts w:hint="eastAsia" w:ascii="宋体" w:hAnsi="宋体" w:cs="宋体"/>
          <w:bCs/>
          <w:sz w:val="24"/>
        </w:rPr>
        <w:t>、供应货物品种、品牌、规格或质量等级与合同不符；</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2</w:t>
      </w:r>
      <w:r>
        <w:rPr>
          <w:rFonts w:hint="eastAsia" w:ascii="宋体" w:hAnsi="宋体" w:cs="宋体"/>
          <w:bCs/>
          <w:sz w:val="24"/>
        </w:rPr>
        <w:t>、一个货物品种质量验收不合格，退货数量超过</w:t>
      </w:r>
      <w:r>
        <w:rPr>
          <w:rFonts w:ascii="宋体" w:hAnsi="宋体" w:cs="宋体"/>
          <w:bCs/>
          <w:sz w:val="24"/>
        </w:rPr>
        <w:t>50%</w:t>
      </w:r>
      <w:r>
        <w:rPr>
          <w:rFonts w:hint="eastAsia" w:ascii="宋体" w:hAnsi="宋体" w:cs="宋体"/>
          <w:bCs/>
          <w:sz w:val="24"/>
        </w:rPr>
        <w:t>（含本数）的；</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3</w:t>
      </w:r>
      <w:r>
        <w:rPr>
          <w:rFonts w:hint="eastAsia" w:ascii="宋体" w:hAnsi="宋体" w:cs="宋体"/>
          <w:bCs/>
          <w:sz w:val="24"/>
        </w:rPr>
        <w:t>、提供虚假检验报告等相关票证；</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4</w:t>
      </w:r>
      <w:r>
        <w:rPr>
          <w:rFonts w:hint="eastAsia" w:ascii="宋体" w:hAnsi="宋体" w:cs="宋体"/>
          <w:bCs/>
          <w:sz w:val="24"/>
        </w:rPr>
        <w:t>、因退货或未按监狱采购计划数量、时间供应，造成监狱伙食无法按时供应；</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5</w:t>
      </w:r>
      <w:r>
        <w:rPr>
          <w:rFonts w:hint="eastAsia" w:ascii="宋体" w:hAnsi="宋体" w:cs="宋体"/>
          <w:bCs/>
          <w:sz w:val="24"/>
        </w:rPr>
        <w:t>、供货数量低于监狱采购计划数量的</w:t>
      </w:r>
      <w:r>
        <w:rPr>
          <w:rFonts w:ascii="宋体" w:hAnsi="宋体" w:cs="宋体"/>
          <w:bCs/>
          <w:sz w:val="24"/>
        </w:rPr>
        <w:t>80%</w:t>
      </w:r>
      <w:r>
        <w:rPr>
          <w:rFonts w:hint="eastAsia" w:ascii="宋体" w:hAnsi="宋体" w:cs="宋体"/>
          <w:bCs/>
          <w:sz w:val="24"/>
        </w:rPr>
        <w:t>（含本数）；</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6</w:t>
      </w:r>
      <w:r>
        <w:rPr>
          <w:rFonts w:hint="eastAsia" w:ascii="宋体" w:hAnsi="宋体" w:cs="宋体"/>
          <w:bCs/>
          <w:sz w:val="24"/>
        </w:rPr>
        <w:t>、同一品种货物连续两次验收发现质量不合格产品并退货；</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7</w:t>
      </w:r>
      <w:r>
        <w:rPr>
          <w:rFonts w:hint="eastAsia" w:ascii="宋体" w:hAnsi="宋体" w:cs="宋体"/>
          <w:bCs/>
          <w:sz w:val="24"/>
        </w:rPr>
        <w:t>、把监狱验收不合格退货的货物重新配送给监狱；</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8</w:t>
      </w:r>
      <w:r>
        <w:rPr>
          <w:rFonts w:hint="eastAsia" w:ascii="宋体" w:hAnsi="宋体" w:cs="宋体"/>
          <w:bCs/>
          <w:sz w:val="24"/>
        </w:rPr>
        <w:t>、在包装、运输、装卸等环节不符合食品安全要求；</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9</w:t>
      </w:r>
      <w:r>
        <w:rPr>
          <w:rFonts w:hint="eastAsia" w:ascii="宋体" w:hAnsi="宋体" w:cs="宋体"/>
          <w:bCs/>
          <w:sz w:val="24"/>
        </w:rPr>
        <w:t>、组织机构发生调整，或经营场所、联系人、联系方式变更，未及时通知监狱业务部门，造成无法及时联系；</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10</w:t>
      </w:r>
      <w:r>
        <w:rPr>
          <w:rFonts w:hint="eastAsia" w:ascii="宋体" w:hAnsi="宋体" w:cs="宋体"/>
          <w:bCs/>
          <w:sz w:val="24"/>
        </w:rPr>
        <w:t>、食品溯源管理制度不落实，进货查验记录不全；</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发生上述（三）、（四）扣除履约保证金情形的，在未影响罪犯伙食按时供应、未因所供货物发生食品安全事故的前提下，在合同期第一、二月内可予以豁免扣除履约保证金，第三月起严格执行。</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（五）发生以下情形，经调查属实的，扣除</w:t>
      </w:r>
      <w:r>
        <w:rPr>
          <w:rFonts w:ascii="宋体" w:hAnsi="宋体" w:cs="宋体"/>
          <w:bCs/>
          <w:sz w:val="24"/>
        </w:rPr>
        <w:t>20%</w:t>
      </w:r>
      <w:r>
        <w:rPr>
          <w:rFonts w:hint="eastAsia" w:ascii="宋体" w:hAnsi="宋体" w:cs="宋体"/>
          <w:bCs/>
          <w:sz w:val="24"/>
        </w:rPr>
        <w:t>履约保证金：</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1</w:t>
      </w:r>
      <w:r>
        <w:rPr>
          <w:rFonts w:hint="eastAsia" w:ascii="宋体" w:hAnsi="宋体" w:cs="宋体"/>
          <w:bCs/>
          <w:sz w:val="24"/>
        </w:rPr>
        <w:t>、监狱第一次发现乙方的工作人员为监狱服刑人员传带物品的；</w:t>
      </w:r>
    </w:p>
    <w:p>
      <w:pPr>
        <w:tabs>
          <w:tab w:val="left" w:pos="630"/>
        </w:tabs>
        <w:autoSpaceDE w:val="0"/>
        <w:autoSpaceDN w:val="0"/>
        <w:adjustRightInd w:val="0"/>
        <w:spacing w:line="360" w:lineRule="auto"/>
        <w:ind w:firstLine="480" w:firstLineChars="200"/>
        <w:rPr>
          <w:rFonts w:ascii="宋体" w:cs="宋体"/>
          <w:bCs/>
          <w:sz w:val="24"/>
        </w:rPr>
      </w:pPr>
      <w:r>
        <w:rPr>
          <w:rFonts w:ascii="宋体" w:hAnsi="宋体" w:cs="宋体"/>
          <w:bCs/>
          <w:sz w:val="24"/>
        </w:rPr>
        <w:t>2</w:t>
      </w:r>
      <w:r>
        <w:rPr>
          <w:rFonts w:hint="eastAsia" w:ascii="宋体" w:hAnsi="宋体" w:cs="宋体"/>
          <w:bCs/>
          <w:sz w:val="24"/>
        </w:rPr>
        <w:t>、乙方对货物检查把关不严，造成现金、绳索、利器等危险品、违禁品、违规品流入狱内，影响监管安全的；</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（六）发生以下情形，经调查属实的，扣除</w:t>
      </w:r>
      <w:r>
        <w:rPr>
          <w:rFonts w:ascii="宋体" w:hAnsi="宋体" w:cs="宋体"/>
          <w:bCs/>
          <w:sz w:val="24"/>
        </w:rPr>
        <w:t>50%</w:t>
      </w:r>
      <w:r>
        <w:rPr>
          <w:rFonts w:hint="eastAsia" w:ascii="宋体" w:hAnsi="宋体" w:cs="宋体"/>
          <w:bCs/>
          <w:sz w:val="24"/>
        </w:rPr>
        <w:t>履约保证金：</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监狱第二次发现乙方的工作人员为监狱服刑人员传带物品的。</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若同时出现上述履约保证金扣除情形，则仅按扣除数额最大的情形执行，不对同时出现的情形累计扣除履约保证金。</w:t>
      </w:r>
    </w:p>
    <w:p>
      <w:pPr>
        <w:tabs>
          <w:tab w:val="left" w:pos="630"/>
        </w:tabs>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（七）如在合同执行期间因乙方违约导致履约保证金部分扣除，乙方需在五个工作日内将扣除的履约保证金补齐。</w:t>
      </w:r>
    </w:p>
    <w:p>
      <w:pPr>
        <w:tabs>
          <w:tab w:val="left" w:pos="630"/>
        </w:tabs>
        <w:autoSpaceDE w:val="0"/>
        <w:autoSpaceDN w:val="0"/>
        <w:adjustRightInd w:val="0"/>
        <w:spacing w:line="360" w:lineRule="auto"/>
        <w:ind w:firstLine="480" w:firstLineChars="200"/>
        <w:rPr>
          <w:rFonts w:hint="eastAsia" w:ascii="宋体" w:eastAsia="宋体" w:cs="宋体"/>
          <w:bCs/>
          <w:strike w:val="0"/>
          <w:color w:val="FF0000"/>
          <w:sz w:val="24"/>
          <w:lang w:val="en-US" w:eastAsia="zh-CN"/>
        </w:rPr>
      </w:pPr>
      <w:r>
        <w:rPr>
          <w:rFonts w:hint="eastAsia" w:ascii="宋体" w:hAnsi="宋体" w:cs="宋体"/>
          <w:bCs/>
          <w:sz w:val="24"/>
        </w:rPr>
        <w:t>（八）如乙方在合同执行过程需终止执行合同的，需提前六十天以书面形式告知监狱，履约保证金不退还。</w:t>
      </w:r>
      <w:r>
        <w:rPr>
          <w:rFonts w:hint="eastAsia" w:ascii="宋体" w:hAnsi="宋体" w:cs="宋体"/>
          <w:bCs/>
          <w:color w:val="FF0000"/>
          <w:sz w:val="24"/>
          <w:lang w:eastAsia="zh-CN"/>
        </w:rPr>
        <w:t>如甲方在合同执行过程需终止执行合同的，</w:t>
      </w:r>
      <w:r>
        <w:rPr>
          <w:rFonts w:hint="eastAsia" w:ascii="宋体" w:hAnsi="宋体" w:cs="宋体"/>
          <w:bCs/>
          <w:color w:val="FF0000"/>
          <w:sz w:val="24"/>
        </w:rPr>
        <w:t>需提前六十天以书面形式告知</w:t>
      </w:r>
      <w:r>
        <w:rPr>
          <w:rFonts w:hint="eastAsia" w:ascii="宋体" w:hAnsi="宋体" w:cs="宋体"/>
          <w:bCs/>
          <w:color w:val="FF0000"/>
          <w:sz w:val="24"/>
          <w:lang w:eastAsia="zh-CN"/>
        </w:rPr>
        <w:t>乙方，</w:t>
      </w:r>
      <w:r>
        <w:rPr>
          <w:rFonts w:hint="eastAsia" w:ascii="宋体" w:hAnsi="宋体" w:cs="宋体"/>
          <w:bCs/>
          <w:strike w:val="0"/>
          <w:dstrike w:val="0"/>
          <w:color w:val="FF0000"/>
          <w:sz w:val="24"/>
        </w:rPr>
        <w:t>否则按单方面终止执行合同处理，</w:t>
      </w:r>
      <w:r>
        <w:rPr>
          <w:rFonts w:hint="eastAsia" w:ascii="宋体" w:hAnsi="宋体" w:cs="宋体"/>
          <w:bCs/>
          <w:strike w:val="0"/>
          <w:dstrike w:val="0"/>
          <w:color w:val="FF0000"/>
          <w:sz w:val="24"/>
          <w:lang w:eastAsia="zh-CN"/>
        </w:rPr>
        <w:t>需承担违约责任。</w:t>
      </w:r>
    </w:p>
    <w:p>
      <w:pPr>
        <w:autoSpaceDE w:val="0"/>
        <w:autoSpaceDN w:val="0"/>
        <w:adjustRightInd w:val="0"/>
        <w:spacing w:line="360" w:lineRule="auto"/>
        <w:rPr>
          <w:rFonts w:ascii="宋体" w:cs="宋体"/>
          <w:b/>
          <w:sz w:val="24"/>
        </w:rPr>
      </w:pPr>
      <w:r>
        <w:rPr>
          <w:rFonts w:hint="eastAsia" w:ascii="宋体" w:hAnsi="宋体" w:cs="宋体"/>
          <w:b/>
          <w:sz w:val="24"/>
        </w:rPr>
        <w:t>六、价格调整</w:t>
      </w:r>
    </w:p>
    <w:p>
      <w:pPr>
        <w:tabs>
          <w:tab w:val="left" w:pos="630"/>
        </w:tabs>
        <w:autoSpaceDE w:val="0"/>
        <w:autoSpaceDN w:val="0"/>
        <w:adjustRightInd w:val="0"/>
        <w:spacing w:line="360" w:lineRule="auto"/>
        <w:ind w:firstLine="480" w:firstLineChars="200"/>
        <w:rPr>
          <w:rFonts w:hint="eastAsia" w:ascii="宋体" w:hAnsi="宋体" w:eastAsia="宋体" w:cs="宋体"/>
          <w:bCs/>
          <w:strike w:val="0"/>
          <w:dstrike w:val="0"/>
          <w:color w:val="FF0000"/>
          <w:sz w:val="24"/>
          <w:lang w:eastAsia="zh-CN"/>
        </w:rPr>
      </w:pPr>
      <w:r>
        <w:rPr>
          <w:rFonts w:hint="eastAsia" w:ascii="宋体" w:hAnsi="宋体" w:cs="宋体"/>
          <w:bCs/>
          <w:strike w:val="0"/>
          <w:dstrike w:val="0"/>
          <w:color w:val="FF0000"/>
          <w:sz w:val="24"/>
          <w:lang w:eastAsia="zh-CN"/>
        </w:rPr>
        <w:t>合同期内不进行价格调整。</w:t>
      </w:r>
    </w:p>
    <w:p>
      <w:pPr>
        <w:autoSpaceDE w:val="0"/>
        <w:autoSpaceDN w:val="0"/>
        <w:adjustRightInd w:val="0"/>
        <w:spacing w:line="360" w:lineRule="auto"/>
        <w:rPr>
          <w:rFonts w:ascii="宋体" w:cs="宋体"/>
          <w:b/>
          <w:sz w:val="24"/>
        </w:rPr>
      </w:pPr>
      <w:r>
        <w:rPr>
          <w:rFonts w:hint="eastAsia" w:ascii="宋体" w:hAnsi="宋体" w:cs="宋体"/>
          <w:b/>
          <w:sz w:val="24"/>
        </w:rPr>
        <w:t>七、配送与支付要求</w:t>
      </w:r>
    </w:p>
    <w:p>
      <w:pPr>
        <w:widowControl/>
        <w:autoSpaceDE w:val="0"/>
        <w:autoSpaceDN w:val="0"/>
        <w:adjustRightInd w:val="0"/>
        <w:spacing w:line="360" w:lineRule="auto"/>
        <w:ind w:firstLine="480" w:firstLineChars="200"/>
        <w:jc w:val="left"/>
        <w:rPr>
          <w:rFonts w:ascii="宋体" w:cs="宋体"/>
          <w:bCs/>
          <w:color w:val="000000"/>
          <w:kern w:val="0"/>
          <w:sz w:val="24"/>
        </w:rPr>
      </w:pPr>
      <w:r>
        <w:rPr>
          <w:rFonts w:hint="eastAsia" w:ascii="宋体" w:hAnsi="宋体" w:cs="宋体"/>
          <w:bCs/>
          <w:color w:val="000000"/>
          <w:kern w:val="0"/>
          <w:sz w:val="24"/>
        </w:rPr>
        <w:t>（一）副食品及大豆油以罪犯伙房为单位，由乙方按照采购清单要求，将货物配送至广州监狱指定地点。</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color w:val="000000"/>
          <w:kern w:val="0"/>
          <w:sz w:val="24"/>
        </w:rPr>
        <w:t>（二）首次供应时，应提供乙方的《营业执照》、《食品经营许可证》等证照复印件予监狱存档。每次供应时应向监狱提供加盖公章的货物清单（送货单）。</w:t>
      </w:r>
      <w:r>
        <w:rPr>
          <w:rFonts w:hint="eastAsia" w:ascii="宋体" w:hAnsi="宋体" w:cs="宋体"/>
          <w:bCs/>
          <w:sz w:val="24"/>
        </w:rPr>
        <w:t>大豆油项目除满足以上要求外，</w:t>
      </w:r>
      <w:r>
        <w:rPr>
          <w:rFonts w:hint="eastAsia" w:ascii="宋体" w:hAnsi="宋体" w:cs="宋体"/>
          <w:bCs/>
          <w:color w:val="000000"/>
          <w:kern w:val="0"/>
          <w:sz w:val="24"/>
        </w:rPr>
        <w:t>每次供应时应向监狱提供该批次产品的出厂（库）检验合格报告、加盖公章的货物清单（送货单）；</w:t>
      </w:r>
      <w:r>
        <w:rPr>
          <w:rFonts w:hint="eastAsia" w:ascii="宋体" w:hAnsi="宋体" w:cs="宋体"/>
          <w:bCs/>
          <w:sz w:val="24"/>
        </w:rPr>
        <w:t>此外还需每三个月提供一次由具资质的质量检测部门出具的针对供应给监狱品牌大豆油</w:t>
      </w:r>
      <w:r>
        <w:rPr>
          <w:rFonts w:hint="eastAsia" w:ascii="宋体" w:hAnsi="宋体" w:cs="宋体"/>
          <w:bCs/>
          <w:color w:val="000000"/>
          <w:kern w:val="0"/>
          <w:sz w:val="24"/>
        </w:rPr>
        <w:t>的质量检验合格报告</w:t>
      </w:r>
      <w:r>
        <w:rPr>
          <w:rFonts w:hint="eastAsia" w:ascii="宋体" w:hAnsi="宋体" w:cs="宋体"/>
          <w:bCs/>
          <w:sz w:val="24"/>
        </w:rPr>
        <w:t>。</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color w:val="000000"/>
          <w:kern w:val="0"/>
          <w:sz w:val="24"/>
        </w:rPr>
        <w:t>（三）</w:t>
      </w:r>
      <w:r>
        <w:rPr>
          <w:rFonts w:hint="eastAsia" w:ascii="宋体" w:hAnsi="宋体" w:cs="宋体"/>
          <w:bCs/>
          <w:kern w:val="0"/>
          <w:sz w:val="24"/>
        </w:rPr>
        <w:t>整个运输过程应科学合理，运输必须采用符合卫生要求的外包装和运载工具，并且要保持清洁和定期消毒，车厢内无不良气味、异味。</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sz w:val="24"/>
        </w:rPr>
        <w:t>（四）</w:t>
      </w:r>
      <w:r>
        <w:rPr>
          <w:rFonts w:hint="eastAsia" w:ascii="宋体" w:hAnsi="宋体" w:cs="宋体"/>
          <w:bCs/>
          <w:color w:val="000000"/>
          <w:sz w:val="24"/>
        </w:rPr>
        <w:t>商品包装要求，容器</w:t>
      </w:r>
      <w:r>
        <w:rPr>
          <w:rFonts w:ascii="宋体" w:hAnsi="宋体" w:cs="宋体"/>
          <w:bCs/>
          <w:color w:val="000000"/>
          <w:sz w:val="24"/>
        </w:rPr>
        <w:t>(</w:t>
      </w:r>
      <w:r>
        <w:rPr>
          <w:rFonts w:hint="eastAsia" w:ascii="宋体" w:hAnsi="宋体" w:cs="宋体"/>
          <w:bCs/>
          <w:color w:val="000000"/>
          <w:sz w:val="24"/>
        </w:rPr>
        <w:t>框、箱、袋</w:t>
      </w:r>
      <w:r>
        <w:rPr>
          <w:rFonts w:ascii="宋体" w:hAnsi="宋体" w:cs="宋体"/>
          <w:bCs/>
          <w:color w:val="000000"/>
          <w:sz w:val="24"/>
        </w:rPr>
        <w:t>)</w:t>
      </w:r>
      <w:r>
        <w:rPr>
          <w:rFonts w:hint="eastAsia" w:ascii="宋体" w:hAnsi="宋体" w:cs="宋体"/>
          <w:bCs/>
          <w:color w:val="000000"/>
          <w:sz w:val="24"/>
        </w:rPr>
        <w:t>要求清洁、干燥、牢固、无异味、无霉变现象，食品包装符合国家有关法规、标准的要求，包装完好无破损。</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（五）送货时间：合同签订后，按用户要求，原则上副食品及大豆油每周供应一次。</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监狱根据实际需求，提前三天以传真方式将下周需求通知乙方。</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kern w:val="0"/>
          <w:sz w:val="24"/>
        </w:rPr>
        <w:t>乙方在接到通知后备齐货物，按时送抵交货地点。乙方除不可抗力，不得因其他任何理由延迟送货。监狱如遇特殊情况需推迟送货，应提前通知乙方。乙方</w:t>
      </w:r>
      <w:r>
        <w:rPr>
          <w:rFonts w:hint="eastAsia" w:ascii="宋体" w:hAnsi="宋体" w:cs="宋体"/>
          <w:bCs/>
          <w:sz w:val="24"/>
        </w:rPr>
        <w:t>不能按时、按质、按量供货，导致监狱无法正常供应伙食的，监狱有权自行采购同等质量的货物，由此造成的经济损失和责任均由乙方承担，并承担违约责任。</w:t>
      </w:r>
    </w:p>
    <w:p>
      <w:pPr>
        <w:autoSpaceDE w:val="0"/>
        <w:autoSpaceDN w:val="0"/>
        <w:adjustRightInd w:val="0"/>
        <w:snapToGrid w:val="0"/>
        <w:spacing w:line="360" w:lineRule="auto"/>
        <w:ind w:firstLine="480" w:firstLineChars="200"/>
        <w:rPr>
          <w:rFonts w:ascii="宋体" w:cs="宋体"/>
          <w:bCs/>
          <w:sz w:val="24"/>
        </w:rPr>
      </w:pPr>
      <w:r>
        <w:rPr>
          <w:rFonts w:hint="eastAsia" w:ascii="宋体" w:hAnsi="宋体" w:cs="宋体"/>
          <w:bCs/>
          <w:sz w:val="24"/>
        </w:rPr>
        <w:t>（六）付款方式：乙方按监狱要求完成当月供货后，于次月</w:t>
      </w:r>
      <w:r>
        <w:rPr>
          <w:rFonts w:ascii="宋体" w:hAnsi="宋体" w:cs="宋体"/>
          <w:bCs/>
          <w:sz w:val="24"/>
        </w:rPr>
        <w:t>10</w:t>
      </w:r>
      <w:r>
        <w:rPr>
          <w:rFonts w:hint="eastAsia" w:ascii="宋体" w:hAnsi="宋体" w:cs="宋体"/>
          <w:bCs/>
          <w:sz w:val="24"/>
        </w:rPr>
        <w:t>日前凭国家正式发票（监狱企业采购的物资需开具增值税专用发票）向监狱申请付款，监狱收到申请后在</w:t>
      </w:r>
      <w:r>
        <w:rPr>
          <w:rFonts w:ascii="宋体" w:hAnsi="宋体" w:cs="宋体"/>
          <w:bCs/>
          <w:sz w:val="24"/>
        </w:rPr>
        <w:t>20</w:t>
      </w:r>
      <w:r>
        <w:rPr>
          <w:rFonts w:hint="eastAsia" w:ascii="宋体" w:hAnsi="宋体" w:cs="宋体"/>
          <w:bCs/>
          <w:sz w:val="24"/>
        </w:rPr>
        <w:t>个工作日内结清货款（采购人向财政部门申请办理国库支付即视为已按期支付）。</w:t>
      </w:r>
    </w:p>
    <w:p>
      <w:pPr>
        <w:autoSpaceDE w:val="0"/>
        <w:autoSpaceDN w:val="0"/>
        <w:adjustRightInd w:val="0"/>
        <w:spacing w:line="360" w:lineRule="auto"/>
        <w:rPr>
          <w:rFonts w:ascii="宋体" w:cs="宋体"/>
          <w:b/>
          <w:sz w:val="24"/>
        </w:rPr>
      </w:pPr>
      <w:r>
        <w:rPr>
          <w:rFonts w:hint="eastAsia" w:ascii="宋体" w:hAnsi="宋体" w:cs="宋体"/>
          <w:b/>
          <w:sz w:val="24"/>
        </w:rPr>
        <w:t>八、物资验收</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kern w:val="0"/>
          <w:sz w:val="24"/>
        </w:rPr>
        <w:t>（一）按《广东省监狱罪犯生活物资验收管理办法》（附件）验收</w:t>
      </w:r>
      <w:r>
        <w:rPr>
          <w:rFonts w:hint="eastAsia" w:ascii="宋体" w:hAnsi="宋体" w:cs="宋体"/>
          <w:bCs/>
          <w:color w:val="000000"/>
          <w:sz w:val="24"/>
        </w:rPr>
        <w:t>。</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color w:val="000000"/>
          <w:sz w:val="24"/>
        </w:rPr>
        <w:t>（二）双方对质量有争议，如需将货物送至具有资质的质量检测机构检测的，若检测结果合格，检测费用由监狱支付。</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color w:val="000000"/>
          <w:sz w:val="24"/>
        </w:rPr>
        <w:t>若检测结果不合格，则检测费用由乙方支付，监狱将该批次货物退货，乙方重新配送合格物资外，乙方还需缴纳该批次货物金额的</w:t>
      </w:r>
      <w:r>
        <w:rPr>
          <w:rFonts w:ascii="宋体" w:hAnsi="宋体" w:cs="宋体"/>
          <w:bCs/>
          <w:color w:val="000000"/>
          <w:sz w:val="24"/>
        </w:rPr>
        <w:t>30%</w:t>
      </w:r>
      <w:r>
        <w:rPr>
          <w:rFonts w:hint="eastAsia" w:ascii="宋体" w:hAnsi="宋体" w:cs="宋体"/>
          <w:bCs/>
          <w:color w:val="000000"/>
          <w:sz w:val="24"/>
        </w:rPr>
        <w:t>作为违约金予监狱。</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color w:val="000000"/>
          <w:sz w:val="24"/>
        </w:rPr>
        <w:t>（三）合同期内，省监狱管理局对货物质量进行两次以内的抽查（食品安全事故调查、接到投诉调查而送检不受此次数限制），质量检验费用由乙方支付；对抽查发现货物质量（含包装）不合格的，责成监狱对该批次产品作出更换、退货、扣除</w:t>
      </w:r>
      <w:r>
        <w:rPr>
          <w:rFonts w:ascii="宋体" w:hAnsi="宋体" w:cs="宋体"/>
          <w:bCs/>
          <w:color w:val="000000"/>
          <w:sz w:val="24"/>
        </w:rPr>
        <w:t>50%</w:t>
      </w:r>
      <w:r>
        <w:rPr>
          <w:rFonts w:hint="eastAsia" w:ascii="宋体" w:hAnsi="宋体" w:cs="宋体"/>
          <w:bCs/>
          <w:color w:val="000000"/>
          <w:sz w:val="24"/>
        </w:rPr>
        <w:t>履约保证金、情节严重的解除合同等处理；合同期内两次抽查发现不合格的（可为相同或不同货物），责成监狱全部扣除履约保证金并解除合同。</w:t>
      </w:r>
    </w:p>
    <w:p>
      <w:pPr>
        <w:autoSpaceDE w:val="0"/>
        <w:autoSpaceDN w:val="0"/>
        <w:adjustRightInd w:val="0"/>
        <w:spacing w:line="360" w:lineRule="auto"/>
        <w:ind w:firstLine="480" w:firstLineChars="200"/>
        <w:rPr>
          <w:rFonts w:ascii="宋体" w:cs="宋体"/>
          <w:bCs/>
          <w:color w:val="000000"/>
          <w:sz w:val="24"/>
        </w:rPr>
      </w:pPr>
      <w:r>
        <w:rPr>
          <w:rFonts w:hint="eastAsia" w:ascii="宋体" w:hAnsi="宋体" w:cs="宋体"/>
          <w:bCs/>
          <w:color w:val="000000"/>
          <w:sz w:val="24"/>
        </w:rPr>
        <w:t>（四）物资验收时未发现质量问题，而入库后七天内发现质量问题，乙方无法证明因监狱保管、使用不善导致质量问题的，乙方应无条件更换该批次该品种物资。</w:t>
      </w:r>
    </w:p>
    <w:p>
      <w:pPr>
        <w:autoSpaceDE w:val="0"/>
        <w:autoSpaceDN w:val="0"/>
        <w:adjustRightInd w:val="0"/>
        <w:spacing w:line="360" w:lineRule="auto"/>
        <w:rPr>
          <w:rFonts w:ascii="宋体" w:cs="宋体"/>
          <w:b/>
          <w:sz w:val="24"/>
        </w:rPr>
      </w:pPr>
      <w:r>
        <w:rPr>
          <w:rFonts w:hint="eastAsia" w:ascii="宋体" w:hAnsi="宋体" w:cs="宋体"/>
          <w:b/>
          <w:sz w:val="24"/>
        </w:rPr>
        <w:t>九、乙方的管理要求</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（一）供应商有以下行为，经调查属实的，监狱将立即解除相关供应合同，履约保证金不退还：</w:t>
      </w:r>
      <w:r>
        <w:rPr>
          <w:rFonts w:ascii="宋体" w:cs="宋体"/>
          <w:bCs/>
          <w:sz w:val="24"/>
        </w:rPr>
        <w:br w:type="textWrapping"/>
      </w:r>
      <w:r>
        <w:rPr>
          <w:rFonts w:ascii="宋体" w:hAnsi="宋体" w:cs="宋体"/>
          <w:bCs/>
          <w:sz w:val="24"/>
        </w:rPr>
        <w:t xml:space="preserve">    1</w:t>
      </w:r>
      <w:r>
        <w:rPr>
          <w:rFonts w:hint="eastAsia" w:ascii="宋体" w:hAnsi="宋体" w:cs="宋体"/>
          <w:bCs/>
          <w:sz w:val="24"/>
        </w:rPr>
        <w:t>、弄虚作假，提供虚假材料取得中标供应资格的；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2</w:t>
      </w:r>
      <w:r>
        <w:rPr>
          <w:rFonts w:hint="eastAsia" w:ascii="宋体" w:hAnsi="宋体" w:cs="宋体"/>
          <w:bCs/>
          <w:sz w:val="24"/>
        </w:rPr>
        <w:t>、中标供应项目有转包、分包行为的；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3</w:t>
      </w:r>
      <w:r>
        <w:rPr>
          <w:rFonts w:hint="eastAsia" w:ascii="宋体" w:hAnsi="宋体" w:cs="宋体"/>
          <w:bCs/>
          <w:sz w:val="24"/>
        </w:rPr>
        <w:t>、经营情况发生重大变更，已经不具备承接中标供应项目能力的；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4</w:t>
      </w:r>
      <w:r>
        <w:rPr>
          <w:rFonts w:hint="eastAsia" w:ascii="宋体" w:hAnsi="宋体" w:cs="宋体"/>
          <w:bCs/>
          <w:sz w:val="24"/>
        </w:rPr>
        <w:t>、无正当理由拒绝履行合同向监狱供货的；</w:t>
      </w:r>
      <w:r>
        <w:rPr>
          <w:rFonts w:ascii="宋体" w:cs="宋体"/>
          <w:bCs/>
          <w:sz w:val="24"/>
        </w:rPr>
        <w:br w:type="textWrapping"/>
      </w:r>
      <w:r>
        <w:rPr>
          <w:rFonts w:ascii="宋体" w:hAnsi="宋体" w:cs="宋体"/>
          <w:bCs/>
          <w:sz w:val="24"/>
        </w:rPr>
        <w:t xml:space="preserve">    5</w:t>
      </w:r>
      <w:r>
        <w:rPr>
          <w:rFonts w:hint="eastAsia" w:ascii="宋体" w:hAnsi="宋体" w:cs="宋体"/>
          <w:bCs/>
          <w:sz w:val="24"/>
        </w:rPr>
        <w:t>、有行贿、给回扣等不正当竞争行为的；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6</w:t>
      </w:r>
      <w:r>
        <w:rPr>
          <w:rFonts w:hint="eastAsia" w:ascii="宋体" w:hAnsi="宋体" w:cs="宋体"/>
          <w:bCs/>
          <w:sz w:val="24"/>
        </w:rPr>
        <w:t>、因所供货物质量原因导致狱内发生食品安全事故的；</w:t>
      </w:r>
      <w:r>
        <w:rPr>
          <w:rFonts w:ascii="宋体" w:cs="宋体"/>
          <w:bCs/>
          <w:sz w:val="24"/>
        </w:rPr>
        <w:br w:type="textWrapping"/>
      </w:r>
      <w:r>
        <w:rPr>
          <w:rFonts w:ascii="宋体" w:hAnsi="宋体" w:cs="宋体"/>
          <w:bCs/>
          <w:sz w:val="24"/>
        </w:rPr>
        <w:t xml:space="preserve">    7</w:t>
      </w:r>
      <w:r>
        <w:rPr>
          <w:rFonts w:hint="eastAsia" w:ascii="宋体" w:hAnsi="宋体" w:cs="宋体"/>
          <w:bCs/>
          <w:sz w:val="24"/>
        </w:rPr>
        <w:t>、所供应货物存在故意假冒伪劣行为的；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8</w:t>
      </w:r>
      <w:r>
        <w:rPr>
          <w:rFonts w:hint="eastAsia" w:ascii="宋体" w:hAnsi="宋体" w:cs="宋体"/>
          <w:bCs/>
          <w:sz w:val="24"/>
        </w:rPr>
        <w:t>、因供应商原因导致狱内发生监管安全事故的；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9</w:t>
      </w:r>
      <w:r>
        <w:rPr>
          <w:rFonts w:hint="eastAsia" w:ascii="宋体" w:hAnsi="宋体" w:cs="宋体"/>
          <w:bCs/>
          <w:sz w:val="24"/>
        </w:rPr>
        <w:t>、监狱第一或第二次发现乙方的工作人员为监狱服刑人员传带物品，且造成重大社会不良影响的；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10</w:t>
      </w:r>
      <w:r>
        <w:rPr>
          <w:rFonts w:hint="eastAsia" w:ascii="宋体" w:hAnsi="宋体" w:cs="宋体"/>
          <w:bCs/>
          <w:sz w:val="24"/>
        </w:rPr>
        <w:t>、监狱第三次发现乙方的工作人员为监狱服刑人员传带物品的。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11</w:t>
      </w:r>
      <w:r>
        <w:rPr>
          <w:rFonts w:hint="eastAsia" w:ascii="宋体" w:hAnsi="宋体" w:cs="宋体"/>
          <w:bCs/>
          <w:sz w:val="24"/>
        </w:rPr>
        <w:t>、工作人员为监狱服刑人员私传违禁品、违规品、危险品等违反监狱管理规定的。</w:t>
      </w:r>
    </w:p>
    <w:p>
      <w:pPr>
        <w:autoSpaceDE w:val="0"/>
        <w:autoSpaceDN w:val="0"/>
        <w:adjustRightInd w:val="0"/>
        <w:spacing w:line="360" w:lineRule="auto"/>
        <w:ind w:firstLine="480" w:firstLineChars="200"/>
        <w:rPr>
          <w:rFonts w:ascii="宋体" w:cs="宋体"/>
          <w:bCs/>
          <w:sz w:val="24"/>
        </w:rPr>
      </w:pPr>
      <w:r>
        <w:rPr>
          <w:rFonts w:ascii="宋体" w:hAnsi="宋体" w:cs="宋体"/>
          <w:bCs/>
          <w:sz w:val="24"/>
        </w:rPr>
        <w:t>12</w:t>
      </w:r>
      <w:r>
        <w:rPr>
          <w:rFonts w:hint="eastAsia" w:ascii="宋体" w:hAnsi="宋体" w:cs="宋体"/>
          <w:bCs/>
          <w:sz w:val="24"/>
        </w:rPr>
        <w:t>、有其他违法违纪行为的。</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kern w:val="0"/>
          <w:sz w:val="24"/>
        </w:rPr>
        <w:t>（二）必须依据国家有关法律法规要求建立健全各项管理制度，保证食品安全，有明确的食品安全责任人。</w:t>
      </w:r>
      <w:r>
        <w:rPr>
          <w:rFonts w:hint="eastAsia" w:ascii="宋体" w:hAnsi="宋体" w:cs="宋体"/>
          <w:bCs/>
          <w:sz w:val="24"/>
        </w:rPr>
        <w:t>因所供货物质量原因导致狱内发生食品安全事故，除解除合同、扣除全部履约保证金外，乙方还需赔偿监狱救治经费及误工损失。</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（三）由于监狱工作的特殊性，乙方应做好本单位工作人员的教育工作，遵守监狱出入监门和物品携带等各项规定。</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（四）按合同约定的标的供货，乙方不得转包、分包，否则监狱有权单方面终止合同，项目另行处理，乙方承担由此造成的经济损失，履约保证金不退还。</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（五）乙方应严格按招标要求（含品种、质量等）供应，不得变更供应商品，否则，监狱有权退货。</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（六）</w:t>
      </w:r>
      <w:r>
        <w:rPr>
          <w:rFonts w:hint="eastAsia" w:ascii="宋体" w:hAnsi="宋体" w:cs="宋体"/>
          <w:bCs/>
          <w:sz w:val="24"/>
        </w:rPr>
        <w:t>因生产商原因停产、改变生产规格的，中标供应商凭生产商证明告知监狱，监狱经市场调查确认，选择替换品种、规格，报省局生活卫生处备案后与供应商协商定价后确认更换的品种、规格、价格。</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kern w:val="0"/>
          <w:sz w:val="24"/>
        </w:rPr>
        <w:t>（七）监狱按合同对商品进行严格验收，对不符合规格要求的商品，供应商必须无条件退货或更换。</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sz w:val="24"/>
        </w:rPr>
        <w:t>（八）</w:t>
      </w:r>
      <w:r>
        <w:rPr>
          <w:rFonts w:hint="eastAsia" w:ascii="宋体" w:hAnsi="宋体" w:cs="宋体"/>
          <w:bCs/>
          <w:kern w:val="0"/>
          <w:sz w:val="24"/>
        </w:rPr>
        <w:t>乙方须按供应商品的销售额开具国家正式发票。</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九）食品溯源要求。食品供应链必须明确，所有食品的来源必须清晰，来源应当是受到地方政府部门监管的流通市场或具有相关资质的厂家生产，食品生产企业必须获得《食品生产许可证》，生产食品的源头与供应商要有固定的合法的供应关系。供应商应保存以下资料：</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1</w:t>
      </w:r>
      <w:r>
        <w:rPr>
          <w:rFonts w:hint="eastAsia" w:ascii="宋体" w:hAnsi="宋体" w:cs="宋体"/>
          <w:bCs/>
          <w:kern w:val="0"/>
          <w:sz w:val="24"/>
        </w:rPr>
        <w:t>、供应商与生产企业的销售合同；</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2</w:t>
      </w:r>
      <w:r>
        <w:rPr>
          <w:rFonts w:hint="eastAsia" w:ascii="宋体" w:hAnsi="宋体" w:cs="宋体"/>
          <w:bCs/>
          <w:kern w:val="0"/>
          <w:sz w:val="24"/>
        </w:rPr>
        <w:t>、生产企业的送货单和销售发票；</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3</w:t>
      </w:r>
      <w:r>
        <w:rPr>
          <w:rFonts w:hint="eastAsia" w:ascii="宋体" w:hAnsi="宋体" w:cs="宋体"/>
          <w:bCs/>
          <w:kern w:val="0"/>
          <w:sz w:val="24"/>
        </w:rPr>
        <w:t>、供应商与采购方的采购合同及送货单据、销售发票。</w:t>
      </w:r>
    </w:p>
    <w:p>
      <w:pPr>
        <w:autoSpaceDE w:val="0"/>
        <w:autoSpaceDN w:val="0"/>
        <w:adjustRightInd w:val="0"/>
        <w:spacing w:line="360" w:lineRule="auto"/>
        <w:rPr>
          <w:rFonts w:ascii="宋体" w:cs="宋体"/>
          <w:b/>
          <w:sz w:val="24"/>
        </w:rPr>
      </w:pPr>
      <w:r>
        <w:rPr>
          <w:rFonts w:hint="eastAsia" w:ascii="宋体" w:hAnsi="宋体" w:cs="宋体"/>
          <w:b/>
          <w:sz w:val="24"/>
        </w:rPr>
        <w:t>十、外来人员进出监管区须知</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由于监狱工作的特殊性，乙方应认真教育本单位工作人员严格遵守监狱的相关管理规定。</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（一）外来人员必须遵守法律法规，不得假借监狱名义从事有损监狱形象的行为。</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（二）外来人员进入监管区应提高警惕，注意人身安全保护，加强自我防范意识；自觉与罪犯划清界线，防止被罪犯利用。</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（三）外来人员进入监管区必须衣着整齐，举止文明；女士不得衣着暴露。</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（四）凡需进入监管区的外来人员必须由合作方开具委派证明和身份证明原件，向狱方提出申请，经核准后办理相关手续。</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（五）外来车辆应凭审批手续并由监狱警察带领或监狱指定人员驾驶，方可进出监管区大门。</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（六）所有进出监管区大门的人员、车辆和物品应接受监门警察和监门哨兵的检查，凭通行证件或经监狱审批的手续，人证相符、手续齐全方可进出监管区大门。</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七）外来人员进出监管区大门必须遵守《广东省监狱监管区大门管理规定（试行）》。凭有效身份证件办理《外来人员通行证》或《外来人员临时通行证》，由监狱相关部门警察带入带出，并接受监门武警和值班警察的检查管理。</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（八）外来人员不得携带违禁品、违规品、危险品等可能影响监管安全的物品进入监管区，进入监管区时必须按规定将移动电话等物品保管在贮物箱。</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违禁品是指枪支弹药、通讯设备、现金、刀具、毒品、麻醉及精神药品、军警制服、便服、假发、反动、淫秽宣传制品等物品；</w:t>
      </w:r>
    </w:p>
    <w:p>
      <w:pPr>
        <w:autoSpaceDE w:val="0"/>
        <w:autoSpaceDN w:val="0"/>
        <w:adjustRightInd w:val="0"/>
        <w:spacing w:line="360" w:lineRule="auto"/>
        <w:ind w:firstLine="480" w:firstLineChars="200"/>
        <w:rPr>
          <w:rFonts w:ascii="宋体" w:cs="宋体"/>
          <w:bCs/>
          <w:sz w:val="24"/>
        </w:rPr>
      </w:pPr>
      <w:r>
        <w:rPr>
          <w:rFonts w:hint="eastAsia" w:ascii="宋体" w:hAnsi="宋体" w:cs="宋体"/>
          <w:bCs/>
          <w:sz w:val="24"/>
        </w:rPr>
        <w:t>违规品是指含有酒精的饮品、火种及可用作点火的可燃物品、身份类证件、绳索及可用作绳索的生产原材料、半成品、成品、玻璃陶瓷类制品及含有玻璃制品的物品、绝缘物品、燃料炊具和电炊具等物品；</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sz w:val="24"/>
        </w:rPr>
        <w:t>危险品是指钝器、攀高物、易燃易爆、剧毒、放射、腐蚀性等物品。</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（九）外来人员进入监管区大门后，必须将《外来人员通行证》或《外来人员临时通行证》挂于胸前，并妥善保管。</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（十）外来人员在监管区内必须遵守监狱的下列规定：</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1</w:t>
      </w:r>
      <w:r>
        <w:rPr>
          <w:rFonts w:hint="eastAsia" w:ascii="宋体" w:hAnsi="宋体" w:cs="宋体"/>
          <w:bCs/>
          <w:kern w:val="0"/>
          <w:sz w:val="24"/>
        </w:rPr>
        <w:t>、不得擅自与服刑人员接触，与服刑人员认老乡、攀亲结友；</w:t>
      </w:r>
    </w:p>
    <w:p>
      <w:pPr>
        <w:autoSpaceDE w:val="0"/>
        <w:autoSpaceDN w:val="0"/>
        <w:adjustRightInd w:val="0"/>
        <w:spacing w:line="360" w:lineRule="auto"/>
        <w:ind w:firstLine="480" w:firstLineChars="200"/>
        <w:rPr>
          <w:rFonts w:ascii="宋体" w:hAnsi="宋体" w:cs="宋体"/>
          <w:bCs/>
          <w:kern w:val="0"/>
          <w:sz w:val="24"/>
        </w:rPr>
      </w:pPr>
      <w:r>
        <w:rPr>
          <w:rFonts w:ascii="宋体" w:hAnsi="宋体" w:cs="宋体"/>
          <w:bCs/>
          <w:kern w:val="0"/>
          <w:sz w:val="24"/>
        </w:rPr>
        <w:t>2</w:t>
      </w:r>
      <w:r>
        <w:rPr>
          <w:rFonts w:hint="eastAsia" w:ascii="宋体" w:hAnsi="宋体" w:cs="宋体"/>
          <w:bCs/>
          <w:kern w:val="0"/>
          <w:sz w:val="24"/>
        </w:rPr>
        <w:t>、不得为服刑人员传带、保管任何物品；</w:t>
      </w:r>
      <w:r>
        <w:rPr>
          <w:rFonts w:ascii="宋体" w:hAnsi="宋体" w:cs="宋体"/>
          <w:bCs/>
          <w:kern w:val="0"/>
          <w:sz w:val="24"/>
        </w:rPr>
        <w:t xml:space="preserve"> </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3</w:t>
      </w:r>
      <w:r>
        <w:rPr>
          <w:rFonts w:hint="eastAsia" w:ascii="宋体" w:hAnsi="宋体" w:cs="宋体"/>
          <w:bCs/>
          <w:kern w:val="0"/>
          <w:sz w:val="24"/>
        </w:rPr>
        <w:t>、不得为服刑人员邮寄信件、捎口信或替服刑人员打电话；</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4</w:t>
      </w:r>
      <w:r>
        <w:rPr>
          <w:rFonts w:hint="eastAsia" w:ascii="宋体" w:hAnsi="宋体" w:cs="宋体"/>
          <w:bCs/>
          <w:kern w:val="0"/>
          <w:sz w:val="24"/>
        </w:rPr>
        <w:t>、不得在监管区拍照、摄像或录音；</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5</w:t>
      </w:r>
      <w:r>
        <w:rPr>
          <w:rFonts w:hint="eastAsia" w:ascii="宋体" w:hAnsi="宋体" w:cs="宋体"/>
          <w:bCs/>
          <w:kern w:val="0"/>
          <w:sz w:val="24"/>
        </w:rPr>
        <w:t>、不得在监管区内随意走动，非经许可不得进入监舍区；</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6</w:t>
      </w:r>
      <w:r>
        <w:rPr>
          <w:rFonts w:hint="eastAsia" w:ascii="宋体" w:hAnsi="宋体" w:cs="宋体"/>
          <w:bCs/>
          <w:kern w:val="0"/>
          <w:sz w:val="24"/>
        </w:rPr>
        <w:t>、不得与服刑人员交谈业务以外的内容；</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7</w:t>
      </w:r>
      <w:r>
        <w:rPr>
          <w:rFonts w:hint="eastAsia" w:ascii="宋体" w:hAnsi="宋体" w:cs="宋体"/>
          <w:bCs/>
          <w:kern w:val="0"/>
          <w:sz w:val="24"/>
        </w:rPr>
        <w:t>、不得散布不利于服刑人员改造的言论；</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8</w:t>
      </w:r>
      <w:r>
        <w:rPr>
          <w:rFonts w:hint="eastAsia" w:ascii="宋体" w:hAnsi="宋体" w:cs="宋体"/>
          <w:bCs/>
          <w:kern w:val="0"/>
          <w:sz w:val="24"/>
        </w:rPr>
        <w:t>、不得干涉、干扰监狱对服刑人员的执法活动；</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9</w:t>
      </w:r>
      <w:r>
        <w:rPr>
          <w:rFonts w:hint="eastAsia" w:ascii="宋体" w:hAnsi="宋体" w:cs="宋体"/>
          <w:bCs/>
          <w:kern w:val="0"/>
          <w:sz w:val="24"/>
        </w:rPr>
        <w:t>、不得破坏监狱设施；</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10</w:t>
      </w:r>
      <w:r>
        <w:rPr>
          <w:rFonts w:hint="eastAsia" w:ascii="宋体" w:hAnsi="宋体" w:cs="宋体"/>
          <w:bCs/>
          <w:kern w:val="0"/>
          <w:sz w:val="24"/>
        </w:rPr>
        <w:t>、患有传染性疾病的外来人员严禁进入监管区；</w:t>
      </w:r>
    </w:p>
    <w:p>
      <w:pPr>
        <w:autoSpaceDE w:val="0"/>
        <w:autoSpaceDN w:val="0"/>
        <w:adjustRightInd w:val="0"/>
        <w:spacing w:line="360" w:lineRule="auto"/>
        <w:ind w:firstLine="480" w:firstLineChars="200"/>
        <w:rPr>
          <w:rFonts w:ascii="宋体" w:cs="宋体"/>
          <w:bCs/>
          <w:kern w:val="0"/>
          <w:sz w:val="24"/>
        </w:rPr>
      </w:pPr>
      <w:r>
        <w:rPr>
          <w:rFonts w:ascii="宋体" w:hAnsi="宋体" w:cs="宋体"/>
          <w:bCs/>
          <w:kern w:val="0"/>
          <w:sz w:val="24"/>
        </w:rPr>
        <w:t>11</w:t>
      </w:r>
      <w:r>
        <w:rPr>
          <w:rFonts w:hint="eastAsia" w:ascii="宋体" w:hAnsi="宋体" w:cs="宋体"/>
          <w:bCs/>
          <w:kern w:val="0"/>
          <w:sz w:val="24"/>
        </w:rPr>
        <w:t>、不得向无关人员谈及监狱工作秘密，或从事其它有碍监管安全的行为。</w:t>
      </w:r>
    </w:p>
    <w:p>
      <w:pPr>
        <w:autoSpaceDE w:val="0"/>
        <w:autoSpaceDN w:val="0"/>
        <w:adjustRightInd w:val="0"/>
        <w:spacing w:line="360" w:lineRule="auto"/>
        <w:ind w:firstLine="480" w:firstLineChars="200"/>
        <w:rPr>
          <w:rFonts w:ascii="宋体" w:cs="宋体"/>
          <w:bCs/>
          <w:kern w:val="0"/>
          <w:sz w:val="24"/>
        </w:rPr>
      </w:pPr>
      <w:r>
        <w:rPr>
          <w:rFonts w:hint="eastAsia" w:ascii="宋体" w:hAnsi="宋体" w:cs="宋体"/>
          <w:bCs/>
          <w:kern w:val="0"/>
          <w:sz w:val="24"/>
        </w:rPr>
        <w:t>（十一）外来车辆应按指定位置停放并熄火，拔下钥匙，锁紧车门窗。所有车辆在当天</w:t>
      </w:r>
      <w:r>
        <w:rPr>
          <w:rFonts w:ascii="宋体" w:hAnsi="宋体" w:cs="宋体"/>
          <w:bCs/>
          <w:kern w:val="0"/>
          <w:sz w:val="24"/>
        </w:rPr>
        <w:t>21</w:t>
      </w:r>
      <w:r>
        <w:rPr>
          <w:rFonts w:hint="eastAsia" w:ascii="宋体" w:hAnsi="宋体" w:cs="宋体"/>
          <w:bCs/>
          <w:kern w:val="0"/>
          <w:sz w:val="24"/>
        </w:rPr>
        <w:t>时前应驶离监管区。</w:t>
      </w:r>
    </w:p>
    <w:p>
      <w:pPr>
        <w:autoSpaceDE w:val="0"/>
        <w:autoSpaceDN w:val="0"/>
        <w:adjustRightInd w:val="0"/>
        <w:spacing w:line="360" w:lineRule="auto"/>
        <w:rPr>
          <w:rFonts w:ascii="宋体" w:cs="宋体"/>
          <w:sz w:val="24"/>
        </w:rPr>
      </w:pPr>
      <w:r>
        <w:rPr>
          <w:rFonts w:hint="eastAsia" w:ascii="宋体" w:hAnsi="宋体" w:cs="宋体"/>
          <w:bCs/>
          <w:kern w:val="0"/>
          <w:sz w:val="24"/>
        </w:rPr>
        <w:t>（十二）外来人员若违反本管理规定，监狱将责成乙方将其解聘、辞退或调离，严禁其再次进入监管区，有违法行为的送司法机关处理。</w:t>
      </w:r>
    </w:p>
    <w:p>
      <w:pPr>
        <w:autoSpaceDE w:val="0"/>
        <w:autoSpaceDN w:val="0"/>
        <w:adjustRightInd w:val="0"/>
        <w:spacing w:line="360" w:lineRule="auto"/>
        <w:rPr>
          <w:rFonts w:ascii="宋体" w:cs="宋体"/>
          <w:b/>
          <w:sz w:val="24"/>
        </w:rPr>
      </w:pPr>
      <w:r>
        <w:rPr>
          <w:rFonts w:hint="eastAsia" w:ascii="宋体" w:hAnsi="宋体" w:cs="宋体"/>
          <w:b/>
          <w:sz w:val="24"/>
        </w:rPr>
        <w:t>十一、违约责任</w:t>
      </w:r>
    </w:p>
    <w:p>
      <w:pPr>
        <w:autoSpaceDE w:val="0"/>
        <w:autoSpaceDN w:val="0"/>
        <w:adjustRightInd w:val="0"/>
        <w:spacing w:line="360" w:lineRule="auto"/>
        <w:ind w:firstLine="480" w:firstLineChars="200"/>
        <w:rPr>
          <w:rFonts w:ascii="宋体" w:cs="宋体"/>
          <w:sz w:val="24"/>
        </w:rPr>
      </w:pPr>
      <w:r>
        <w:rPr>
          <w:rFonts w:hint="eastAsia" w:ascii="宋体" w:hAnsi="宋体" w:cs="宋体"/>
          <w:sz w:val="24"/>
        </w:rPr>
        <w:t>因卖方供应货物时间、数量、质量等原因引起物资短缺，无其它同类物资代替，造成罪犯伙食无法</w:t>
      </w:r>
      <w:r>
        <w:rPr>
          <w:rFonts w:ascii="宋体" w:hAnsi="宋体" w:cs="宋体"/>
          <w:sz w:val="24"/>
        </w:rPr>
        <w:t xml:space="preserve"> </w:t>
      </w:r>
      <w:r>
        <w:rPr>
          <w:rFonts w:hint="eastAsia" w:ascii="宋体" w:hAnsi="宋体" w:cs="宋体"/>
          <w:sz w:val="24"/>
        </w:rPr>
        <w:t>按时供应的，视为卖方违约，买方将依合同约定扣除履约保证金。</w:t>
      </w:r>
    </w:p>
    <w:p>
      <w:pPr>
        <w:autoSpaceDE w:val="0"/>
        <w:autoSpaceDN w:val="0"/>
        <w:adjustRightInd w:val="0"/>
        <w:spacing w:line="360" w:lineRule="auto"/>
        <w:rPr>
          <w:rFonts w:ascii="宋体" w:cs="宋体"/>
          <w:b/>
          <w:sz w:val="24"/>
        </w:rPr>
      </w:pPr>
      <w:r>
        <w:rPr>
          <w:rFonts w:hint="eastAsia" w:ascii="宋体" w:hAnsi="宋体" w:cs="宋体"/>
          <w:b/>
          <w:sz w:val="24"/>
        </w:rPr>
        <w:t>十二、争议解决方式</w:t>
      </w:r>
    </w:p>
    <w:p>
      <w:pPr>
        <w:autoSpaceDE w:val="0"/>
        <w:autoSpaceDN w:val="0"/>
        <w:adjustRightInd w:val="0"/>
        <w:spacing w:line="360" w:lineRule="auto"/>
        <w:ind w:firstLine="480" w:firstLineChars="200"/>
        <w:rPr>
          <w:rFonts w:ascii="宋体" w:cs="宋体"/>
          <w:sz w:val="24"/>
        </w:rPr>
      </w:pPr>
      <w:r>
        <w:rPr>
          <w:rFonts w:hint="eastAsia" w:ascii="宋体" w:hAnsi="宋体" w:cs="宋体"/>
          <w:sz w:val="24"/>
        </w:rPr>
        <w:t>本合同按照中华人民共和国的法律进行解释。凡与本合同有关而引起的一切争议，合同双方应首</w:t>
      </w:r>
      <w:r>
        <w:rPr>
          <w:rFonts w:ascii="宋体" w:hAnsi="宋体" w:cs="宋体"/>
          <w:sz w:val="24"/>
        </w:rPr>
        <w:t xml:space="preserve"> </w:t>
      </w:r>
      <w:r>
        <w:rPr>
          <w:rFonts w:hint="eastAsia" w:ascii="宋体" w:hAnsi="宋体" w:cs="宋体"/>
          <w:sz w:val="24"/>
        </w:rPr>
        <w:t>先通过友好协商解决，如经协商后仍不能达成协议时，任何一方可以向乐昌市人民法院提起诉讼。</w:t>
      </w:r>
    </w:p>
    <w:p>
      <w:pPr>
        <w:autoSpaceDE w:val="0"/>
        <w:autoSpaceDN w:val="0"/>
        <w:adjustRightInd w:val="0"/>
        <w:spacing w:line="360" w:lineRule="auto"/>
        <w:rPr>
          <w:rFonts w:ascii="宋体" w:cs="宋体"/>
          <w:b/>
          <w:sz w:val="24"/>
        </w:rPr>
      </w:pPr>
      <w:r>
        <w:rPr>
          <w:rFonts w:hint="eastAsia" w:ascii="宋体" w:hAnsi="宋体" w:cs="宋体"/>
          <w:b/>
          <w:sz w:val="24"/>
        </w:rPr>
        <w:t>十三、合同生效</w:t>
      </w:r>
    </w:p>
    <w:p>
      <w:pPr>
        <w:autoSpaceDE w:val="0"/>
        <w:autoSpaceDN w:val="0"/>
        <w:adjustRightInd w:val="0"/>
        <w:spacing w:line="360" w:lineRule="auto"/>
        <w:ind w:firstLine="480" w:firstLineChars="200"/>
        <w:rPr>
          <w:rFonts w:ascii="宋体" w:cs="宋体"/>
          <w:sz w:val="24"/>
        </w:rPr>
      </w:pPr>
      <w:r>
        <w:rPr>
          <w:rFonts w:hint="eastAsia" w:ascii="宋体" w:hAnsi="宋体" w:cs="宋体"/>
          <w:sz w:val="24"/>
        </w:rPr>
        <w:t>合同经双方授权代表签字盖章，且买方收到卖方提交的履约保证金后生效，合同生效日期以较迟</w:t>
      </w:r>
      <w:r>
        <w:rPr>
          <w:rFonts w:ascii="宋体" w:hAnsi="宋体" w:cs="宋体"/>
          <w:sz w:val="24"/>
        </w:rPr>
        <w:t xml:space="preserve"> </w:t>
      </w:r>
      <w:r>
        <w:rPr>
          <w:rFonts w:hint="eastAsia" w:ascii="宋体" w:hAnsi="宋体" w:cs="宋体"/>
          <w:sz w:val="24"/>
        </w:rPr>
        <w:t>签注的日期为准。</w:t>
      </w:r>
    </w:p>
    <w:p>
      <w:pPr>
        <w:autoSpaceDE w:val="0"/>
        <w:autoSpaceDN w:val="0"/>
        <w:adjustRightInd w:val="0"/>
        <w:spacing w:line="360" w:lineRule="auto"/>
        <w:rPr>
          <w:rFonts w:ascii="宋体" w:cs="宋体"/>
          <w:b/>
          <w:sz w:val="24"/>
        </w:rPr>
      </w:pPr>
      <w:r>
        <w:rPr>
          <w:rFonts w:hint="eastAsia" w:ascii="宋体" w:hAnsi="宋体" w:cs="宋体"/>
          <w:b/>
          <w:sz w:val="24"/>
        </w:rPr>
        <w:t>十四、其它</w:t>
      </w:r>
    </w:p>
    <w:p>
      <w:pPr>
        <w:autoSpaceDE w:val="0"/>
        <w:autoSpaceDN w:val="0"/>
        <w:adjustRightInd w:val="0"/>
        <w:spacing w:line="360" w:lineRule="auto"/>
        <w:ind w:firstLine="480" w:firstLineChars="200"/>
        <w:rPr>
          <w:rFonts w:ascii="宋体" w:cs="宋体"/>
          <w:sz w:val="24"/>
        </w:rPr>
      </w:pPr>
      <w:r>
        <w:rPr>
          <w:rFonts w:ascii="宋体" w:hAnsi="宋体" w:cs="宋体"/>
          <w:sz w:val="24"/>
        </w:rPr>
        <w:t>1</w:t>
      </w:r>
      <w:r>
        <w:rPr>
          <w:rFonts w:hint="eastAsia" w:ascii="宋体" w:hAnsi="宋体" w:cs="宋体"/>
          <w:sz w:val="24"/>
        </w:rPr>
        <w:t>、卖方若需提前终止合同，需提前</w:t>
      </w:r>
      <w:r>
        <w:rPr>
          <w:rFonts w:ascii="宋体" w:hAnsi="宋体" w:cs="宋体"/>
          <w:sz w:val="24"/>
        </w:rPr>
        <w:t xml:space="preserve"> 60 </w:t>
      </w:r>
      <w:r>
        <w:rPr>
          <w:rFonts w:hint="eastAsia" w:ascii="宋体" w:hAnsi="宋体" w:cs="宋体"/>
          <w:sz w:val="24"/>
        </w:rPr>
        <w:t>天以书面形式通知买方。</w:t>
      </w:r>
    </w:p>
    <w:p>
      <w:pPr>
        <w:autoSpaceDE w:val="0"/>
        <w:autoSpaceDN w:val="0"/>
        <w:adjustRightInd w:val="0"/>
        <w:spacing w:line="360" w:lineRule="auto"/>
        <w:ind w:firstLine="480" w:firstLineChars="200"/>
        <w:rPr>
          <w:rFonts w:ascii="宋体" w:cs="宋体"/>
          <w:sz w:val="24"/>
        </w:rPr>
      </w:pPr>
      <w:r>
        <w:rPr>
          <w:rFonts w:ascii="宋体" w:hAnsi="宋体" w:cs="宋体"/>
          <w:sz w:val="24"/>
        </w:rPr>
        <w:t>2</w:t>
      </w:r>
      <w:r>
        <w:rPr>
          <w:rFonts w:hint="eastAsia" w:ascii="宋体" w:hAnsi="宋体" w:cs="宋体"/>
          <w:sz w:val="24"/>
        </w:rPr>
        <w:t>、合同双方在合同期内因业务需要变更名称、账号等内容的，变更方凭工商、银行等部门出具</w:t>
      </w:r>
      <w:r>
        <w:rPr>
          <w:rFonts w:ascii="宋体" w:hAnsi="宋体" w:cs="宋体"/>
          <w:sz w:val="24"/>
        </w:rPr>
        <w:t xml:space="preserve"> </w:t>
      </w:r>
      <w:r>
        <w:rPr>
          <w:rFonts w:hint="eastAsia" w:ascii="宋体" w:hAnsi="宋体" w:cs="宋体"/>
          <w:sz w:val="24"/>
        </w:rPr>
        <w:t>的有效资料，于变更后的五个工作日内通知对方，对方应及时更改相关信息。</w:t>
      </w:r>
    </w:p>
    <w:p>
      <w:pPr>
        <w:autoSpaceDE w:val="0"/>
        <w:autoSpaceDN w:val="0"/>
        <w:adjustRightInd w:val="0"/>
        <w:spacing w:line="360" w:lineRule="auto"/>
        <w:ind w:firstLine="480" w:firstLineChars="200"/>
        <w:rPr>
          <w:rFonts w:ascii="宋体" w:cs="宋体"/>
          <w:sz w:val="24"/>
        </w:rPr>
      </w:pPr>
      <w:r>
        <w:rPr>
          <w:rFonts w:ascii="宋体" w:hAnsi="宋体" w:cs="宋体"/>
          <w:sz w:val="24"/>
        </w:rPr>
        <w:t>3</w:t>
      </w:r>
      <w:r>
        <w:rPr>
          <w:rFonts w:hint="eastAsia" w:ascii="宋体" w:hAnsi="宋体" w:cs="宋体"/>
          <w:sz w:val="24"/>
        </w:rPr>
        <w:t>、中标通知书、投标文件、招标文件及本合同之所有附件均为本合同的有效组成部份，与本合</w:t>
      </w:r>
      <w:r>
        <w:rPr>
          <w:rFonts w:ascii="宋体" w:hAnsi="宋体" w:cs="宋体"/>
          <w:sz w:val="24"/>
        </w:rPr>
        <w:t xml:space="preserve"> </w:t>
      </w:r>
      <w:r>
        <w:rPr>
          <w:rFonts w:hint="eastAsia" w:ascii="宋体" w:hAnsi="宋体" w:cs="宋体"/>
          <w:sz w:val="24"/>
        </w:rPr>
        <w:t>同具有同样法律效力，解释的顺序以文件生成时间在后的为准。</w:t>
      </w:r>
    </w:p>
    <w:p>
      <w:pPr>
        <w:autoSpaceDE w:val="0"/>
        <w:autoSpaceDN w:val="0"/>
        <w:adjustRightInd w:val="0"/>
        <w:spacing w:line="360" w:lineRule="auto"/>
        <w:ind w:firstLine="480" w:firstLineChars="200"/>
        <w:rPr>
          <w:rFonts w:ascii="宋体" w:cs="宋体"/>
          <w:sz w:val="24"/>
        </w:rPr>
      </w:pPr>
      <w:r>
        <w:rPr>
          <w:rFonts w:ascii="宋体" w:hAnsi="宋体" w:cs="宋体"/>
          <w:sz w:val="24"/>
        </w:rPr>
        <w:t>4</w:t>
      </w:r>
      <w:r>
        <w:rPr>
          <w:rFonts w:hint="eastAsia" w:ascii="宋体" w:hAnsi="宋体" w:cs="宋体"/>
          <w:sz w:val="24"/>
        </w:rPr>
        <w:t>、本合同正本五份，具有同等法律效力，省政府采购监管处、卖方、招标代理机机各执一份，</w:t>
      </w:r>
      <w:r>
        <w:rPr>
          <w:rFonts w:ascii="宋体" w:hAnsi="宋体" w:cs="宋体"/>
          <w:sz w:val="24"/>
        </w:rPr>
        <w:t xml:space="preserve"> </w:t>
      </w:r>
      <w:r>
        <w:rPr>
          <w:rFonts w:hint="eastAsia" w:ascii="宋体" w:hAnsi="宋体" w:cs="宋体"/>
          <w:sz w:val="24"/>
        </w:rPr>
        <w:t>买方存两份，合同自签字之日起即时生效。</w:t>
      </w:r>
    </w:p>
    <w:p>
      <w:pPr>
        <w:autoSpaceDE w:val="0"/>
        <w:autoSpaceDN w:val="0"/>
        <w:adjustRightInd w:val="0"/>
        <w:spacing w:line="360" w:lineRule="auto"/>
        <w:ind w:firstLine="480" w:firstLineChars="200"/>
        <w:rPr>
          <w:rFonts w:ascii="宋体" w:cs="宋体"/>
          <w:sz w:val="24"/>
        </w:rPr>
      </w:pPr>
      <w:r>
        <w:rPr>
          <w:rFonts w:ascii="宋体" w:hAnsi="宋体" w:cs="宋体"/>
          <w:sz w:val="24"/>
        </w:rPr>
        <w:t>5</w:t>
      </w:r>
      <w:r>
        <w:rPr>
          <w:rFonts w:hint="eastAsia" w:ascii="宋体" w:hAnsi="宋体" w:cs="宋体"/>
          <w:sz w:val="24"/>
        </w:rPr>
        <w:t>、在执行本合同的过程中，所有经买卖双方签署确认的文件（包括会议纪要、补充协议、合同</w:t>
      </w:r>
      <w:r>
        <w:rPr>
          <w:rFonts w:ascii="宋体" w:hAnsi="宋体" w:cs="宋体"/>
          <w:sz w:val="24"/>
        </w:rPr>
        <w:t xml:space="preserve"> </w:t>
      </w:r>
      <w:r>
        <w:rPr>
          <w:rFonts w:hint="eastAsia" w:ascii="宋体" w:hAnsi="宋体" w:cs="宋体"/>
          <w:sz w:val="24"/>
        </w:rPr>
        <w:t>修改书、往来信函等）均为本合同的有效组成部份，其生效日期为双方均签字盖章或确认之日期。</w:t>
      </w:r>
    </w:p>
    <w:p>
      <w:pPr>
        <w:autoSpaceDE w:val="0"/>
        <w:autoSpaceDN w:val="0"/>
        <w:adjustRightInd w:val="0"/>
        <w:spacing w:line="360" w:lineRule="auto"/>
        <w:ind w:firstLine="480" w:firstLineChars="200"/>
        <w:rPr>
          <w:rFonts w:ascii="宋体" w:cs="宋体"/>
          <w:sz w:val="24"/>
        </w:rPr>
      </w:pPr>
      <w:r>
        <w:rPr>
          <w:rFonts w:ascii="宋体" w:hAnsi="宋体" w:cs="宋体"/>
          <w:sz w:val="24"/>
        </w:rPr>
        <w:t>6</w:t>
      </w:r>
      <w:r>
        <w:rPr>
          <w:rFonts w:hint="eastAsia" w:ascii="宋体" w:hAnsi="宋体" w:cs="宋体"/>
          <w:sz w:val="24"/>
        </w:rPr>
        <w:t>、附价目表。</w:t>
      </w:r>
    </w:p>
    <w:p>
      <w:pPr>
        <w:kinsoku w:val="0"/>
        <w:overflowPunct w:val="0"/>
        <w:spacing w:line="260" w:lineRule="exact"/>
        <w:rPr>
          <w:rFonts w:ascii="宋体" w:cs="宋体"/>
          <w:sz w:val="24"/>
        </w:rPr>
      </w:pPr>
    </w:p>
    <w:p>
      <w:pPr>
        <w:pStyle w:val="9"/>
        <w:kinsoku w:val="0"/>
        <w:overflowPunct w:val="0"/>
        <w:ind w:left="760"/>
        <w:rPr>
          <w:rFonts w:cs="宋体"/>
          <w:sz w:val="24"/>
        </w:rPr>
      </w:pPr>
      <w:r>
        <w:rPr>
          <w:rFonts w:hint="eastAsia" w:cs="宋体"/>
          <w:sz w:val="24"/>
        </w:rPr>
        <w:t>以下</w:t>
      </w:r>
      <w:r>
        <w:rPr>
          <w:rFonts w:hint="eastAsia" w:cs="宋体"/>
          <w:spacing w:val="-3"/>
          <w:sz w:val="24"/>
        </w:rPr>
        <w:t>为</w:t>
      </w:r>
      <w:r>
        <w:rPr>
          <w:rFonts w:hint="eastAsia" w:cs="宋体"/>
          <w:sz w:val="24"/>
        </w:rPr>
        <w:t>签</w:t>
      </w:r>
      <w:r>
        <w:rPr>
          <w:rFonts w:hint="eastAsia" w:cs="宋体"/>
          <w:spacing w:val="-3"/>
          <w:sz w:val="24"/>
        </w:rPr>
        <w:t>名</w:t>
      </w:r>
      <w:r>
        <w:rPr>
          <w:rFonts w:hint="eastAsia" w:cs="宋体"/>
          <w:sz w:val="24"/>
        </w:rPr>
        <w:t>、</w:t>
      </w:r>
      <w:r>
        <w:rPr>
          <w:rFonts w:hint="eastAsia" w:cs="宋体"/>
          <w:spacing w:val="-3"/>
          <w:sz w:val="24"/>
        </w:rPr>
        <w:t>盖</w:t>
      </w:r>
      <w:r>
        <w:rPr>
          <w:rFonts w:hint="eastAsia" w:cs="宋体"/>
          <w:sz w:val="24"/>
        </w:rPr>
        <w:t>章</w:t>
      </w:r>
      <w:r>
        <w:rPr>
          <w:rFonts w:hint="eastAsia" w:cs="宋体"/>
          <w:spacing w:val="-3"/>
          <w:sz w:val="24"/>
        </w:rPr>
        <w:t>处</w:t>
      </w:r>
      <w:r>
        <w:rPr>
          <w:rFonts w:hint="eastAsia" w:cs="宋体"/>
          <w:sz w:val="24"/>
        </w:rPr>
        <w:t>：</w:t>
      </w:r>
    </w:p>
    <w:p>
      <w:pPr>
        <w:kinsoku w:val="0"/>
        <w:overflowPunct w:val="0"/>
        <w:spacing w:line="170" w:lineRule="exact"/>
        <w:rPr>
          <w:rFonts w:ascii="宋体" w:cs="宋体"/>
          <w:sz w:val="24"/>
        </w:rPr>
      </w:pPr>
    </w:p>
    <w:p>
      <w:pPr>
        <w:kinsoku w:val="0"/>
        <w:overflowPunct w:val="0"/>
        <w:spacing w:line="200" w:lineRule="exact"/>
        <w:rPr>
          <w:rFonts w:ascii="宋体" w:cs="宋体"/>
          <w:sz w:val="24"/>
        </w:rPr>
      </w:pPr>
    </w:p>
    <w:p>
      <w:pPr>
        <w:kinsoku w:val="0"/>
        <w:overflowPunct w:val="0"/>
        <w:spacing w:line="200" w:lineRule="exact"/>
        <w:rPr>
          <w:rFonts w:ascii="宋体" w:cs="宋体"/>
          <w:sz w:val="24"/>
        </w:rPr>
      </w:pPr>
    </w:p>
    <w:tbl>
      <w:tblPr>
        <w:tblStyle w:val="18"/>
        <w:tblW w:w="9962" w:type="dxa"/>
        <w:tblInd w:w="0" w:type="dxa"/>
        <w:tblLayout w:type="fixed"/>
        <w:tblCellMar>
          <w:top w:w="0" w:type="dxa"/>
          <w:left w:w="108" w:type="dxa"/>
          <w:bottom w:w="0" w:type="dxa"/>
          <w:right w:w="108" w:type="dxa"/>
        </w:tblCellMar>
      </w:tblPr>
      <w:tblGrid>
        <w:gridCol w:w="5050"/>
        <w:gridCol w:w="4912"/>
      </w:tblGrid>
      <w:tr>
        <w:tblPrEx>
          <w:tblCellMar>
            <w:top w:w="0" w:type="dxa"/>
            <w:left w:w="108" w:type="dxa"/>
            <w:bottom w:w="0" w:type="dxa"/>
            <w:right w:w="108" w:type="dxa"/>
          </w:tblCellMar>
        </w:tblPrEx>
        <w:trPr>
          <w:trHeight w:val="749" w:hRule="exact"/>
        </w:trPr>
        <w:tc>
          <w:tcPr>
            <w:tcW w:w="5050" w:type="dxa"/>
            <w:tcBorders>
              <w:top w:val="nil"/>
              <w:left w:val="nil"/>
              <w:bottom w:val="nil"/>
              <w:right w:val="nil"/>
            </w:tcBorders>
            <w:noWrap w:val="0"/>
            <w:vAlign w:val="top"/>
          </w:tcPr>
          <w:p>
            <w:pPr>
              <w:pStyle w:val="39"/>
              <w:kinsoku w:val="0"/>
              <w:overflowPunct w:val="0"/>
              <w:spacing w:line="271" w:lineRule="exact"/>
              <w:ind w:left="230"/>
              <w:rPr>
                <w:rFonts w:ascii="宋体" w:cs="宋体"/>
              </w:rPr>
            </w:pPr>
            <w:r>
              <w:rPr>
                <w:rFonts w:hint="eastAsia" w:ascii="宋体" w:hAnsi="宋体" w:cs="宋体"/>
              </w:rPr>
              <w:t>买方</w:t>
            </w:r>
            <w:r>
              <w:rPr>
                <w:rFonts w:hint="eastAsia" w:ascii="宋体" w:hAnsi="宋体" w:cs="宋体"/>
                <w:spacing w:val="-3"/>
              </w:rPr>
              <w:t>：</w:t>
            </w:r>
            <w:r>
              <w:rPr>
                <w:rFonts w:hint="eastAsia" w:ascii="宋体" w:hAnsi="宋体" w:cs="宋体"/>
              </w:rPr>
              <w:t>广东省广州监狱</w:t>
            </w:r>
            <w:r>
              <w:rPr>
                <w:rFonts w:hint="eastAsia" w:ascii="宋体" w:hAnsi="宋体" w:cs="宋体"/>
                <w:spacing w:val="-3"/>
              </w:rPr>
              <w:t>（</w:t>
            </w:r>
            <w:r>
              <w:rPr>
                <w:rFonts w:hint="eastAsia" w:ascii="宋体" w:hAnsi="宋体" w:cs="宋体"/>
              </w:rPr>
              <w:t>盖章）</w:t>
            </w:r>
          </w:p>
        </w:tc>
        <w:tc>
          <w:tcPr>
            <w:tcW w:w="4912" w:type="dxa"/>
            <w:tcBorders>
              <w:top w:val="nil"/>
              <w:left w:val="nil"/>
              <w:bottom w:val="nil"/>
              <w:right w:val="nil"/>
            </w:tcBorders>
            <w:noWrap w:val="0"/>
            <w:vAlign w:val="top"/>
          </w:tcPr>
          <w:p>
            <w:pPr>
              <w:pStyle w:val="39"/>
              <w:tabs>
                <w:tab w:val="left" w:pos="3586"/>
              </w:tabs>
              <w:kinsoku w:val="0"/>
              <w:overflowPunct w:val="0"/>
              <w:spacing w:line="271" w:lineRule="exact"/>
              <w:ind w:left="645"/>
              <w:rPr>
                <w:rFonts w:ascii="宋体" w:cs="宋体"/>
              </w:rPr>
            </w:pPr>
            <w:r>
              <w:rPr>
                <w:rFonts w:hint="eastAsia" w:ascii="宋体" w:hAnsi="宋体" w:cs="宋体"/>
              </w:rPr>
              <w:t>卖方：</w:t>
            </w:r>
            <w:r>
              <w:rPr>
                <w:rFonts w:ascii="宋体" w:cs="宋体"/>
              </w:rPr>
              <w:tab/>
            </w:r>
            <w:r>
              <w:rPr>
                <w:rFonts w:hint="eastAsia" w:ascii="宋体" w:hAnsi="宋体" w:cs="宋体"/>
              </w:rPr>
              <w:t>（</w:t>
            </w:r>
            <w:r>
              <w:rPr>
                <w:rFonts w:hint="eastAsia" w:ascii="宋体" w:hAnsi="宋体" w:cs="宋体"/>
                <w:spacing w:val="-3"/>
              </w:rPr>
              <w:t>盖</w:t>
            </w:r>
            <w:r>
              <w:rPr>
                <w:rFonts w:hint="eastAsia" w:ascii="宋体" w:hAnsi="宋体" w:cs="宋体"/>
              </w:rPr>
              <w:t>章）</w:t>
            </w:r>
          </w:p>
        </w:tc>
      </w:tr>
      <w:tr>
        <w:tblPrEx>
          <w:tblCellMar>
            <w:top w:w="0" w:type="dxa"/>
            <w:left w:w="108" w:type="dxa"/>
            <w:bottom w:w="0" w:type="dxa"/>
            <w:right w:w="108" w:type="dxa"/>
          </w:tblCellMar>
        </w:tblPrEx>
        <w:trPr>
          <w:trHeight w:val="1108" w:hRule="exact"/>
        </w:trPr>
        <w:tc>
          <w:tcPr>
            <w:tcW w:w="5050"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spacing w:line="200" w:lineRule="exact"/>
              <w:rPr>
                <w:rFonts w:ascii="宋体" w:cs="宋体"/>
              </w:rPr>
            </w:pPr>
          </w:p>
          <w:p>
            <w:pPr>
              <w:pStyle w:val="39"/>
              <w:kinsoku w:val="0"/>
              <w:overflowPunct w:val="0"/>
              <w:ind w:left="230"/>
              <w:rPr>
                <w:rFonts w:ascii="宋体" w:cs="宋体"/>
              </w:rPr>
            </w:pPr>
            <w:r>
              <w:rPr>
                <w:rFonts w:hint="eastAsia" w:ascii="宋体" w:hAnsi="宋体" w:cs="宋体"/>
              </w:rPr>
              <w:t>法定</w:t>
            </w:r>
            <w:r>
              <w:rPr>
                <w:rFonts w:hint="eastAsia" w:ascii="宋体" w:hAnsi="宋体" w:cs="宋体"/>
                <w:spacing w:val="-3"/>
              </w:rPr>
              <w:t>代</w:t>
            </w:r>
            <w:r>
              <w:rPr>
                <w:rFonts w:hint="eastAsia" w:ascii="宋体" w:hAnsi="宋体" w:cs="宋体"/>
              </w:rPr>
              <w:t>表</w:t>
            </w:r>
            <w:r>
              <w:rPr>
                <w:rFonts w:hint="eastAsia" w:ascii="宋体" w:hAnsi="宋体" w:cs="宋体"/>
                <w:spacing w:val="-3"/>
              </w:rPr>
              <w:t>人</w:t>
            </w:r>
            <w:r>
              <w:rPr>
                <w:rFonts w:hint="eastAsia" w:ascii="宋体" w:hAnsi="宋体" w:cs="宋体"/>
              </w:rPr>
              <w:t>：</w:t>
            </w:r>
          </w:p>
        </w:tc>
        <w:tc>
          <w:tcPr>
            <w:tcW w:w="4912"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spacing w:line="200" w:lineRule="exact"/>
              <w:rPr>
                <w:rFonts w:ascii="宋体" w:cs="宋体"/>
              </w:rPr>
            </w:pPr>
          </w:p>
          <w:p>
            <w:pPr>
              <w:pStyle w:val="39"/>
              <w:kinsoku w:val="0"/>
              <w:overflowPunct w:val="0"/>
              <w:ind w:left="645"/>
              <w:rPr>
                <w:rFonts w:ascii="宋体" w:cs="宋体"/>
              </w:rPr>
            </w:pPr>
            <w:r>
              <w:rPr>
                <w:rFonts w:hint="eastAsia" w:ascii="宋体" w:hAnsi="宋体" w:cs="宋体"/>
              </w:rPr>
              <w:t>法定</w:t>
            </w:r>
            <w:r>
              <w:rPr>
                <w:rFonts w:hint="eastAsia" w:ascii="宋体" w:hAnsi="宋体" w:cs="宋体"/>
                <w:spacing w:val="-3"/>
              </w:rPr>
              <w:t>代</w:t>
            </w:r>
            <w:r>
              <w:rPr>
                <w:rFonts w:hint="eastAsia" w:ascii="宋体" w:hAnsi="宋体" w:cs="宋体"/>
              </w:rPr>
              <w:t>表</w:t>
            </w:r>
            <w:r>
              <w:rPr>
                <w:rFonts w:hint="eastAsia" w:ascii="宋体" w:hAnsi="宋体" w:cs="宋体"/>
                <w:spacing w:val="-3"/>
              </w:rPr>
              <w:t>人</w:t>
            </w:r>
            <w:r>
              <w:rPr>
                <w:rFonts w:hint="eastAsia" w:ascii="宋体" w:hAnsi="宋体" w:cs="宋体"/>
              </w:rPr>
              <w:t>：</w:t>
            </w:r>
          </w:p>
        </w:tc>
      </w:tr>
      <w:tr>
        <w:tblPrEx>
          <w:tblCellMar>
            <w:top w:w="0" w:type="dxa"/>
            <w:left w:w="108" w:type="dxa"/>
            <w:bottom w:w="0" w:type="dxa"/>
            <w:right w:w="108" w:type="dxa"/>
          </w:tblCellMar>
        </w:tblPrEx>
        <w:trPr>
          <w:trHeight w:val="1003" w:hRule="exact"/>
        </w:trPr>
        <w:tc>
          <w:tcPr>
            <w:tcW w:w="5050" w:type="dxa"/>
            <w:tcBorders>
              <w:top w:val="nil"/>
              <w:left w:val="nil"/>
              <w:bottom w:val="nil"/>
              <w:right w:val="nil"/>
            </w:tcBorders>
            <w:noWrap w:val="0"/>
            <w:vAlign w:val="top"/>
          </w:tcPr>
          <w:p>
            <w:pPr>
              <w:pStyle w:val="39"/>
              <w:kinsoku w:val="0"/>
              <w:overflowPunct w:val="0"/>
              <w:spacing w:line="120" w:lineRule="exact"/>
              <w:rPr>
                <w:rFonts w:ascii="宋体" w:cs="宋体"/>
              </w:rPr>
            </w:pPr>
          </w:p>
          <w:p>
            <w:pPr>
              <w:pStyle w:val="39"/>
              <w:kinsoku w:val="0"/>
              <w:overflowPunct w:val="0"/>
              <w:spacing w:line="200" w:lineRule="exact"/>
              <w:rPr>
                <w:rFonts w:ascii="宋体" w:cs="宋体"/>
              </w:rPr>
            </w:pPr>
          </w:p>
          <w:p>
            <w:pPr>
              <w:pStyle w:val="39"/>
              <w:kinsoku w:val="0"/>
              <w:overflowPunct w:val="0"/>
              <w:ind w:left="230"/>
              <w:rPr>
                <w:rFonts w:ascii="宋体" w:cs="宋体"/>
              </w:rPr>
            </w:pPr>
            <w:r>
              <w:rPr>
                <w:rFonts w:hint="eastAsia" w:ascii="宋体" w:hAnsi="宋体" w:cs="宋体"/>
              </w:rPr>
              <w:t>地址：</w:t>
            </w:r>
          </w:p>
        </w:tc>
        <w:tc>
          <w:tcPr>
            <w:tcW w:w="4912" w:type="dxa"/>
            <w:tcBorders>
              <w:top w:val="nil"/>
              <w:left w:val="nil"/>
              <w:bottom w:val="nil"/>
              <w:right w:val="nil"/>
            </w:tcBorders>
            <w:noWrap w:val="0"/>
            <w:vAlign w:val="top"/>
          </w:tcPr>
          <w:p>
            <w:pPr>
              <w:pStyle w:val="39"/>
              <w:kinsoku w:val="0"/>
              <w:overflowPunct w:val="0"/>
              <w:spacing w:line="120" w:lineRule="exact"/>
              <w:rPr>
                <w:rFonts w:ascii="宋体" w:cs="宋体"/>
              </w:rPr>
            </w:pPr>
          </w:p>
          <w:p>
            <w:pPr>
              <w:pStyle w:val="39"/>
              <w:kinsoku w:val="0"/>
              <w:overflowPunct w:val="0"/>
              <w:spacing w:line="200" w:lineRule="exact"/>
              <w:rPr>
                <w:rFonts w:ascii="宋体" w:cs="宋体"/>
              </w:rPr>
            </w:pPr>
          </w:p>
          <w:p>
            <w:pPr>
              <w:pStyle w:val="39"/>
              <w:kinsoku w:val="0"/>
              <w:overflowPunct w:val="0"/>
              <w:ind w:left="645"/>
              <w:rPr>
                <w:rFonts w:ascii="宋体" w:cs="宋体"/>
              </w:rPr>
            </w:pPr>
            <w:r>
              <w:rPr>
                <w:rFonts w:hint="eastAsia" w:ascii="宋体" w:hAnsi="宋体" w:cs="宋体"/>
              </w:rPr>
              <w:t>地址：</w:t>
            </w:r>
          </w:p>
        </w:tc>
      </w:tr>
      <w:tr>
        <w:tblPrEx>
          <w:tblCellMar>
            <w:top w:w="0" w:type="dxa"/>
            <w:left w:w="108" w:type="dxa"/>
            <w:bottom w:w="0" w:type="dxa"/>
            <w:right w:w="108" w:type="dxa"/>
          </w:tblCellMar>
        </w:tblPrEx>
        <w:trPr>
          <w:trHeight w:val="895" w:hRule="exact"/>
        </w:trPr>
        <w:tc>
          <w:tcPr>
            <w:tcW w:w="5050" w:type="dxa"/>
            <w:tcBorders>
              <w:top w:val="nil"/>
              <w:left w:val="nil"/>
              <w:bottom w:val="nil"/>
              <w:right w:val="nil"/>
            </w:tcBorders>
            <w:noWrap w:val="0"/>
            <w:vAlign w:val="top"/>
          </w:tcPr>
          <w:p>
            <w:pPr>
              <w:pStyle w:val="39"/>
              <w:kinsoku w:val="0"/>
              <w:overflowPunct w:val="0"/>
              <w:spacing w:line="260" w:lineRule="exact"/>
              <w:rPr>
                <w:rFonts w:ascii="宋体" w:cs="宋体"/>
              </w:rPr>
            </w:pPr>
          </w:p>
          <w:p>
            <w:pPr>
              <w:pStyle w:val="39"/>
              <w:kinsoku w:val="0"/>
              <w:overflowPunct w:val="0"/>
              <w:ind w:left="230"/>
              <w:rPr>
                <w:rFonts w:ascii="宋体" w:cs="宋体"/>
              </w:rPr>
            </w:pPr>
            <w:r>
              <w:rPr>
                <w:rFonts w:hint="eastAsia" w:ascii="宋体" w:hAnsi="宋体" w:cs="宋体"/>
              </w:rPr>
              <w:t>业务</w:t>
            </w:r>
            <w:r>
              <w:rPr>
                <w:rFonts w:hint="eastAsia" w:ascii="宋体" w:hAnsi="宋体" w:cs="宋体"/>
                <w:spacing w:val="-3"/>
              </w:rPr>
              <w:t>联</w:t>
            </w:r>
            <w:r>
              <w:rPr>
                <w:rFonts w:hint="eastAsia" w:ascii="宋体" w:hAnsi="宋体" w:cs="宋体"/>
              </w:rPr>
              <w:t>系</w:t>
            </w:r>
            <w:r>
              <w:rPr>
                <w:rFonts w:hint="eastAsia" w:ascii="宋体" w:hAnsi="宋体" w:cs="宋体"/>
                <w:spacing w:val="-3"/>
              </w:rPr>
              <w:t>人</w:t>
            </w:r>
            <w:r>
              <w:rPr>
                <w:rFonts w:ascii="宋体" w:hAnsi="宋体" w:cs="宋体"/>
              </w:rPr>
              <w:t>/</w:t>
            </w:r>
            <w:r>
              <w:rPr>
                <w:rFonts w:hint="eastAsia" w:ascii="宋体" w:hAnsi="宋体" w:cs="宋体"/>
                <w:spacing w:val="-3"/>
              </w:rPr>
              <w:t>电</w:t>
            </w:r>
            <w:r>
              <w:rPr>
                <w:rFonts w:hint="eastAsia" w:ascii="宋体" w:hAnsi="宋体" w:cs="宋体"/>
              </w:rPr>
              <w:t>话：</w:t>
            </w:r>
          </w:p>
        </w:tc>
        <w:tc>
          <w:tcPr>
            <w:tcW w:w="4912" w:type="dxa"/>
            <w:tcBorders>
              <w:top w:val="nil"/>
              <w:left w:val="nil"/>
              <w:bottom w:val="nil"/>
              <w:right w:val="nil"/>
            </w:tcBorders>
            <w:noWrap w:val="0"/>
            <w:vAlign w:val="top"/>
          </w:tcPr>
          <w:p>
            <w:pPr>
              <w:pStyle w:val="39"/>
              <w:kinsoku w:val="0"/>
              <w:overflowPunct w:val="0"/>
              <w:spacing w:line="260" w:lineRule="exact"/>
              <w:rPr>
                <w:rFonts w:ascii="宋体" w:cs="宋体"/>
              </w:rPr>
            </w:pPr>
          </w:p>
          <w:p>
            <w:pPr>
              <w:pStyle w:val="39"/>
              <w:kinsoku w:val="0"/>
              <w:overflowPunct w:val="0"/>
              <w:ind w:left="645"/>
              <w:rPr>
                <w:rFonts w:ascii="宋体" w:cs="宋体"/>
              </w:rPr>
            </w:pPr>
            <w:r>
              <w:rPr>
                <w:rFonts w:hint="eastAsia" w:ascii="宋体" w:hAnsi="宋体" w:cs="宋体"/>
              </w:rPr>
              <w:t>业务</w:t>
            </w:r>
            <w:r>
              <w:rPr>
                <w:rFonts w:hint="eastAsia" w:ascii="宋体" w:hAnsi="宋体" w:cs="宋体"/>
                <w:spacing w:val="-3"/>
              </w:rPr>
              <w:t>联</w:t>
            </w:r>
            <w:r>
              <w:rPr>
                <w:rFonts w:hint="eastAsia" w:ascii="宋体" w:hAnsi="宋体" w:cs="宋体"/>
              </w:rPr>
              <w:t>系</w:t>
            </w:r>
            <w:r>
              <w:rPr>
                <w:rFonts w:hint="eastAsia" w:ascii="宋体" w:hAnsi="宋体" w:cs="宋体"/>
                <w:spacing w:val="-3"/>
              </w:rPr>
              <w:t>人</w:t>
            </w:r>
            <w:r>
              <w:rPr>
                <w:rFonts w:ascii="宋体" w:hAnsi="宋体" w:cs="宋体"/>
              </w:rPr>
              <w:t>/</w:t>
            </w:r>
            <w:r>
              <w:rPr>
                <w:rFonts w:hint="eastAsia" w:ascii="宋体" w:hAnsi="宋体" w:cs="宋体"/>
                <w:spacing w:val="-3"/>
              </w:rPr>
              <w:t>电</w:t>
            </w:r>
            <w:r>
              <w:rPr>
                <w:rFonts w:hint="eastAsia" w:ascii="宋体" w:hAnsi="宋体" w:cs="宋体"/>
              </w:rPr>
              <w:t>话：</w:t>
            </w:r>
          </w:p>
        </w:tc>
      </w:tr>
      <w:tr>
        <w:tblPrEx>
          <w:tblCellMar>
            <w:top w:w="0" w:type="dxa"/>
            <w:left w:w="108" w:type="dxa"/>
            <w:bottom w:w="0" w:type="dxa"/>
            <w:right w:w="108" w:type="dxa"/>
          </w:tblCellMar>
        </w:tblPrEx>
        <w:trPr>
          <w:trHeight w:val="797" w:hRule="exact"/>
        </w:trPr>
        <w:tc>
          <w:tcPr>
            <w:tcW w:w="5050" w:type="dxa"/>
            <w:tcBorders>
              <w:top w:val="nil"/>
              <w:left w:val="nil"/>
              <w:bottom w:val="nil"/>
              <w:right w:val="nil"/>
            </w:tcBorders>
            <w:noWrap w:val="0"/>
            <w:vAlign w:val="top"/>
          </w:tcPr>
          <w:p>
            <w:pPr>
              <w:pStyle w:val="39"/>
              <w:kinsoku w:val="0"/>
              <w:overflowPunct w:val="0"/>
              <w:spacing w:line="200" w:lineRule="exact"/>
              <w:rPr>
                <w:rFonts w:ascii="宋体" w:cs="宋体"/>
              </w:rPr>
            </w:pPr>
          </w:p>
          <w:p>
            <w:pPr>
              <w:pStyle w:val="39"/>
              <w:kinsoku w:val="0"/>
              <w:overflowPunct w:val="0"/>
              <w:ind w:left="230"/>
              <w:rPr>
                <w:rFonts w:ascii="宋体" w:hAnsi="宋体" w:cs="宋体"/>
              </w:rPr>
            </w:pPr>
            <w:r>
              <w:rPr>
                <w:rFonts w:hint="eastAsia" w:ascii="宋体" w:hAnsi="宋体" w:cs="宋体"/>
              </w:rPr>
              <w:t>传真</w:t>
            </w:r>
            <w:r>
              <w:rPr>
                <w:rFonts w:ascii="宋体" w:hAnsi="宋体" w:cs="宋体"/>
              </w:rPr>
              <w:t>:</w:t>
            </w:r>
          </w:p>
        </w:tc>
        <w:tc>
          <w:tcPr>
            <w:tcW w:w="4912" w:type="dxa"/>
            <w:tcBorders>
              <w:top w:val="nil"/>
              <w:left w:val="nil"/>
              <w:bottom w:val="nil"/>
              <w:right w:val="nil"/>
            </w:tcBorders>
            <w:noWrap w:val="0"/>
            <w:vAlign w:val="top"/>
          </w:tcPr>
          <w:p>
            <w:pPr>
              <w:pStyle w:val="39"/>
              <w:kinsoku w:val="0"/>
              <w:overflowPunct w:val="0"/>
              <w:spacing w:line="200" w:lineRule="exact"/>
              <w:rPr>
                <w:rFonts w:ascii="宋体" w:cs="宋体"/>
              </w:rPr>
            </w:pPr>
          </w:p>
          <w:p>
            <w:pPr>
              <w:pStyle w:val="39"/>
              <w:kinsoku w:val="0"/>
              <w:overflowPunct w:val="0"/>
              <w:ind w:left="645"/>
              <w:rPr>
                <w:rFonts w:ascii="宋体" w:cs="宋体"/>
              </w:rPr>
            </w:pPr>
            <w:r>
              <w:rPr>
                <w:rFonts w:hint="eastAsia" w:ascii="宋体" w:hAnsi="宋体" w:cs="宋体"/>
              </w:rPr>
              <w:t>传真：</w:t>
            </w:r>
          </w:p>
        </w:tc>
      </w:tr>
      <w:tr>
        <w:tblPrEx>
          <w:tblCellMar>
            <w:top w:w="0" w:type="dxa"/>
            <w:left w:w="108" w:type="dxa"/>
            <w:bottom w:w="0" w:type="dxa"/>
            <w:right w:w="108" w:type="dxa"/>
          </w:tblCellMar>
        </w:tblPrEx>
        <w:trPr>
          <w:trHeight w:val="760" w:hRule="exact"/>
        </w:trPr>
        <w:tc>
          <w:tcPr>
            <w:tcW w:w="5050"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ind w:left="230"/>
              <w:rPr>
                <w:rFonts w:ascii="宋体" w:cs="宋体"/>
              </w:rPr>
            </w:pPr>
            <w:r>
              <w:rPr>
                <w:rFonts w:hint="eastAsia" w:ascii="宋体" w:hAnsi="宋体" w:cs="宋体"/>
              </w:rPr>
              <w:t>开户</w:t>
            </w:r>
            <w:r>
              <w:rPr>
                <w:rFonts w:hint="eastAsia" w:ascii="宋体" w:hAnsi="宋体" w:cs="宋体"/>
                <w:spacing w:val="-3"/>
              </w:rPr>
              <w:t>银</w:t>
            </w:r>
            <w:r>
              <w:rPr>
                <w:rFonts w:hint="eastAsia" w:ascii="宋体" w:hAnsi="宋体" w:cs="宋体"/>
              </w:rPr>
              <w:t>行：</w:t>
            </w:r>
          </w:p>
        </w:tc>
        <w:tc>
          <w:tcPr>
            <w:tcW w:w="4912"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ind w:left="645"/>
              <w:rPr>
                <w:rFonts w:ascii="宋体" w:cs="宋体"/>
              </w:rPr>
            </w:pPr>
            <w:r>
              <w:rPr>
                <w:rFonts w:hint="eastAsia" w:ascii="宋体" w:hAnsi="宋体" w:cs="宋体"/>
              </w:rPr>
              <w:t>开户</w:t>
            </w:r>
            <w:r>
              <w:rPr>
                <w:rFonts w:hint="eastAsia" w:ascii="宋体" w:hAnsi="宋体" w:cs="宋体"/>
                <w:spacing w:val="-3"/>
              </w:rPr>
              <w:t>银</w:t>
            </w:r>
            <w:r>
              <w:rPr>
                <w:rFonts w:hint="eastAsia" w:ascii="宋体" w:hAnsi="宋体" w:cs="宋体"/>
              </w:rPr>
              <w:t>行：</w:t>
            </w:r>
          </w:p>
        </w:tc>
      </w:tr>
      <w:tr>
        <w:tblPrEx>
          <w:tblCellMar>
            <w:top w:w="0" w:type="dxa"/>
            <w:left w:w="108" w:type="dxa"/>
            <w:bottom w:w="0" w:type="dxa"/>
            <w:right w:w="108" w:type="dxa"/>
          </w:tblCellMar>
        </w:tblPrEx>
        <w:trPr>
          <w:trHeight w:val="762" w:hRule="exact"/>
        </w:trPr>
        <w:tc>
          <w:tcPr>
            <w:tcW w:w="5050"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ind w:left="230"/>
              <w:rPr>
                <w:rFonts w:ascii="宋体" w:cs="宋体"/>
              </w:rPr>
            </w:pPr>
            <w:r>
              <w:rPr>
                <w:rFonts w:hint="eastAsia" w:ascii="宋体" w:hAnsi="宋体" w:cs="宋体"/>
              </w:rPr>
              <w:t>帐号：</w:t>
            </w:r>
          </w:p>
        </w:tc>
        <w:tc>
          <w:tcPr>
            <w:tcW w:w="4912"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kinsoku w:val="0"/>
              <w:overflowPunct w:val="0"/>
              <w:ind w:left="645"/>
              <w:rPr>
                <w:rFonts w:ascii="宋体" w:cs="宋体"/>
              </w:rPr>
            </w:pPr>
            <w:r>
              <w:rPr>
                <w:rFonts w:hint="eastAsia" w:ascii="宋体" w:hAnsi="宋体" w:cs="宋体"/>
              </w:rPr>
              <w:t>帐号：</w:t>
            </w:r>
          </w:p>
        </w:tc>
      </w:tr>
      <w:tr>
        <w:tblPrEx>
          <w:tblCellMar>
            <w:top w:w="0" w:type="dxa"/>
            <w:left w:w="108" w:type="dxa"/>
            <w:bottom w:w="0" w:type="dxa"/>
            <w:right w:w="108" w:type="dxa"/>
          </w:tblCellMar>
        </w:tblPrEx>
        <w:trPr>
          <w:trHeight w:val="773" w:hRule="exact"/>
        </w:trPr>
        <w:tc>
          <w:tcPr>
            <w:tcW w:w="5050"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tabs>
                <w:tab w:val="left" w:pos="1701"/>
                <w:tab w:val="left" w:pos="2332"/>
                <w:tab w:val="left" w:pos="2961"/>
              </w:tabs>
              <w:kinsoku w:val="0"/>
              <w:overflowPunct w:val="0"/>
              <w:ind w:left="230"/>
              <w:rPr>
                <w:rFonts w:ascii="宋体" w:cs="宋体"/>
              </w:rPr>
            </w:pPr>
            <w:r>
              <w:rPr>
                <w:rFonts w:hint="eastAsia" w:ascii="宋体" w:hAnsi="宋体" w:cs="宋体"/>
              </w:rPr>
              <w:t>签约</w:t>
            </w:r>
            <w:r>
              <w:rPr>
                <w:rFonts w:hint="eastAsia" w:ascii="宋体" w:hAnsi="宋体" w:cs="宋体"/>
                <w:spacing w:val="-3"/>
              </w:rPr>
              <w:t>日</w:t>
            </w:r>
            <w:r>
              <w:rPr>
                <w:rFonts w:hint="eastAsia" w:ascii="宋体" w:hAnsi="宋体" w:cs="宋体"/>
              </w:rPr>
              <w:t>期：</w:t>
            </w:r>
            <w:r>
              <w:rPr>
                <w:rFonts w:ascii="宋体" w:cs="宋体"/>
              </w:rPr>
              <w:tab/>
            </w:r>
            <w:r>
              <w:rPr>
                <w:rFonts w:hint="eastAsia" w:ascii="宋体" w:hAnsi="宋体" w:cs="宋体"/>
              </w:rPr>
              <w:t>年</w:t>
            </w:r>
            <w:r>
              <w:rPr>
                <w:rFonts w:ascii="宋体" w:cs="宋体"/>
              </w:rPr>
              <w:tab/>
            </w:r>
            <w:r>
              <w:rPr>
                <w:rFonts w:hint="eastAsia" w:ascii="宋体" w:hAnsi="宋体" w:cs="宋体"/>
              </w:rPr>
              <w:t>月</w:t>
            </w:r>
            <w:r>
              <w:rPr>
                <w:rFonts w:ascii="宋体" w:cs="宋体"/>
              </w:rPr>
              <w:tab/>
            </w:r>
            <w:r>
              <w:rPr>
                <w:rFonts w:hint="eastAsia" w:ascii="宋体" w:hAnsi="宋体" w:cs="宋体"/>
              </w:rPr>
              <w:t>日</w:t>
            </w:r>
          </w:p>
        </w:tc>
        <w:tc>
          <w:tcPr>
            <w:tcW w:w="4912" w:type="dxa"/>
            <w:tcBorders>
              <w:top w:val="nil"/>
              <w:left w:val="nil"/>
              <w:bottom w:val="nil"/>
              <w:right w:val="nil"/>
            </w:tcBorders>
            <w:noWrap w:val="0"/>
            <w:vAlign w:val="top"/>
          </w:tcPr>
          <w:p>
            <w:pPr>
              <w:pStyle w:val="39"/>
              <w:kinsoku w:val="0"/>
              <w:overflowPunct w:val="0"/>
              <w:spacing w:line="170" w:lineRule="exact"/>
              <w:rPr>
                <w:rFonts w:ascii="宋体" w:cs="宋体"/>
              </w:rPr>
            </w:pPr>
          </w:p>
          <w:p>
            <w:pPr>
              <w:pStyle w:val="39"/>
              <w:tabs>
                <w:tab w:val="left" w:pos="2117"/>
                <w:tab w:val="left" w:pos="2748"/>
                <w:tab w:val="left" w:pos="3377"/>
              </w:tabs>
              <w:kinsoku w:val="0"/>
              <w:overflowPunct w:val="0"/>
              <w:ind w:left="645"/>
              <w:rPr>
                <w:rFonts w:ascii="宋体" w:cs="宋体"/>
              </w:rPr>
            </w:pPr>
            <w:r>
              <w:rPr>
                <w:rFonts w:hint="eastAsia" w:ascii="宋体" w:hAnsi="宋体" w:cs="宋体"/>
              </w:rPr>
              <w:t>签约</w:t>
            </w:r>
            <w:r>
              <w:rPr>
                <w:rFonts w:hint="eastAsia" w:ascii="宋体" w:hAnsi="宋体" w:cs="宋体"/>
                <w:spacing w:val="-3"/>
              </w:rPr>
              <w:t>日</w:t>
            </w:r>
            <w:r>
              <w:rPr>
                <w:rFonts w:hint="eastAsia" w:ascii="宋体" w:hAnsi="宋体" w:cs="宋体"/>
              </w:rPr>
              <w:t>期：</w:t>
            </w:r>
            <w:r>
              <w:rPr>
                <w:rFonts w:ascii="宋体" w:cs="宋体"/>
              </w:rPr>
              <w:tab/>
            </w:r>
            <w:r>
              <w:rPr>
                <w:rFonts w:hint="eastAsia" w:ascii="宋体" w:hAnsi="宋体" w:cs="宋体"/>
              </w:rPr>
              <w:t>年</w:t>
            </w:r>
            <w:r>
              <w:rPr>
                <w:rFonts w:ascii="宋体" w:cs="宋体"/>
              </w:rPr>
              <w:tab/>
            </w:r>
            <w:r>
              <w:rPr>
                <w:rFonts w:hint="eastAsia" w:ascii="宋体" w:hAnsi="宋体" w:cs="宋体"/>
              </w:rPr>
              <w:t>月</w:t>
            </w:r>
            <w:r>
              <w:rPr>
                <w:rFonts w:ascii="宋体" w:cs="宋体"/>
              </w:rPr>
              <w:tab/>
            </w:r>
            <w:r>
              <w:rPr>
                <w:rFonts w:hint="eastAsia" w:ascii="宋体" w:hAnsi="宋体" w:cs="宋体"/>
              </w:rPr>
              <w:t>日</w:t>
            </w:r>
          </w:p>
        </w:tc>
      </w:tr>
    </w:tbl>
    <w:p/>
    <w:p>
      <w:pPr>
        <w:snapToGrid w:val="0"/>
        <w:spacing w:line="360" w:lineRule="auto"/>
        <w:ind w:firstLine="4200" w:firstLineChars="2000"/>
        <w:rPr>
          <w:rFonts w:ascii="宋体" w:hAnsi="宋体"/>
          <w:szCs w:val="21"/>
        </w:rPr>
      </w:pPr>
    </w:p>
    <w:p>
      <w:pPr>
        <w:spacing w:before="156" w:beforeLines="50" w:after="156" w:afterLines="50" w:line="360" w:lineRule="auto"/>
        <w:jc w:val="center"/>
        <w:outlineLvl w:val="0"/>
        <w:rPr>
          <w:rFonts w:ascii="宋体" w:hAnsi="宋体"/>
          <w:b/>
          <w:bCs/>
          <w:sz w:val="28"/>
          <w:szCs w:val="28"/>
        </w:rPr>
      </w:pPr>
      <w:r>
        <w:rPr>
          <w:rFonts w:ascii="宋体" w:hAnsi="宋体"/>
          <w:b/>
          <w:bCs/>
          <w:sz w:val="28"/>
          <w:szCs w:val="28"/>
        </w:rPr>
        <w:br w:type="page"/>
      </w:r>
      <w:bookmarkStart w:id="15" w:name="_Toc30288"/>
      <w:r>
        <w:rPr>
          <w:rFonts w:hint="eastAsia" w:ascii="宋体" w:hAnsi="宋体"/>
          <w:b/>
          <w:bCs/>
          <w:sz w:val="28"/>
          <w:szCs w:val="28"/>
        </w:rPr>
        <w:t>第六章  投标文件格式</w:t>
      </w:r>
      <w:bookmarkEnd w:id="15"/>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8"/>
        <w:tblW w:w="10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5" w:hRule="atLeast"/>
          <w:jc w:val="center"/>
        </w:trPr>
        <w:tc>
          <w:tcPr>
            <w:tcW w:w="10682" w:type="dxa"/>
          </w:tcPr>
          <w:p>
            <w:pPr>
              <w:pStyle w:val="9"/>
              <w:spacing w:line="360" w:lineRule="auto"/>
              <w:rPr>
                <w:rFonts w:ascii="宋体" w:hAnsi="宋体"/>
                <w:b/>
                <w:kern w:val="2"/>
                <w:sz w:val="32"/>
              </w:rPr>
            </w:pPr>
          </w:p>
          <w:p>
            <w:pPr>
              <w:pStyle w:val="9"/>
              <w:spacing w:line="360" w:lineRule="auto"/>
              <w:rPr>
                <w:rFonts w:ascii="宋体" w:hAnsi="宋体"/>
                <w:b/>
                <w:kern w:val="2"/>
                <w:sz w:val="32"/>
              </w:rPr>
            </w:pPr>
          </w:p>
          <w:p>
            <w:pPr>
              <w:pStyle w:val="9"/>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9"/>
              <w:spacing w:line="360" w:lineRule="auto"/>
              <w:ind w:firstLine="3398" w:firstLineChars="651"/>
              <w:rPr>
                <w:rFonts w:hint="eastAsia" w:ascii="宋体" w:hAnsi="宋体"/>
                <w:b/>
                <w:kern w:val="2"/>
                <w:sz w:val="52"/>
                <w:szCs w:val="52"/>
              </w:rPr>
            </w:pPr>
          </w:p>
          <w:p>
            <w:pPr>
              <w:pStyle w:val="9"/>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9"/>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9"/>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9"/>
              <w:spacing w:line="360" w:lineRule="auto"/>
              <w:rPr>
                <w:rFonts w:ascii="宋体" w:hAnsi="宋体"/>
                <w:b/>
                <w:kern w:val="2"/>
                <w:sz w:val="32"/>
              </w:rPr>
            </w:pPr>
          </w:p>
          <w:p>
            <w:pPr>
              <w:pStyle w:val="9"/>
              <w:spacing w:line="400" w:lineRule="exact"/>
              <w:ind w:firstLine="900" w:firstLineChars="320"/>
              <w:rPr>
                <w:rFonts w:hint="eastAsia" w:ascii="宋体" w:hAnsi="宋体" w:eastAsia="宋体"/>
                <w:b/>
                <w:kern w:val="2"/>
                <w:sz w:val="28"/>
                <w:szCs w:val="28"/>
                <w:lang w:eastAsia="zh-CN"/>
              </w:rPr>
            </w:pPr>
            <w:r>
              <w:rPr>
                <w:rFonts w:hint="eastAsia" w:ascii="宋体" w:hAnsi="宋体"/>
                <w:b/>
                <w:kern w:val="2"/>
                <w:sz w:val="28"/>
                <w:szCs w:val="28"/>
              </w:rPr>
              <w:t>项目编号：</w:t>
            </w:r>
            <w:r>
              <w:rPr>
                <w:rFonts w:hint="eastAsia" w:ascii="宋体" w:hAnsi="宋体"/>
                <w:b/>
                <w:kern w:val="2"/>
                <w:sz w:val="28"/>
                <w:szCs w:val="28"/>
                <w:lang w:eastAsia="zh-CN"/>
              </w:rPr>
              <w:t>GZBC20HG12013-3</w:t>
            </w:r>
          </w:p>
          <w:p>
            <w:pPr>
              <w:pStyle w:val="9"/>
              <w:spacing w:line="400" w:lineRule="exact"/>
              <w:ind w:left="2287" w:leftChars="420" w:hanging="1405" w:hangingChars="500"/>
              <w:rPr>
                <w:rFonts w:hint="eastAsia" w:ascii="宋体" w:hAns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服刑人员生活物资--副食品（2019-2021年度）补充采购项目（重招第二次）</w:t>
            </w:r>
          </w:p>
          <w:p>
            <w:pPr>
              <w:pStyle w:val="9"/>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9"/>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9"/>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9"/>
              <w:spacing w:line="400" w:lineRule="exact"/>
              <w:ind w:firstLine="900" w:firstLineChars="320"/>
              <w:rPr>
                <w:rFonts w:ascii="宋体" w:hAnsi="宋体"/>
                <w:b/>
                <w:kern w:val="2"/>
                <w:sz w:val="28"/>
                <w:szCs w:val="28"/>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p>
            <w:pPr>
              <w:pStyle w:val="9"/>
              <w:spacing w:line="400" w:lineRule="exact"/>
              <w:rPr>
                <w:rFonts w:ascii="宋体" w:hAnsi="宋体"/>
                <w:b/>
                <w:kern w:val="2"/>
                <w:sz w:val="28"/>
                <w:szCs w:val="28"/>
              </w:rPr>
            </w:pPr>
          </w:p>
        </w:tc>
      </w:tr>
    </w:tbl>
    <w:p>
      <w:pPr>
        <w:rPr>
          <w:szCs w:val="21"/>
        </w:rPr>
      </w:pPr>
      <w:r>
        <w:rPr>
          <w:rFonts w:hint="eastAsia"/>
          <w:szCs w:val="21"/>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服刑人员生活物资--副食品（2019-2021年度）补充采购项目（重招第二次）</w:t>
      </w:r>
      <w:r>
        <w:rPr>
          <w:rFonts w:hint="eastAsia" w:ascii="宋体" w:hAnsi="宋体"/>
        </w:rPr>
        <w:t xml:space="preserve">    项目编号：</w:t>
      </w:r>
      <w:r>
        <w:rPr>
          <w:rFonts w:hint="eastAsia" w:ascii="宋体" w:hAnsi="宋体"/>
          <w:lang w:eastAsia="zh-CN"/>
        </w:rPr>
        <w:t>GZBC20HG12013-3</w:t>
      </w:r>
      <w:r>
        <w:rPr>
          <w:rFonts w:hint="eastAsia" w:ascii="宋体" w:hAnsi="宋体"/>
        </w:rPr>
        <w:t xml:space="preserve"> </w:t>
      </w:r>
    </w:p>
    <w:p>
      <w:pPr>
        <w:jc w:val="center"/>
        <w:rPr>
          <w:rFonts w:ascii="宋体" w:hAnsi="宋体"/>
          <w:b/>
          <w:sz w:val="24"/>
        </w:rPr>
      </w:pPr>
      <w:r>
        <w:rPr>
          <w:rFonts w:hint="eastAsia" w:ascii="宋体" w:hAnsi="宋体"/>
          <w:b/>
          <w:sz w:val="24"/>
        </w:rPr>
        <w:t xml:space="preserve">自 查 表 </w:t>
      </w:r>
    </w:p>
    <w:p>
      <w:pPr>
        <w:jc w:val="center"/>
        <w:rPr>
          <w:rFonts w:ascii="宋体" w:hAnsi="宋体"/>
          <w:b/>
          <w:sz w:val="24"/>
        </w:rPr>
      </w:pPr>
      <w:r>
        <w:rPr>
          <w:rFonts w:hint="eastAsia" w:ascii="宋体" w:hAnsi="宋体"/>
          <w:b/>
          <w:sz w:val="24"/>
        </w:rPr>
        <w:t>资格性/符合性自查表</w:t>
      </w:r>
    </w:p>
    <w:tbl>
      <w:tblPr>
        <w:tblStyle w:val="18"/>
        <w:tblW w:w="10046" w:type="dxa"/>
        <w:jc w:val="center"/>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20"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2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2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2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2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53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8"/>
              <w:adjustRightInd w:val="0"/>
              <w:snapToGrid w:val="0"/>
              <w:spacing w:before="0" w:beforeAutospacing="0" w:after="0" w:afterAutospacing="0"/>
              <w:jc w:val="center"/>
              <w:rPr>
                <w:b/>
                <w:sz w:val="21"/>
                <w:szCs w:val="21"/>
              </w:rPr>
            </w:pPr>
            <w:r>
              <w:rPr>
                <w:rFonts w:hint="eastAsia"/>
                <w:b/>
                <w:sz w:val="21"/>
                <w:szCs w:val="21"/>
              </w:rPr>
              <w:t>初步审查</w:t>
            </w:r>
          </w:p>
          <w:p>
            <w:pPr>
              <w:pStyle w:val="28"/>
              <w:adjustRightInd w:val="0"/>
              <w:snapToGrid w:val="0"/>
              <w:spacing w:before="0" w:beforeAutospacing="0" w:after="0" w:afterAutospacing="0"/>
              <w:jc w:val="both"/>
              <w:rPr>
                <w:b/>
                <w:bCs/>
                <w:sz w:val="21"/>
                <w:szCs w:val="21"/>
              </w:rPr>
            </w:pPr>
          </w:p>
          <w:p>
            <w:pPr>
              <w:pStyle w:val="28"/>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b/>
                <w:kern w:val="0"/>
                <w:szCs w:val="21"/>
              </w:rPr>
              <w:t>1.</w:t>
            </w:r>
            <w:r>
              <w:rPr>
                <w:rFonts w:hint="eastAsia" w:ascii="宋体" w:hAnsi="宋体"/>
                <w:bCs/>
                <w:szCs w:val="21"/>
              </w:rPr>
              <w:t>有效的企业法人营业执照（或事业法人登记证）、其他组织的营业执照或者民办非企业单位登记证书复印件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1"/>
              </w:rPr>
              <w:t>2.</w:t>
            </w:r>
            <w:r>
              <w:rPr>
                <w:rFonts w:ascii="宋体" w:hAnsi="宋体" w:cs="宋体"/>
                <w:szCs w:val="21"/>
              </w:rPr>
              <w:t>供应商必须具有良好的商业信誉和健全的财务会计制度（提供 2019 年的财务状况报告或者 2020 年基本户开户银行出具的资信证明）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0"/>
              </w:rPr>
              <w:t>3.</w:t>
            </w:r>
            <w:r>
              <w:rPr>
                <w:rFonts w:ascii="宋体" w:hAnsi="宋体" w:cs="宋体"/>
                <w:szCs w:val="21"/>
              </w:rPr>
              <w:t>供应商有依法缴纳税收和社会保障资金的良好记录（提供磋商截止之日前 6 个月任意 1 个月依法缴纳税收和社会保障资金相关证明材料；如依法免税和依法不需要缴纳社会保障资金，则须提供相应文件证明其依法免税和不需要缴纳社会保障资金）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0"/>
              </w:rPr>
              <w:t>4.</w:t>
            </w:r>
            <w:r>
              <w:rPr>
                <w:rFonts w:hint="eastAsia" w:ascii="宋体" w:hAnsi="宋体" w:cs="宋体"/>
                <w:szCs w:val="21"/>
              </w:rPr>
              <w:t>投标函（格式1）</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b/>
                <w:szCs w:val="21"/>
              </w:rPr>
              <w:t>5.</w:t>
            </w:r>
            <w:r>
              <w:rPr>
                <w:rFonts w:hint="eastAsia" w:ascii="宋体" w:hAnsi="宋体" w:cs="宋体"/>
                <w:szCs w:val="21"/>
              </w:rPr>
              <w:t>投标人资格声明函（格式2）</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Theme="minorEastAsia" w:hAnsiTheme="minorEastAsia" w:eastAsiaTheme="minorEastAsia" w:cstheme="minorEastAsia"/>
                <w:b/>
                <w:szCs w:val="21"/>
              </w:rPr>
              <w:t>6.</w:t>
            </w:r>
            <w:r>
              <w:rPr>
                <w:rFonts w:hint="eastAsia" w:asciiTheme="minorEastAsia" w:hAnsiTheme="minorEastAsia" w:eastAsiaTheme="minorEastAsia" w:cstheme="minorEastAsia"/>
                <w:bCs/>
                <w:szCs w:val="21"/>
              </w:rPr>
              <w:t>法定代表人</w:t>
            </w:r>
            <w:r>
              <w:rPr>
                <w:rFonts w:hint="eastAsia"/>
                <w:bCs/>
                <w:szCs w:val="21"/>
              </w:rPr>
              <w:t>证明书或法定代表人授权委托书</w:t>
            </w:r>
            <w:r>
              <w:rPr>
                <w:rFonts w:hint="eastAsia" w:ascii="宋体" w:hAnsi="宋体" w:cs="宋体"/>
                <w:szCs w:val="21"/>
              </w:rPr>
              <w:t>（格式3、4）</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CellMar>
            <w:top w:w="150" w:type="dxa"/>
            <w:left w:w="150" w:type="dxa"/>
            <w:bottom w:w="150" w:type="dxa"/>
            <w:right w:w="150" w:type="dxa"/>
          </w:tblCellMar>
        </w:tblPrEx>
        <w:trPr>
          <w:trHeight w:val="499" w:hRule="atLeast"/>
          <w:jc w:val="center"/>
        </w:trPr>
        <w:tc>
          <w:tcPr>
            <w:tcW w:w="907" w:type="dxa"/>
            <w:vMerge w:val="continue"/>
            <w:tcBorders>
              <w:left w:val="single" w:color="auto" w:sz="12" w:space="0"/>
              <w:right w:val="outset" w:color="111111" w:sz="6" w:space="0"/>
            </w:tcBorders>
            <w:vAlign w:val="center"/>
          </w:tcPr>
          <w:p>
            <w:pPr>
              <w:pStyle w:val="2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tabs>
                <w:tab w:val="left" w:pos="426"/>
              </w:tabs>
              <w:adjustRightInd w:val="0"/>
              <w:snapToGrid w:val="0"/>
              <w:spacing w:line="360" w:lineRule="auto"/>
              <w:rPr>
                <w:rFonts w:ascii="宋体" w:hAnsi="宋体" w:cs="宋体"/>
                <w:szCs w:val="21"/>
              </w:rPr>
            </w:pPr>
            <w:r>
              <w:rPr>
                <w:rFonts w:hint="eastAsia" w:ascii="宋体" w:hAnsi="宋体" w:cs="宋体"/>
                <w:b/>
                <w:bCs/>
                <w:szCs w:val="21"/>
              </w:rPr>
              <w:t>7.</w:t>
            </w:r>
            <w:r>
              <w:rPr>
                <w:rFonts w:hint="eastAsia" w:ascii="宋体" w:hAnsi="宋体"/>
                <w:bCs/>
                <w:szCs w:val="21"/>
              </w:rPr>
              <w:t>《公平竞争承诺书》复印件</w:t>
            </w:r>
            <w:r>
              <w:rPr>
                <w:rFonts w:hint="eastAsia" w:ascii="宋体" w:hAnsi="宋体" w:cs="宋体"/>
                <w:szCs w:val="21"/>
              </w:rPr>
              <w:t>（格式5）</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bl>
    <w:p>
      <w:pPr>
        <w:rPr>
          <w:rFonts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ascii="宋体" w:hAnsi="宋体"/>
          <w:b/>
          <w:szCs w:val="21"/>
        </w:rPr>
      </w:pPr>
      <w:r>
        <w:rPr>
          <w:rFonts w:hint="eastAsia" w:ascii="宋体" w:hAnsi="宋体"/>
          <w:b/>
          <w:szCs w:val="21"/>
        </w:rPr>
        <w:br w:type="page"/>
      </w:r>
    </w:p>
    <w:p>
      <w:pPr>
        <w:adjustRightInd w:val="0"/>
        <w:snapToGrid w:val="0"/>
        <w:rPr>
          <w:rFonts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6"/>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r>
              <w:rPr>
                <w:rFonts w:hint="eastAsia" w:ascii="宋体" w:hAnsi="宋体" w:cs="宋体"/>
                <w:szCs w:val="21"/>
              </w:rPr>
              <w:t>（格式6）</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6"/>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szCs w:val="21"/>
              </w:rPr>
              <w:t>投标分项报价表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Merge w:val="restart"/>
            <w:tcBorders>
              <w:top w:val="single" w:color="auto" w:sz="4" w:space="0"/>
              <w:left w:val="single" w:color="auto" w:sz="12" w:space="0"/>
              <w:right w:val="single" w:color="auto" w:sz="4" w:space="0"/>
            </w:tcBorders>
            <w:vAlign w:val="center"/>
          </w:tcPr>
          <w:p>
            <w:pPr>
              <w:numPr>
                <w:ilvl w:val="0"/>
                <w:numId w:val="16"/>
              </w:numPr>
              <w:adjustRightInd w:val="0"/>
              <w:snapToGrid w:val="0"/>
              <w:rPr>
                <w:rFonts w:ascii="宋体" w:hAnsi="宋体"/>
                <w:szCs w:val="21"/>
              </w:rPr>
            </w:pPr>
          </w:p>
        </w:tc>
        <w:tc>
          <w:tcPr>
            <w:tcW w:w="3142" w:type="dxa"/>
            <w:vMerge w:val="restart"/>
            <w:tcBorders>
              <w:top w:val="single" w:color="auto" w:sz="4" w:space="0"/>
              <w:left w:val="single" w:color="auto" w:sz="4" w:space="0"/>
              <w:right w:val="single" w:color="auto" w:sz="4" w:space="0"/>
            </w:tcBorders>
            <w:vAlign w:val="center"/>
          </w:tcPr>
          <w:p>
            <w:pPr>
              <w:snapToGrid w:val="0"/>
              <w:jc w:val="center"/>
              <w:rPr>
                <w:rFonts w:ascii="宋体" w:hAnsi="宋体"/>
                <w:szCs w:val="21"/>
              </w:rPr>
            </w:pPr>
            <w:r>
              <w:rPr>
                <w:rFonts w:hint="eastAsia" w:ascii="宋体" w:hAnsi="宋体"/>
                <w:szCs w:val="21"/>
              </w:rPr>
              <w:t>价格扣除</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中小企业声明函（可选）</w:t>
            </w:r>
            <w:r>
              <w:rPr>
                <w:rFonts w:hint="eastAsia" w:ascii="宋体" w:hAnsi="宋体" w:cs="宋体"/>
                <w:szCs w:val="21"/>
              </w:rPr>
              <w:t>（格式7）</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right w:val="single" w:color="auto" w:sz="4" w:space="0"/>
            </w:tcBorders>
            <w:vAlign w:val="center"/>
          </w:tcPr>
          <w:p>
            <w:pPr>
              <w:numPr>
                <w:ilvl w:val="0"/>
                <w:numId w:val="16"/>
              </w:numPr>
              <w:adjustRightInd w:val="0"/>
              <w:snapToGrid w:val="0"/>
              <w:rPr>
                <w:rFonts w:ascii="宋体" w:hAnsi="宋体"/>
                <w:szCs w:val="21"/>
              </w:rPr>
            </w:pPr>
          </w:p>
        </w:tc>
        <w:tc>
          <w:tcPr>
            <w:tcW w:w="3142" w:type="dxa"/>
            <w:vMerge w:val="continue"/>
            <w:tcBorders>
              <w:left w:val="single" w:color="auto" w:sz="4" w:space="0"/>
              <w:bottom w:val="single" w:color="auto" w:sz="12" w:space="0"/>
              <w:right w:val="single" w:color="auto" w:sz="4" w:space="0"/>
            </w:tcBorders>
            <w:vAlign w:val="center"/>
          </w:tcPr>
          <w:p>
            <w:pPr>
              <w:snapToGrid w:val="0"/>
              <w:jc w:val="center"/>
              <w:rPr>
                <w:rFonts w:ascii="宋体" w:hAnsi="宋体"/>
                <w:szCs w:val="21"/>
              </w:rPr>
            </w:pPr>
          </w:p>
        </w:tc>
        <w:tc>
          <w:tcPr>
            <w:tcW w:w="2674" w:type="dxa"/>
            <w:tcBorders>
              <w:top w:val="single" w:color="auto" w:sz="4" w:space="0"/>
              <w:left w:val="single" w:color="auto" w:sz="4" w:space="0"/>
              <w:bottom w:val="single" w:color="auto" w:sz="12" w:space="0"/>
              <w:right w:val="single" w:color="auto" w:sz="4" w:space="0"/>
            </w:tcBorders>
            <w:vAlign w:val="center"/>
          </w:tcPr>
          <w:p>
            <w:pPr>
              <w:adjustRightInd w:val="0"/>
              <w:snapToGrid w:val="0"/>
              <w:jc w:val="left"/>
              <w:rPr>
                <w:rFonts w:ascii="宋体" w:hAnsi="宋体" w:cs="Courier New"/>
              </w:rPr>
            </w:pPr>
            <w:r>
              <w:rPr>
                <w:rFonts w:hint="eastAsia" w:ascii="宋体" w:hAnsi="宋体" w:cs="Courier New"/>
              </w:rPr>
              <w:t>政策适用性说明（如有）</w:t>
            </w:r>
          </w:p>
        </w:tc>
        <w:tc>
          <w:tcPr>
            <w:tcW w:w="3346" w:type="dxa"/>
            <w:tcBorders>
              <w:top w:val="single" w:color="auto" w:sz="4" w:space="0"/>
              <w:left w:val="single" w:color="auto" w:sz="4" w:space="0"/>
              <w:bottom w:val="single" w:color="auto" w:sz="12"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宋体" w:hAnsi="宋体"/>
                <w:bCs/>
                <w:szCs w:val="21"/>
              </w:rPr>
            </w:pPr>
            <w:r>
              <w:rPr>
                <w:rStyle w:val="38"/>
                <w:rFonts w:hint="eastAsia" w:ascii="宋体" w:hAnsi="宋体"/>
                <w:szCs w:val="21"/>
                <w:lang w:val="en-US" w:eastAsia="zh-CN"/>
              </w:rPr>
              <w:t>货源保障能力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Style w:val="38"/>
                <w:rFonts w:hint="eastAsia" w:ascii="宋体" w:hAnsi="宋体"/>
                <w:szCs w:val="21"/>
                <w:lang w:val="en-US" w:eastAsia="zh-CN"/>
              </w:rPr>
              <w:t>食品安全追溯能力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Style w:val="38"/>
                <w:rFonts w:hint="eastAsia" w:ascii="宋体" w:hAnsi="宋体"/>
                <w:szCs w:val="21"/>
                <w:lang w:val="en-US" w:eastAsia="zh-CN"/>
              </w:rPr>
              <w:t>质量及安全保证措施</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Style w:val="38"/>
                <w:rFonts w:hint="eastAsia" w:ascii="宋体" w:hAnsi="宋体"/>
                <w:szCs w:val="21"/>
                <w:lang w:val="en-US" w:eastAsia="zh-CN"/>
              </w:rPr>
              <w:t>配送服务方案</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cs="宋体"/>
                <w:szCs w:val="21"/>
              </w:rPr>
            </w:pPr>
            <w:r>
              <w:rPr>
                <w:rStyle w:val="38"/>
                <w:rFonts w:hint="eastAsia" w:ascii="宋体" w:hAnsi="宋体"/>
                <w:szCs w:val="21"/>
                <w:lang w:val="en-US" w:eastAsia="zh-CN"/>
              </w:rPr>
              <w:t>应急响应</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r>
              <w:rPr>
                <w:rFonts w:hint="eastAsia" w:ascii="宋体" w:hAnsi="宋体"/>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left"/>
              <w:rPr>
                <w:rFonts w:ascii="宋体" w:hAnsi="宋体"/>
                <w:bCs/>
                <w:szCs w:val="21"/>
              </w:rPr>
            </w:pPr>
            <w:r>
              <w:rPr>
                <w:rStyle w:val="38"/>
                <w:rFonts w:hint="eastAsia" w:ascii="宋体" w:hAnsi="宋体"/>
                <w:szCs w:val="21"/>
                <w:lang w:val="en-US" w:eastAsia="zh-CN"/>
              </w:rPr>
              <w:t>同类项目业绩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left"/>
              <w:rPr>
                <w:rFonts w:ascii="宋体" w:hAnsi="宋体"/>
                <w:bCs/>
                <w:szCs w:val="21"/>
              </w:rPr>
            </w:pPr>
            <w:r>
              <w:rPr>
                <w:rStyle w:val="38"/>
                <w:rFonts w:hint="eastAsia" w:ascii="宋体" w:hAnsi="宋体"/>
                <w:szCs w:val="21"/>
                <w:lang w:val="en-US" w:eastAsia="zh-CN"/>
              </w:rPr>
              <w:t>运输能力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宋体" w:hAnsi="宋体"/>
                <w:bCs/>
                <w:szCs w:val="21"/>
              </w:rPr>
            </w:pPr>
            <w:r>
              <w:rPr>
                <w:rStyle w:val="38"/>
                <w:rFonts w:hint="eastAsia" w:ascii="宋体" w:hAnsi="宋体"/>
                <w:szCs w:val="21"/>
                <w:lang w:val="en-US" w:eastAsia="zh-CN"/>
              </w:rPr>
              <w:t>企业信誉</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4.</w:t>
            </w: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jc w:val="left"/>
              <w:rPr>
                <w:rFonts w:ascii="宋体" w:hAnsi="宋体"/>
                <w:bCs/>
                <w:szCs w:val="21"/>
              </w:rPr>
            </w:pPr>
            <w:r>
              <w:rPr>
                <w:rStyle w:val="38"/>
                <w:rFonts w:hint="eastAsia" w:ascii="宋体" w:hAnsi="宋体"/>
                <w:szCs w:val="21"/>
                <w:lang w:val="en-US" w:eastAsia="zh-CN"/>
              </w:rPr>
              <w:t>食品安全责任保险</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5.</w:t>
            </w:r>
          </w:p>
        </w:tc>
        <w:tc>
          <w:tcPr>
            <w:tcW w:w="3142" w:type="dxa"/>
            <w:tcBorders>
              <w:top w:val="single" w:color="auto" w:sz="4" w:space="0"/>
              <w:left w:val="single" w:color="auto" w:sz="4" w:space="0"/>
              <w:bottom w:val="single" w:color="auto" w:sz="4" w:space="0"/>
              <w:right w:val="single" w:color="auto" w:sz="4" w:space="0"/>
            </w:tcBorders>
            <w:vAlign w:val="center"/>
          </w:tcPr>
          <w:p>
            <w:pPr>
              <w:spacing w:line="240" w:lineRule="auto"/>
              <w:jc w:val="left"/>
              <w:textAlignment w:val="baseline"/>
              <w:rPr>
                <w:rFonts w:ascii="宋体" w:hAnsi="宋体" w:cs="宋体"/>
                <w:szCs w:val="21"/>
              </w:rPr>
            </w:pPr>
            <w:r>
              <w:rPr>
                <w:rStyle w:val="38"/>
                <w:rFonts w:hint="eastAsia" w:ascii="宋体" w:hAnsi="宋体"/>
                <w:szCs w:val="21"/>
                <w:lang w:val="en-US" w:eastAsia="zh-CN"/>
              </w:rPr>
              <w:t>投标品牌生产商质量管理体系认证情况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rPr>
      </w:pP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用户需求响应一览表（格式8）</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r>
              <w:rPr>
                <w:rFonts w:hint="eastAsia" w:ascii="宋体" w:hAnsi="宋体" w:cs="Courier New"/>
                <w:kern w:val="0"/>
              </w:rPr>
              <w:t>（格式9）</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招标代理服务费承诺书（格式10）</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开票资料说明函（格式11）</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p>
        </w:tc>
      </w:tr>
    </w:tbl>
    <w:p>
      <w:pPr>
        <w:rPr>
          <w:rFonts w:ascii="宋体" w:hAnsi="宋体"/>
          <w:b/>
          <w:szCs w:val="21"/>
        </w:rPr>
      </w:pPr>
      <w:r>
        <w:rPr>
          <w:rFonts w:hint="eastAsia" w:ascii="宋体" w:hAnsi="宋体"/>
          <w:b/>
          <w:szCs w:val="21"/>
        </w:rPr>
        <w:br w:type="page"/>
      </w:r>
    </w:p>
    <w:p>
      <w:pPr>
        <w:numPr>
          <w:ilvl w:val="0"/>
          <w:numId w:val="20"/>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服刑人员生活物资--副食品（2019-2021年度）补充采购项目（重招第二次）</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GZBC20HG12013-3</w:t>
      </w:r>
      <w:r>
        <w:rPr>
          <w:rFonts w:hint="eastAsia" w:ascii="宋体" w:hAnsi="宋体"/>
        </w:rPr>
        <w:t>），</w:t>
      </w:r>
      <w:r>
        <w:rPr>
          <w:rFonts w:hint="eastAsia" w:ascii="宋体" w:hAnsi="宋体"/>
          <w:u w:val="single"/>
        </w:rPr>
        <w:t>(投标人名称、地址)</w:t>
      </w:r>
      <w:r>
        <w:rPr>
          <w:rFonts w:hint="eastAsia" w:ascii="宋体" w:hAnsi="宋体"/>
        </w:rPr>
        <w:t>作为投标人已正式授权</w:t>
      </w:r>
      <w:r>
        <w:rPr>
          <w:rFonts w:hint="eastAsia" w:ascii="宋体" w:hAnsi="宋体"/>
          <w:u w:val="single"/>
        </w:rPr>
        <w:t xml:space="preserve"> (被投标人授权代表全名、职务)</w:t>
      </w:r>
      <w:r>
        <w:rPr>
          <w:rFonts w:hint="eastAsia" w:ascii="宋体" w:hAnsi="宋体"/>
        </w:rPr>
        <w:t>为我方签名代表，签名代表在此声明并同意：</w:t>
      </w:r>
    </w:p>
    <w:p>
      <w:pPr>
        <w:numPr>
          <w:ilvl w:val="0"/>
          <w:numId w:val="21"/>
        </w:numPr>
        <w:snapToGrid w:val="0"/>
        <w:spacing w:line="360" w:lineRule="auto"/>
        <w:rPr>
          <w:rFonts w:ascii="宋体" w:hAnsi="宋体"/>
          <w:b/>
          <w:szCs w:val="21"/>
        </w:rPr>
      </w:pPr>
      <w:r>
        <w:rPr>
          <w:rFonts w:hint="eastAsia" w:ascii="宋体" w:hAnsi="宋体"/>
          <w:b/>
          <w:szCs w:val="21"/>
        </w:rPr>
        <w:t>我们愿意遵守采购代理机构招标文件的各项规定，自愿参加投标，并已清楚招标文件的要求及有关文件规定，并严格按照招标文件的规定履行全部责任和义务。</w:t>
      </w:r>
    </w:p>
    <w:p>
      <w:pPr>
        <w:numPr>
          <w:ilvl w:val="0"/>
          <w:numId w:val="21"/>
        </w:numPr>
        <w:snapToGrid w:val="0"/>
        <w:spacing w:line="360" w:lineRule="auto"/>
        <w:rPr>
          <w:rFonts w:ascii="宋体" w:hAnsi="宋体"/>
          <w:b/>
          <w:szCs w:val="21"/>
        </w:rPr>
      </w:pPr>
      <w:r>
        <w:rPr>
          <w:rFonts w:hint="eastAsia" w:ascii="宋体" w:hAnsi="宋体"/>
          <w:b/>
          <w:szCs w:val="21"/>
        </w:rPr>
        <w:t>我们同意本投标自投标截止之日起</w:t>
      </w:r>
      <w:r>
        <w:rPr>
          <w:rFonts w:hint="eastAsia" w:ascii="宋体" w:hAnsi="宋体"/>
          <w:b/>
          <w:szCs w:val="21"/>
          <w:u w:val="single"/>
        </w:rPr>
        <w:t>90</w:t>
      </w:r>
      <w:r>
        <w:rPr>
          <w:rFonts w:hint="eastAsia" w:ascii="宋体" w:hAnsi="宋体"/>
          <w:b/>
          <w:szCs w:val="21"/>
        </w:rPr>
        <w:t>天内有效。如果我们的投标被接受，则直至合同生效时止，本投标始终有效并不撤回已递交的投标文件。</w:t>
      </w:r>
    </w:p>
    <w:p>
      <w:pPr>
        <w:numPr>
          <w:ilvl w:val="0"/>
          <w:numId w:val="21"/>
        </w:numPr>
        <w:snapToGrid w:val="0"/>
        <w:spacing w:line="360" w:lineRule="auto"/>
        <w:rPr>
          <w:rFonts w:ascii="宋体" w:hAnsi="宋体"/>
          <w:b/>
          <w:szCs w:val="21"/>
        </w:rPr>
      </w:pPr>
      <w:r>
        <w:rPr>
          <w:rFonts w:hint="eastAsia" w:ascii="宋体" w:hAnsi="宋体"/>
          <w:b/>
          <w:szCs w:val="21"/>
        </w:rPr>
        <w:t>我们已经详细地阅读并完全明白了全部招标文件及附件，包括澄清（如有）及参考文件，我们完全理解本招标文件的要求，我们同意放弃对招标文件提出不明或误解的一切权力。</w:t>
      </w:r>
    </w:p>
    <w:p>
      <w:pPr>
        <w:numPr>
          <w:ilvl w:val="0"/>
          <w:numId w:val="21"/>
        </w:numPr>
        <w:snapToGrid w:val="0"/>
        <w:spacing w:line="360" w:lineRule="auto"/>
        <w:rPr>
          <w:rFonts w:ascii="宋体" w:hAnsi="宋体"/>
          <w:b/>
          <w:szCs w:val="21"/>
        </w:rPr>
      </w:pPr>
      <w:r>
        <w:rPr>
          <w:rFonts w:hint="eastAsia" w:ascii="宋体" w:hAnsi="宋体"/>
          <w:b/>
          <w:szCs w:val="21"/>
        </w:rPr>
        <w:t>我们同意提供招标采购单位与评标委员会要求的有关投标的一切数据或资料。</w:t>
      </w:r>
    </w:p>
    <w:p>
      <w:pPr>
        <w:numPr>
          <w:ilvl w:val="0"/>
          <w:numId w:val="21"/>
        </w:numPr>
        <w:snapToGrid w:val="0"/>
        <w:spacing w:line="360" w:lineRule="auto"/>
        <w:rPr>
          <w:rFonts w:ascii="宋体" w:hAnsi="宋体"/>
          <w:b/>
          <w:szCs w:val="21"/>
        </w:rPr>
      </w:pPr>
      <w:r>
        <w:rPr>
          <w:rFonts w:hint="eastAsia" w:ascii="宋体" w:hAnsi="宋体"/>
          <w:b/>
          <w:szCs w:val="21"/>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1"/>
        </w:numPr>
        <w:snapToGrid w:val="0"/>
        <w:spacing w:line="360" w:lineRule="auto"/>
        <w:rPr>
          <w:rFonts w:ascii="宋体" w:hAnsi="宋体"/>
          <w:b/>
          <w:szCs w:val="21"/>
        </w:rPr>
      </w:pPr>
      <w:r>
        <w:rPr>
          <w:rFonts w:hint="eastAsia" w:ascii="宋体" w:hAnsi="宋体"/>
          <w:b/>
          <w:szCs w:val="21"/>
        </w:rPr>
        <w:t xml:space="preserve">如果我们未对招标文件全部要求作出实质性响应，则完全同意并接受按无效投标处理。 </w:t>
      </w:r>
    </w:p>
    <w:p>
      <w:pPr>
        <w:numPr>
          <w:ilvl w:val="0"/>
          <w:numId w:val="21"/>
        </w:numPr>
        <w:snapToGrid w:val="0"/>
        <w:spacing w:line="360" w:lineRule="auto"/>
        <w:rPr>
          <w:rFonts w:ascii="宋体" w:hAnsi="宋体"/>
          <w:b/>
          <w:szCs w:val="21"/>
        </w:rPr>
      </w:pPr>
      <w:r>
        <w:rPr>
          <w:rFonts w:hint="eastAsia" w:ascii="宋体" w:hAnsi="宋体"/>
          <w:b/>
          <w:szCs w:val="21"/>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1"/>
        </w:numPr>
        <w:snapToGrid w:val="0"/>
        <w:spacing w:line="360" w:lineRule="auto"/>
        <w:rPr>
          <w:rFonts w:ascii="宋体" w:hAnsi="宋体"/>
          <w:b/>
          <w:szCs w:val="21"/>
        </w:rPr>
      </w:pPr>
      <w:r>
        <w:rPr>
          <w:rFonts w:hint="eastAsia" w:ascii="宋体" w:hAnsi="宋体"/>
          <w:b/>
          <w:szCs w:val="21"/>
        </w:rPr>
        <w:t>如果我们提供的声明或承诺不真实，则完全同意认定为我司提供虚假材料，并同意作相应处理。</w:t>
      </w:r>
    </w:p>
    <w:p>
      <w:pPr>
        <w:numPr>
          <w:ilvl w:val="0"/>
          <w:numId w:val="21"/>
        </w:numPr>
        <w:snapToGrid w:val="0"/>
        <w:spacing w:line="360" w:lineRule="auto"/>
        <w:rPr>
          <w:rFonts w:ascii="宋体" w:hAnsi="宋体"/>
          <w:b/>
          <w:szCs w:val="21"/>
        </w:rPr>
      </w:pPr>
      <w:r>
        <w:rPr>
          <w:rFonts w:hint="eastAsia" w:ascii="宋体" w:hAnsi="宋体"/>
          <w:b/>
          <w:szCs w:val="21"/>
        </w:rPr>
        <w:t>我们是依法注册的法人，在法律、财务及运作上完全独立于本项目采购人、用户单位（如有）和采购代理机构。</w:t>
      </w:r>
    </w:p>
    <w:p>
      <w:pPr>
        <w:numPr>
          <w:ilvl w:val="0"/>
          <w:numId w:val="21"/>
        </w:numPr>
        <w:snapToGrid w:val="0"/>
        <w:spacing w:line="360" w:lineRule="auto"/>
        <w:rPr>
          <w:rFonts w:ascii="宋体" w:hAnsi="宋体"/>
          <w:b/>
          <w:szCs w:val="21"/>
        </w:rPr>
      </w:pPr>
      <w:r>
        <w:rPr>
          <w:rFonts w:hint="eastAsia" w:ascii="宋体" w:hAnsi="宋体"/>
          <w:b/>
          <w:szCs w:val="21"/>
        </w:rPr>
        <w:t>所有有关本次投标的函电请寄：</w:t>
      </w:r>
      <w:r>
        <w:rPr>
          <w:rFonts w:hint="eastAsia" w:ascii="宋体" w:hAnsi="宋体"/>
          <w:b/>
          <w:szCs w:val="21"/>
          <w:u w:val="single"/>
        </w:rPr>
        <w:t xml:space="preserve">  （投标人地址）   </w:t>
      </w:r>
      <w:r>
        <w:rPr>
          <w:rFonts w:hint="eastAsia" w:ascii="宋体" w:hAnsi="宋体"/>
          <w:b/>
          <w:szCs w:val="21"/>
        </w:rPr>
        <w:t xml:space="preserve">  </w:t>
      </w:r>
    </w:p>
    <w:p>
      <w:pPr>
        <w:autoSpaceDE w:val="0"/>
        <w:autoSpaceDN w:val="0"/>
        <w:adjustRightInd w:val="0"/>
        <w:spacing w:line="360" w:lineRule="auto"/>
        <w:ind w:left="420" w:firstLine="310"/>
        <w:rPr>
          <w:rFonts w:ascii="宋体" w:hAnsi="宋体"/>
          <w:b/>
          <w:szCs w:val="21"/>
        </w:rPr>
      </w:pPr>
      <w:r>
        <w:rPr>
          <w:rFonts w:hint="eastAsia" w:ascii="宋体" w:hAnsi="宋体"/>
          <w:b/>
          <w:szCs w:val="21"/>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0"/>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16" w:name="_Toc275865606"/>
      <w:r>
        <w:rPr>
          <w:rFonts w:hint="eastAsia" w:ascii="宋体" w:hAnsi="宋体"/>
          <w:b/>
          <w:sz w:val="28"/>
          <w:szCs w:val="28"/>
        </w:rPr>
        <w:t>投标人资格声明函</w:t>
      </w:r>
      <w:bookmarkEnd w:id="16"/>
    </w:p>
    <w:p>
      <w:pPr>
        <w:rPr>
          <w:rFonts w:ascii="宋体" w:hAnsi="宋体"/>
          <w:b/>
        </w:rPr>
      </w:pPr>
      <w:r>
        <w:rPr>
          <w:rFonts w:hint="eastAsia" w:ascii="宋体" w:hAnsi="宋体"/>
          <w:b/>
        </w:rPr>
        <w:t>广州宝诚招标代理咨询有限公司：</w:t>
      </w:r>
    </w:p>
    <w:p>
      <w:pPr>
        <w:snapToGrid w:val="0"/>
        <w:spacing w:before="156"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服刑人员生活物资--副食品（2019-2021年度）补充采购项目（重招第二次）</w:t>
      </w:r>
      <w:r>
        <w:rPr>
          <w:rFonts w:ascii="宋体" w:hAnsi="宋体"/>
          <w:u w:val="single"/>
        </w:rPr>
        <w:t xml:space="preserve">  </w:t>
      </w:r>
      <w:r>
        <w:rPr>
          <w:rFonts w:hint="eastAsia" w:ascii="宋体" w:hAnsi="宋体"/>
        </w:rPr>
        <w:t>项目（项目编号：</w:t>
      </w:r>
      <w:r>
        <w:rPr>
          <w:rFonts w:hint="eastAsia" w:ascii="宋体" w:hAnsi="宋体"/>
          <w:lang w:eastAsia="zh-CN"/>
        </w:rPr>
        <w:t>GZBC20HG12013-3</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adjustRightInd w:val="0"/>
        <w:snapToGrid w:val="0"/>
        <w:spacing w:line="360" w:lineRule="auto"/>
        <w:ind w:left="425"/>
        <w:rPr>
          <w:rFonts w:ascii="宋体" w:hAnsi="宋体"/>
          <w:spacing w:val="4"/>
        </w:rPr>
      </w:pPr>
    </w:p>
    <w:p>
      <w:pPr>
        <w:pStyle w:val="2"/>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ascii="宋体" w:hAnsi="宋体"/>
          <w:spacing w:val="4"/>
          <w:u w:val="non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ascii="宋体" w:hAnsi="宋体"/>
          <w:spacing w:val="4"/>
        </w:rPr>
      </w:pPr>
      <w:r>
        <w:rPr>
          <w:rFonts w:hint="eastAsia" w:ascii="宋体" w:hAnsi="宋体"/>
          <w:spacing w:val="4"/>
        </w:rPr>
        <w:br w:type="page"/>
      </w:r>
    </w:p>
    <w:p>
      <w:pPr>
        <w:numPr>
          <w:ilvl w:val="0"/>
          <w:numId w:val="20"/>
        </w:numPr>
        <w:spacing w:line="440" w:lineRule="exact"/>
        <w:rPr>
          <w:rFonts w:ascii="宋体" w:hAnsi="宋体"/>
          <w:szCs w:val="21"/>
        </w:rPr>
      </w:pPr>
    </w:p>
    <w:p>
      <w:pPr>
        <w:jc w:val="center"/>
        <w:outlineLvl w:val="2"/>
        <w:rPr>
          <w:rFonts w:ascii="宋体" w:hAnsi="宋体"/>
          <w:b/>
          <w:sz w:val="28"/>
          <w:szCs w:val="28"/>
        </w:rPr>
      </w:pPr>
      <w:bookmarkStart w:id="17" w:name="_Toc50737297"/>
      <w:bookmarkStart w:id="18" w:name="_Toc50737329"/>
      <w:bookmarkStart w:id="19" w:name="_Toc275865607"/>
      <w:bookmarkStart w:id="20" w:name="_Toc52165081"/>
      <w:bookmarkStart w:id="21" w:name="_Toc50736477"/>
      <w:r>
        <w:rPr>
          <w:rFonts w:hint="eastAsia" w:ascii="宋体" w:hAnsi="宋体"/>
          <w:b/>
          <w:sz w:val="28"/>
          <w:szCs w:val="28"/>
        </w:rPr>
        <w:t>法定代表人授权委托书</w:t>
      </w:r>
      <w:bookmarkEnd w:id="17"/>
      <w:bookmarkEnd w:id="18"/>
      <w:bookmarkEnd w:id="19"/>
      <w:bookmarkEnd w:id="20"/>
      <w:bookmarkEnd w:id="21"/>
    </w:p>
    <w:p>
      <w:pPr>
        <w:pStyle w:val="11"/>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11"/>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szCs w:val="21"/>
        </w:rPr>
      </w:pPr>
    </w:p>
    <w:p>
      <w:pPr>
        <w:pStyle w:val="2"/>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tbl>
      <w:tblPr>
        <w:tblStyle w:val="18"/>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535" w:hRule="atLeast"/>
        </w:trPr>
        <w:tc>
          <w:tcPr>
            <w:tcW w:w="9344" w:type="dxa"/>
            <w:vAlign w:val="center"/>
          </w:tcPr>
          <w:p>
            <w:pPr>
              <w:pStyle w:val="31"/>
              <w:ind w:left="105"/>
              <w:jc w:val="center"/>
              <w:rPr>
                <w:b/>
              </w:rPr>
            </w:pPr>
            <w:r>
              <w:rPr>
                <w:rFonts w:hint="eastAsia"/>
                <w:b/>
              </w:rPr>
              <w:t>被授权人（授权代表）</w:t>
            </w:r>
          </w:p>
          <w:p>
            <w:pPr>
              <w:pStyle w:val="31"/>
              <w:ind w:left="105"/>
              <w:jc w:val="center"/>
            </w:pPr>
            <w:r>
              <w:rPr>
                <w:rFonts w:hint="eastAsia"/>
                <w:b/>
              </w:rPr>
              <w:t>居民身份证复印件粘贴处（正、反面）</w:t>
            </w:r>
          </w:p>
        </w:tc>
      </w:tr>
    </w:tbl>
    <w:p>
      <w:pPr>
        <w:spacing w:line="360" w:lineRule="auto"/>
        <w:rPr>
          <w:rFonts w:ascii="宋体" w:hAnsi="宋体"/>
          <w:b/>
        </w:rPr>
      </w:pPr>
      <w:r>
        <w:rPr>
          <w:rFonts w:hint="eastAsia" w:ascii="宋体" w:hAnsi="宋体"/>
          <w:b/>
        </w:rPr>
        <w:t>注：此委托书一式两份，一份装订在报价文件正本内，另一份由授权代表携带出席评审会。</w:t>
      </w: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0"/>
        </w:numPr>
        <w:spacing w:line="440" w:lineRule="exact"/>
        <w:rPr>
          <w:rFonts w:ascii="宋体" w:hAnsi="宋体"/>
        </w:rPr>
      </w:pPr>
    </w:p>
    <w:p>
      <w:pPr>
        <w:jc w:val="center"/>
        <w:outlineLvl w:val="2"/>
        <w:rPr>
          <w:rFonts w:ascii="宋体" w:hAnsi="宋体"/>
          <w:b/>
          <w:sz w:val="28"/>
          <w:szCs w:val="28"/>
        </w:rPr>
      </w:pPr>
      <w:bookmarkStart w:id="22" w:name="_Toc275865608"/>
      <w:r>
        <w:rPr>
          <w:rFonts w:hint="eastAsia" w:ascii="宋体" w:hAnsi="宋体"/>
          <w:b/>
          <w:sz w:val="28"/>
          <w:szCs w:val="28"/>
        </w:rPr>
        <w:t>法定代表人证明书</w:t>
      </w:r>
      <w:bookmarkEnd w:id="22"/>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tbl>
      <w:tblPr>
        <w:tblStyle w:val="18"/>
        <w:tblpPr w:leftFromText="180" w:rightFromText="180" w:vertAnchor="text" w:tblpX="115" w:tblpY="631"/>
        <w:tblW w:w="9344" w:type="dxa"/>
        <w:tblInd w:w="0" w:type="dxa"/>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9344"/>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trHeight w:val="3270" w:hRule="atLeast"/>
        </w:trPr>
        <w:tc>
          <w:tcPr>
            <w:tcW w:w="9344" w:type="dxa"/>
            <w:vAlign w:val="center"/>
          </w:tcPr>
          <w:p>
            <w:pPr>
              <w:spacing w:line="480" w:lineRule="auto"/>
              <w:jc w:val="center"/>
              <w:rPr>
                <w:rFonts w:ascii="宋体" w:hAnsi="宋体"/>
                <w:sz w:val="24"/>
              </w:rPr>
            </w:pPr>
            <w:r>
              <w:rPr>
                <w:rFonts w:hint="eastAsia" w:ascii="宋体" w:hAnsi="宋体"/>
                <w:sz w:val="24"/>
              </w:rPr>
              <w:t>法定代表人</w:t>
            </w:r>
          </w:p>
          <w:p>
            <w:pPr>
              <w:spacing w:line="600" w:lineRule="auto"/>
              <w:jc w:val="center"/>
              <w:rPr>
                <w:rFonts w:ascii="宋体" w:hAnsi="宋体"/>
                <w:sz w:val="24"/>
                <w:u w:val="single"/>
              </w:rPr>
            </w:pPr>
            <w:r>
              <w:rPr>
                <w:rFonts w:hint="eastAsia" w:ascii="宋体" w:hAnsi="宋体"/>
                <w:sz w:val="24"/>
              </w:rPr>
              <w:t>居民身份证复印件粘贴处（正、反面）</w:t>
            </w:r>
          </w:p>
        </w:tc>
      </w:tr>
    </w:tbl>
    <w:p>
      <w:pPr>
        <w:spacing w:line="500" w:lineRule="exact"/>
        <w:rPr>
          <w:rFonts w:ascii="宋体" w:hAnsi="宋体"/>
          <w:b/>
          <w:bCs/>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0"/>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服刑人员生活物资--副食品（2019-2021年度）补充采购项目（重招第二次）</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rPr>
      </w:pPr>
      <w:r>
        <w:rPr>
          <w:rFonts w:ascii="宋体" w:hAnsi="宋体"/>
        </w:rPr>
        <w:br w:type="page"/>
      </w:r>
    </w:p>
    <w:p>
      <w:pPr>
        <w:numPr>
          <w:ilvl w:val="0"/>
          <w:numId w:val="20"/>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GZBC20HG12013-3</w:t>
      </w:r>
      <w:r>
        <w:rPr>
          <w:rFonts w:hint="eastAsia" w:ascii="宋体" w:hAnsi="宋体"/>
        </w:rPr>
        <w:t xml:space="preserve">                                   </w:t>
      </w:r>
    </w:p>
    <w:tbl>
      <w:tblPr>
        <w:tblStyle w:val="18"/>
        <w:tblW w:w="499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315"/>
        <w:gridCol w:w="3349"/>
        <w:gridCol w:w="32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667" w:type="pct"/>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采购内容</w:t>
            </w:r>
          </w:p>
        </w:tc>
        <w:tc>
          <w:tcPr>
            <w:tcW w:w="1684" w:type="pct"/>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服务期</w:t>
            </w:r>
          </w:p>
        </w:tc>
        <w:tc>
          <w:tcPr>
            <w:tcW w:w="1648" w:type="pct"/>
            <w:tcBorders>
              <w:top w:val="single" w:color="auto" w:sz="12" w:space="0"/>
              <w:bottom w:val="double" w:color="auto" w:sz="4" w:space="0"/>
            </w:tcBorders>
            <w:shd w:val="clear" w:color="auto" w:fill="EEECE1"/>
            <w:vAlign w:val="center"/>
          </w:tcPr>
          <w:p>
            <w:pPr>
              <w:adjustRightInd w:val="0"/>
              <w:snapToGrid w:val="0"/>
              <w:jc w:val="center"/>
              <w:rPr>
                <w:rFonts w:ascii="宋体" w:hAnsi="宋体"/>
                <w:b/>
                <w:szCs w:val="21"/>
              </w:rPr>
            </w:pPr>
            <w:r>
              <w:rPr>
                <w:rFonts w:hint="eastAsia" w:ascii="宋体" w:hAnsi="宋体"/>
                <w:b/>
                <w:szCs w:val="21"/>
              </w:rPr>
              <w:t>投标</w:t>
            </w:r>
            <w:r>
              <w:rPr>
                <w:rFonts w:hint="eastAsia" w:ascii="宋体" w:hAnsi="宋体"/>
                <w:b/>
                <w:szCs w:val="21"/>
                <w:lang w:val="en-US" w:eastAsia="zh-CN"/>
              </w:rPr>
              <w:t>下浮率</w:t>
            </w:r>
            <w:r>
              <w:rPr>
                <w:rFonts w:hint="eastAsia" w:ascii="宋体" w:hAnsi="宋体"/>
                <w:b/>
                <w:szCs w:val="21"/>
              </w:rPr>
              <w:t>（</w:t>
            </w:r>
            <w:r>
              <w:rPr>
                <w:rFonts w:hint="eastAsia" w:ascii="宋体" w:hAnsi="宋体"/>
                <w:b/>
                <w:szCs w:val="21"/>
                <w:lang w:val="en-US" w:eastAsia="zh-CN"/>
              </w:rPr>
              <w:t>%</w:t>
            </w:r>
            <w:r>
              <w:rPr>
                <w:rFonts w:hint="eastAsia" w:ascii="宋体" w:hAnsi="宋体"/>
                <w:b/>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935" w:hRule="atLeast"/>
          <w:jc w:val="center"/>
        </w:trPr>
        <w:tc>
          <w:tcPr>
            <w:tcW w:w="1667" w:type="pct"/>
            <w:tcBorders>
              <w:top w:val="single" w:color="auto" w:sz="4" w:space="0"/>
            </w:tcBorders>
            <w:vAlign w:val="center"/>
          </w:tcPr>
          <w:p>
            <w:pPr>
              <w:adjustRightInd w:val="0"/>
              <w:snapToGrid w:val="0"/>
              <w:jc w:val="center"/>
              <w:rPr>
                <w:rFonts w:ascii="宋体" w:hAnsi="宋体"/>
                <w:bCs/>
                <w:szCs w:val="21"/>
                <w:u w:val="single"/>
              </w:rPr>
            </w:pPr>
            <w:r>
              <w:rPr>
                <w:rFonts w:hint="eastAsia" w:asciiTheme="minorEastAsia" w:hAnsiTheme="minorEastAsia" w:eastAsiaTheme="minorEastAsia" w:cstheme="minorEastAsia"/>
                <w:bCs/>
                <w:kern w:val="0"/>
                <w:szCs w:val="21"/>
                <w:lang w:eastAsia="zh-CN"/>
              </w:rPr>
              <w:t>服刑人员生活物资--副食品（2019-2021年度）补充采购项目（重招第二次）</w:t>
            </w:r>
          </w:p>
        </w:tc>
        <w:tc>
          <w:tcPr>
            <w:tcW w:w="1684" w:type="pct"/>
            <w:tcBorders>
              <w:top w:val="single" w:color="auto" w:sz="4" w:space="0"/>
            </w:tcBorders>
            <w:vAlign w:val="center"/>
          </w:tcPr>
          <w:p>
            <w:pPr>
              <w:jc w:val="center"/>
              <w:rPr>
                <w:rFonts w:ascii="宋体" w:hAnsi="宋体"/>
                <w:bCs/>
                <w:szCs w:val="21"/>
              </w:rPr>
            </w:pPr>
            <w:r>
              <w:rPr>
                <w:rFonts w:hint="eastAsia" w:asciiTheme="minorEastAsia" w:hAnsiTheme="minorEastAsia" w:eastAsiaTheme="minorEastAsia" w:cstheme="minorEastAsia"/>
                <w:kern w:val="28"/>
                <w:szCs w:val="21"/>
                <w:lang w:val="en-US" w:eastAsia="zh-CN"/>
              </w:rPr>
              <w:t>6个月</w:t>
            </w:r>
          </w:p>
        </w:tc>
        <w:tc>
          <w:tcPr>
            <w:tcW w:w="1648" w:type="pct"/>
            <w:tcBorders>
              <w:top w:val="single" w:color="auto" w:sz="4" w:space="0"/>
            </w:tcBorders>
            <w:vAlign w:val="center"/>
          </w:tcPr>
          <w:p>
            <w:pPr>
              <w:rPr>
                <w:rFonts w:ascii="宋体" w:hAnsi="宋体"/>
                <w:bCs/>
                <w:szCs w:val="21"/>
                <w:u w:val="single"/>
              </w:rPr>
            </w:pP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rPr>
        <w:t xml:space="preserve">    </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adjustRightInd w:val="0"/>
        <w:spacing w:line="360" w:lineRule="auto"/>
        <w:ind w:left="315" w:hanging="315" w:hangingChars="150"/>
        <w:rPr>
          <w:rFonts w:ascii="宋体" w:hAnsi="宋体"/>
          <w:szCs w:val="21"/>
        </w:rPr>
      </w:pPr>
      <w:r>
        <w:rPr>
          <w:rFonts w:hint="eastAsia" w:ascii="宋体" w:hAnsi="宋体"/>
          <w:szCs w:val="21"/>
        </w:rPr>
        <w:t>1. 报价要求投标货币为人民币报价，报价应包括：人工费、管理费用、相关用具的使用费用、各项税费及合同实施过程中不可预见费等完成本招标内容所需的一切费用。</w:t>
      </w:r>
    </w:p>
    <w:p>
      <w:pPr>
        <w:spacing w:line="440" w:lineRule="exact"/>
        <w:rPr>
          <w:rFonts w:ascii="宋体" w:hAnsi="宋体"/>
          <w:szCs w:val="21"/>
        </w:rPr>
      </w:pPr>
      <w:r>
        <w:rPr>
          <w:rFonts w:hint="eastAsia" w:ascii="宋体" w:hAnsi="宋体"/>
          <w:szCs w:val="21"/>
        </w:rPr>
        <w:t>2. 此表除装订于投标文件中外，还应将此表复印一份置于开标信封中。</w:t>
      </w:r>
    </w:p>
    <w:p>
      <w:pPr>
        <w:spacing w:line="440" w:lineRule="exact"/>
      </w:pPr>
      <w:r>
        <w:rPr>
          <w:rFonts w:hint="eastAsia" w:ascii="宋体" w:hAnsi="宋体"/>
          <w:szCs w:val="21"/>
        </w:rPr>
        <w:br w:type="page"/>
      </w:r>
    </w:p>
    <w:p>
      <w:pPr>
        <w:numPr>
          <w:ilvl w:val="0"/>
          <w:numId w:val="20"/>
        </w:numPr>
        <w:spacing w:line="440" w:lineRule="exact"/>
        <w:rPr>
          <w:rFonts w:ascii="宋体" w:hAnsi="宋体"/>
          <w:spacing w:val="4"/>
        </w:rPr>
      </w:pPr>
    </w:p>
    <w:p>
      <w:pPr>
        <w:adjustRightInd w:val="0"/>
        <w:snapToGrid w:val="0"/>
        <w:spacing w:after="156" w:afterLines="50"/>
        <w:jc w:val="center"/>
        <w:outlineLvl w:val="2"/>
        <w:rPr>
          <w:rFonts w:ascii="宋体" w:hAns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hAnsi="宋体"/>
        </w:rPr>
      </w:pPr>
      <w:r>
        <w:rPr>
          <w:rFonts w:hint="eastAsia" w:ascii="宋体" w:hAnsi="宋体"/>
        </w:rPr>
        <w:t>本公司郑重声明，根据《政府采购促进中小企业发展暂行办法》（财库[2011]181号）的规定，本公司为</w:t>
      </w:r>
      <w:r>
        <w:rPr>
          <w:rFonts w:hint="eastAsia" w:ascii="宋体" w:hAnsi="宋体"/>
          <w:u w:val="single"/>
        </w:rPr>
        <w:t xml:space="preserve">         </w:t>
      </w:r>
      <w:r>
        <w:rPr>
          <w:rFonts w:hint="eastAsia" w:ascii="宋体" w:hAnsi="宋体"/>
        </w:rPr>
        <w:t>（请填写：中型、小型、微型）企业。即，本公司同时满足以下条件：</w:t>
      </w:r>
    </w:p>
    <w:p>
      <w:pPr>
        <w:numPr>
          <w:ilvl w:val="0"/>
          <w:numId w:val="22"/>
        </w:numPr>
        <w:adjustRightInd w:val="0"/>
        <w:snapToGrid w:val="0"/>
        <w:spacing w:line="360" w:lineRule="auto"/>
        <w:rPr>
          <w:rFonts w:ascii="宋体" w:hAnsi="宋体"/>
        </w:rPr>
      </w:pPr>
      <w:r>
        <w:rPr>
          <w:rFonts w:hint="eastAsia" w:ascii="宋体" w:hAnsi="宋体"/>
        </w:rPr>
        <w:t>根据《工业和信息化部、国家统计局、国家发展和改革委员会、财政部关于印发中小企业划型标准规定的通知》（工信部联企业[2011]300号）规定的划分标准，本公司为</w:t>
      </w:r>
      <w:r>
        <w:rPr>
          <w:rFonts w:hint="eastAsia" w:ascii="宋体" w:hAnsi="宋体"/>
          <w:u w:val="single"/>
        </w:rPr>
        <w:t xml:space="preserve">             </w:t>
      </w:r>
      <w:r>
        <w:rPr>
          <w:rFonts w:hint="eastAsia" w:ascii="宋体" w:hAnsi="宋体"/>
        </w:rPr>
        <w:t>（请填写：中型、小型、微型）企业。</w:t>
      </w:r>
    </w:p>
    <w:p>
      <w:pPr>
        <w:numPr>
          <w:ilvl w:val="0"/>
          <w:numId w:val="22"/>
        </w:numPr>
        <w:adjustRightInd w:val="0"/>
        <w:snapToGrid w:val="0"/>
        <w:spacing w:line="360" w:lineRule="auto"/>
        <w:rPr>
          <w:rFonts w:ascii="宋体" w:hAnsi="宋体"/>
        </w:rPr>
      </w:pPr>
      <w:r>
        <w:rPr>
          <w:rFonts w:hint="eastAsia" w:ascii="宋体" w:hAnsi="宋体"/>
        </w:rPr>
        <w:t>本公司参加</w:t>
      </w:r>
      <w:r>
        <w:rPr>
          <w:rFonts w:hint="eastAsia" w:ascii="宋体" w:hAnsi="宋体"/>
          <w:u w:val="single"/>
        </w:rPr>
        <w:t xml:space="preserve">     (采购人单位名称)    </w:t>
      </w:r>
      <w:r>
        <w:rPr>
          <w:rFonts w:hint="eastAsia" w:ascii="宋体" w:hAnsi="宋体"/>
        </w:rPr>
        <w:t>的</w:t>
      </w:r>
      <w:r>
        <w:rPr>
          <w:rFonts w:hint="eastAsia" w:ascii="宋体" w:hAnsi="宋体"/>
          <w:u w:val="single"/>
        </w:rPr>
        <w:t xml:space="preserve">   (项目名称) </w:t>
      </w:r>
      <w:r>
        <w:rPr>
          <w:rFonts w:hint="eastAsia" w:ascii="宋体" w:hAnsi="宋体"/>
        </w:rPr>
        <w:t>采购活动提供本企业制造的货物，由本企业承担工程、提供服务，或者提供其他</w:t>
      </w:r>
      <w:r>
        <w:rPr>
          <w:rFonts w:hint="eastAsia" w:ascii="宋体" w:hAnsi="宋体"/>
          <w:u w:val="single"/>
        </w:rPr>
        <w:t xml:space="preserve">           </w:t>
      </w:r>
      <w:r>
        <w:rPr>
          <w:rFonts w:hint="eastAsia" w:ascii="宋体" w:hAnsi="宋体"/>
        </w:rPr>
        <w:t>（请填写：中型、小型、微型）企业制造的货物。本条所称货物不包括使用大型企业注册商标的货物。</w:t>
      </w:r>
    </w:p>
    <w:p>
      <w:pPr>
        <w:adjustRightInd w:val="0"/>
        <w:snapToGrid w:val="0"/>
        <w:spacing w:line="360" w:lineRule="auto"/>
        <w:ind w:left="420"/>
        <w:rPr>
          <w:rFonts w:ascii="宋体" w:hAns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hAnsi="宋体"/>
        </w:rPr>
      </w:pPr>
      <w:r>
        <w:rPr>
          <w:rFonts w:hint="eastAsia" w:ascii="宋体" w:hAnsi="宋体"/>
        </w:rPr>
        <w:t xml:space="preserve">                            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hAnsi="宋体"/>
        </w:rPr>
      </w:pPr>
      <w:r>
        <w:rPr>
          <w:rFonts w:hint="eastAsia" w:ascii="宋体" w:hAnsi="宋体"/>
        </w:rPr>
        <w:t xml:space="preserve">                         日 期：  年   月  日</w:t>
      </w:r>
    </w:p>
    <w:p>
      <w:pPr>
        <w:adjustRightInd w:val="0"/>
        <w:snapToGrid w:val="0"/>
        <w:spacing w:line="360" w:lineRule="auto"/>
        <w:ind w:left="315" w:leftChars="150"/>
        <w:rPr>
          <w:rFonts w:ascii="宋体" w:hAnsi="宋体"/>
          <w:szCs w:val="21"/>
          <w:lang w:val="en-GB"/>
        </w:rPr>
      </w:pPr>
      <w:bookmarkStart w:id="23" w:name="_Toc435514876"/>
      <w:bookmarkStart w:id="24" w:name="_Toc435515316"/>
      <w:r>
        <w:rPr>
          <w:rFonts w:hint="eastAsia" w:ascii="宋体" w:hAnsi="宋体"/>
          <w:szCs w:val="21"/>
          <w:lang w:val="en-GB"/>
        </w:rPr>
        <w:t>备注：</w:t>
      </w:r>
    </w:p>
    <w:p>
      <w:pPr>
        <w:numPr>
          <w:ilvl w:val="0"/>
          <w:numId w:val="23"/>
        </w:numPr>
        <w:adjustRightInd w:val="0"/>
        <w:snapToGrid w:val="0"/>
        <w:spacing w:line="360" w:lineRule="auto"/>
        <w:rPr>
          <w:rFonts w:ascii="宋体" w:hAnsi="宋体"/>
          <w:szCs w:val="21"/>
          <w:lang w:val="en-GB"/>
        </w:rPr>
      </w:pPr>
      <w:r>
        <w:rPr>
          <w:rFonts w:hint="eastAsia" w:ascii="宋体" w:hAnsi="宋体"/>
          <w:szCs w:val="21"/>
          <w:lang w:val="en-GB"/>
        </w:rPr>
        <w:t>本声明函对中小企业参与政府采购活动时适用。</w:t>
      </w:r>
    </w:p>
    <w:p>
      <w:pPr>
        <w:numPr>
          <w:ilvl w:val="0"/>
          <w:numId w:val="23"/>
        </w:numPr>
        <w:adjustRightInd w:val="0"/>
        <w:snapToGrid w:val="0"/>
        <w:spacing w:line="360" w:lineRule="auto"/>
        <w:rPr>
          <w:rFonts w:ascii="宋体" w:hAnsi="宋体"/>
          <w:szCs w:val="21"/>
          <w:lang w:val="en-GB"/>
        </w:rPr>
      </w:pPr>
      <w:r>
        <w:rPr>
          <w:rFonts w:hint="eastAsia" w:ascii="宋体" w:hAnsi="宋体"/>
          <w:szCs w:val="21"/>
          <w:lang w:val="en-GB"/>
        </w:rPr>
        <w:t>如果投标人不是中小企业的，可不提供该中小企业声明函。</w:t>
      </w:r>
      <w:bookmarkEnd w:id="23"/>
      <w:bookmarkEnd w:id="24"/>
    </w:p>
    <w:p>
      <w:pPr>
        <w:numPr>
          <w:ilvl w:val="0"/>
          <w:numId w:val="23"/>
        </w:numPr>
        <w:adjustRightInd w:val="0"/>
        <w:snapToGrid w:val="0"/>
        <w:spacing w:line="360" w:lineRule="auto"/>
        <w:rPr>
          <w:rFonts w:ascii="宋体" w:hAnsi="宋体"/>
          <w:szCs w:val="21"/>
          <w:lang w:val="en-GB"/>
        </w:rPr>
      </w:pPr>
      <w:r>
        <w:rPr>
          <w:rFonts w:hint="eastAsia" w:ascii="宋体" w:hAnsi="宋体"/>
          <w:szCs w:val="21"/>
          <w:lang w:val="en-GB"/>
        </w:rPr>
        <w:br w:type="page"/>
      </w:r>
    </w:p>
    <w:p>
      <w:pPr>
        <w:pStyle w:val="25"/>
        <w:ind w:firstLine="0" w:firstLineChars="0"/>
        <w:jc w:val="center"/>
        <w:rPr>
          <w:rFonts w:cs="Times New Roman"/>
          <w:b/>
          <w:color w:val="auto"/>
          <w:kern w:val="2"/>
          <w:szCs w:val="28"/>
          <w:lang w:val="en-GB"/>
        </w:rPr>
      </w:pPr>
      <w:r>
        <w:rPr>
          <w:rFonts w:hint="eastAsia" w:cs="Times New Roman"/>
          <w:b/>
          <w:color w:val="auto"/>
          <w:kern w:val="2"/>
          <w:szCs w:val="28"/>
          <w:lang w:val="en-GB"/>
        </w:rPr>
        <w:t>监狱企业的证明文件（如适用）</w:t>
      </w:r>
    </w:p>
    <w:p>
      <w:pPr>
        <w:pStyle w:val="25"/>
        <w:ind w:firstLine="420"/>
        <w:rPr>
          <w:rFonts w:cs="Times New Roman"/>
          <w:color w:val="auto"/>
          <w:kern w:val="2"/>
          <w:sz w:val="21"/>
          <w:lang w:val="en-GB"/>
        </w:rPr>
      </w:pPr>
      <w:r>
        <w:rPr>
          <w:rFonts w:hint="eastAsia" w:cs="Times New Roman"/>
          <w:color w:val="auto"/>
          <w:kern w:val="2"/>
          <w:sz w:val="21"/>
          <w:lang w:val="en-GB"/>
        </w:rPr>
        <w:t>说明：监狱企业参加政府采购活动时，应当提供由省级以上监狱管理局、戒毒管理局（含新疆生产建设兵团）出具的属于监狱企业的证明文件。</w:t>
      </w: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560"/>
        <w:rPr>
          <w:lang w:val="en-GB"/>
        </w:rPr>
      </w:pPr>
    </w:p>
    <w:p>
      <w:pPr>
        <w:pStyle w:val="25"/>
        <w:ind w:firstLine="0" w:firstLineChars="0"/>
        <w:jc w:val="center"/>
        <w:rPr>
          <w:rFonts w:cs="Times New Roman"/>
          <w:b/>
          <w:color w:val="auto"/>
          <w:kern w:val="2"/>
          <w:szCs w:val="28"/>
          <w:lang w:val="en-GB"/>
        </w:rPr>
      </w:pPr>
      <w:r>
        <w:rPr>
          <w:rFonts w:hint="eastAsia" w:cs="Times New Roman"/>
          <w:b/>
          <w:color w:val="auto"/>
          <w:kern w:val="2"/>
          <w:szCs w:val="28"/>
          <w:lang w:val="en-GB"/>
        </w:rPr>
        <w:t>残疾人福利性单位的声明函及证明文件（如适用）</w:t>
      </w:r>
    </w:p>
    <w:p>
      <w:pPr>
        <w:pStyle w:val="25"/>
        <w:ind w:firstLine="420"/>
        <w:rPr>
          <w:rFonts w:cs="Times New Roman"/>
          <w:color w:val="auto"/>
          <w:kern w:val="2"/>
          <w:sz w:val="21"/>
          <w:lang w:val="en-GB"/>
        </w:rPr>
      </w:pPr>
      <w:r>
        <w:rPr>
          <w:rFonts w:hint="eastAsia" w:cs="Times New Roman"/>
          <w:color w:val="auto"/>
          <w:kern w:val="2"/>
          <w:sz w:val="21"/>
          <w:lang w:val="en-GB"/>
        </w:rPr>
        <w:t>本公司郑重声明，根据《财政部 民政部 中国残疾人联合会关于促进残疾人就业政府采购政策的通</w:t>
      </w:r>
    </w:p>
    <w:p>
      <w:pPr>
        <w:pStyle w:val="25"/>
        <w:ind w:firstLine="420"/>
        <w:rPr>
          <w:rFonts w:cs="Times New Roman"/>
          <w:color w:val="auto"/>
          <w:kern w:val="2"/>
          <w:sz w:val="21"/>
          <w:lang w:val="en-GB"/>
        </w:rPr>
      </w:pPr>
      <w:r>
        <w:rPr>
          <w:rFonts w:hint="eastAsia" w:cs="Times New Roman"/>
          <w:color w:val="auto"/>
          <w:kern w:val="2"/>
          <w:sz w:val="21"/>
          <w:lang w:val="en-GB"/>
        </w:rPr>
        <w:t>知》（财库〔2017〕 141 号）的规定，本公司为符合条件的残疾人福利性单位，且本公司参加 单位的______项目采购活动提供本公司制造的货物（由本公司承担工程/提供服务），或者提供其他残疾人</w:t>
      </w:r>
    </w:p>
    <w:p>
      <w:pPr>
        <w:pStyle w:val="25"/>
        <w:ind w:firstLine="420"/>
        <w:rPr>
          <w:rFonts w:cs="Times New Roman"/>
          <w:color w:val="auto"/>
          <w:kern w:val="2"/>
          <w:sz w:val="21"/>
          <w:lang w:val="en-GB"/>
        </w:rPr>
      </w:pPr>
      <w:r>
        <w:rPr>
          <w:rFonts w:hint="eastAsia" w:cs="Times New Roman"/>
          <w:color w:val="auto"/>
          <w:kern w:val="2"/>
          <w:sz w:val="21"/>
          <w:lang w:val="en-GB"/>
        </w:rPr>
        <w:t>福利性单位制造的货物（不包括使用非残疾人福利性单位注册商标的货物）。</w:t>
      </w:r>
    </w:p>
    <w:p>
      <w:pPr>
        <w:pStyle w:val="25"/>
        <w:ind w:firstLine="420"/>
        <w:rPr>
          <w:rFonts w:cs="Times New Roman"/>
          <w:color w:val="auto"/>
          <w:kern w:val="2"/>
          <w:sz w:val="21"/>
          <w:lang w:val="en-GB"/>
        </w:rPr>
      </w:pPr>
      <w:r>
        <w:rPr>
          <w:rFonts w:hint="eastAsia" w:cs="Times New Roman"/>
          <w:color w:val="auto"/>
          <w:kern w:val="2"/>
          <w:sz w:val="21"/>
          <w:lang w:val="en-GB"/>
        </w:rPr>
        <w:t>本公司对上述声明的真实性负责。如有虚假，将依法承担相应责任。</w:t>
      </w:r>
    </w:p>
    <w:p>
      <w:pPr>
        <w:pStyle w:val="25"/>
        <w:ind w:firstLine="420"/>
        <w:rPr>
          <w:rFonts w:cs="Times New Roman"/>
          <w:color w:val="auto"/>
          <w:kern w:val="2"/>
          <w:sz w:val="21"/>
          <w:lang w:val="en-GB"/>
        </w:rPr>
      </w:pPr>
    </w:p>
    <w:p>
      <w:pPr>
        <w:pStyle w:val="25"/>
        <w:ind w:firstLine="420"/>
        <w:rPr>
          <w:rFonts w:cs="Times New Roman"/>
          <w:color w:val="auto"/>
          <w:kern w:val="2"/>
          <w:sz w:val="21"/>
          <w:lang w:val="en-GB"/>
        </w:rPr>
      </w:pPr>
      <w:r>
        <w:rPr>
          <w:rFonts w:hint="eastAsia" w:cs="Times New Roman"/>
          <w:color w:val="auto"/>
          <w:kern w:val="2"/>
          <w:sz w:val="21"/>
          <w:lang w:val="en-GB"/>
        </w:rPr>
        <w:t>企业名称（盖章）：</w:t>
      </w:r>
    </w:p>
    <w:p>
      <w:pPr>
        <w:pStyle w:val="25"/>
        <w:ind w:firstLine="420"/>
        <w:rPr>
          <w:lang w:val="en-GB"/>
        </w:rPr>
      </w:pPr>
      <w:r>
        <w:rPr>
          <w:rFonts w:hint="eastAsia" w:cs="Times New Roman"/>
          <w:color w:val="auto"/>
          <w:kern w:val="2"/>
          <w:sz w:val="21"/>
          <w:lang w:val="en-GB"/>
        </w:rPr>
        <w:t>日 期：</w:t>
      </w:r>
    </w:p>
    <w:p>
      <w:pPr>
        <w:spacing w:line="440" w:lineRule="exact"/>
        <w:rPr>
          <w:rFonts w:ascii="宋体" w:hAnsi="宋体"/>
        </w:rPr>
      </w:pPr>
      <w:r>
        <w:rPr>
          <w:rFonts w:ascii="宋体" w:hAnsi="宋体"/>
        </w:rPr>
        <w:br w:type="page"/>
      </w:r>
    </w:p>
    <w:p>
      <w:pPr>
        <w:numPr>
          <w:ilvl w:val="0"/>
          <w:numId w:val="20"/>
        </w:numPr>
        <w:spacing w:line="440" w:lineRule="exact"/>
        <w:rPr>
          <w:rFonts w:ascii="宋体" w:hAnsi="宋体"/>
          <w:b/>
          <w:sz w:val="28"/>
          <w:szCs w:val="28"/>
        </w:rPr>
      </w:pPr>
      <w:r>
        <w:rPr>
          <w:rFonts w:hint="eastAsia" w:ascii="宋体" w:hAnsi="宋体"/>
          <w:b/>
          <w:sz w:val="28"/>
          <w:szCs w:val="28"/>
        </w:rPr>
        <w:t xml:space="preserve">       </w:t>
      </w:r>
    </w:p>
    <w:p>
      <w:pPr>
        <w:adjustRightInd w:val="0"/>
        <w:snapToGrid w:val="0"/>
        <w:spacing w:after="156"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GZBC20HG12013-3</w:t>
      </w:r>
      <w:r>
        <w:rPr>
          <w:rFonts w:hint="eastAsia" w:ascii="宋体" w:hAnsi="宋体"/>
        </w:rPr>
        <w:t xml:space="preserve">                                  </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2903"/>
        <w:gridCol w:w="2745"/>
        <w:gridCol w:w="2044"/>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2903"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2745"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044"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24"/>
              </w:numPr>
              <w:spacing w:line="400" w:lineRule="exact"/>
              <w:jc w:val="center"/>
              <w:rPr>
                <w:rFonts w:ascii="宋体" w:hAnsi="宋体"/>
                <w:szCs w:val="21"/>
              </w:rPr>
            </w:pPr>
          </w:p>
        </w:tc>
        <w:tc>
          <w:tcPr>
            <w:tcW w:w="2903" w:type="dxa"/>
            <w:tcBorders>
              <w:top w:val="double" w:color="auto" w:sz="4" w:space="0"/>
            </w:tcBorders>
            <w:vAlign w:val="center"/>
          </w:tcPr>
          <w:p>
            <w:pPr>
              <w:rPr>
                <w:rFonts w:ascii="宋体" w:hAnsi="宋体"/>
              </w:rPr>
            </w:pPr>
          </w:p>
        </w:tc>
        <w:tc>
          <w:tcPr>
            <w:tcW w:w="2745" w:type="dxa"/>
            <w:tcBorders>
              <w:top w:val="double" w:color="auto" w:sz="4" w:space="0"/>
            </w:tcBorders>
            <w:vAlign w:val="center"/>
          </w:tcPr>
          <w:p>
            <w:pPr>
              <w:jc w:val="center"/>
              <w:rPr>
                <w:rFonts w:ascii="宋体" w:hAnsi="宋体"/>
              </w:rPr>
            </w:pPr>
          </w:p>
        </w:tc>
        <w:tc>
          <w:tcPr>
            <w:tcW w:w="2044" w:type="dxa"/>
            <w:tcBorders>
              <w:top w:val="double" w:color="auto" w:sz="4" w:space="0"/>
              <w:right w:val="single" w:color="auto" w:sz="2" w:space="0"/>
            </w:tcBorders>
            <w:vAlign w:val="center"/>
          </w:tcPr>
          <w:p>
            <w:pPr>
              <w:jc w:val="center"/>
              <w:rPr>
                <w:rFonts w:ascii="宋体" w:hAnsi="宋体"/>
              </w:rPr>
            </w:pPr>
          </w:p>
        </w:tc>
        <w:tc>
          <w:tcPr>
            <w:tcW w:w="1639"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4"/>
              </w:numPr>
              <w:spacing w:line="400" w:lineRule="exact"/>
              <w:jc w:val="center"/>
              <w:rPr>
                <w:rFonts w:ascii="宋体" w:hAnsi="宋体"/>
                <w:szCs w:val="21"/>
              </w:rPr>
            </w:pPr>
          </w:p>
        </w:tc>
        <w:tc>
          <w:tcPr>
            <w:tcW w:w="2903" w:type="dxa"/>
            <w:vAlign w:val="center"/>
          </w:tcPr>
          <w:p>
            <w:pPr>
              <w:rPr>
                <w:rFonts w:ascii="宋体" w:hAnsi="宋体"/>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31" w:type="dxa"/>
            <w:vAlign w:val="center"/>
          </w:tcPr>
          <w:p>
            <w:pPr>
              <w:numPr>
                <w:ilvl w:val="0"/>
                <w:numId w:val="24"/>
              </w:numPr>
              <w:spacing w:line="400" w:lineRule="exact"/>
              <w:jc w:val="center"/>
              <w:rPr>
                <w:rFonts w:ascii="宋体" w:hAnsi="宋体"/>
                <w:szCs w:val="21"/>
              </w:rPr>
            </w:pPr>
          </w:p>
        </w:tc>
        <w:tc>
          <w:tcPr>
            <w:tcW w:w="2903" w:type="dxa"/>
            <w:vAlign w:val="center"/>
          </w:tcPr>
          <w:p>
            <w:pPr>
              <w:rPr>
                <w:rFonts w:ascii="宋体" w:hAnsi="宋体"/>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4"/>
              </w:numPr>
              <w:spacing w:line="400" w:lineRule="exact"/>
              <w:jc w:val="center"/>
              <w:rPr>
                <w:rFonts w:ascii="宋体" w:hAnsi="宋体"/>
                <w:szCs w:val="21"/>
              </w:rPr>
            </w:pPr>
          </w:p>
        </w:tc>
        <w:tc>
          <w:tcPr>
            <w:tcW w:w="2903" w:type="dxa"/>
            <w:vAlign w:val="center"/>
          </w:tcPr>
          <w:p>
            <w:pPr>
              <w:rPr>
                <w:rFonts w:ascii="宋体" w:hAnsi="宋体"/>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4"/>
              </w:numPr>
              <w:spacing w:line="400" w:lineRule="exact"/>
              <w:jc w:val="center"/>
              <w:rPr>
                <w:rFonts w:ascii="宋体" w:hAnsi="宋体"/>
                <w:szCs w:val="21"/>
              </w:rPr>
            </w:pPr>
          </w:p>
        </w:tc>
        <w:tc>
          <w:tcPr>
            <w:tcW w:w="2903" w:type="dxa"/>
            <w:vAlign w:val="center"/>
          </w:tcPr>
          <w:p>
            <w:pPr>
              <w:rPr>
                <w:rFonts w:asciiTheme="minorEastAsia" w:hAnsiTheme="minorEastAsia" w:eastAsiaTheme="minorEastAsia" w:cstheme="minorEastAsia"/>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vAlign w:val="center"/>
          </w:tcPr>
          <w:p>
            <w:pPr>
              <w:numPr>
                <w:ilvl w:val="0"/>
                <w:numId w:val="24"/>
              </w:numPr>
              <w:spacing w:line="400" w:lineRule="exact"/>
              <w:jc w:val="center"/>
              <w:rPr>
                <w:rFonts w:ascii="宋体" w:hAnsi="宋体"/>
                <w:szCs w:val="21"/>
              </w:rPr>
            </w:pPr>
          </w:p>
        </w:tc>
        <w:tc>
          <w:tcPr>
            <w:tcW w:w="2903" w:type="dxa"/>
            <w:vAlign w:val="center"/>
          </w:tcPr>
          <w:p>
            <w:pPr>
              <w:rPr>
                <w:rFonts w:asciiTheme="minorEastAsia" w:hAnsiTheme="minorEastAsia" w:eastAsiaTheme="minorEastAsia" w:cstheme="minorEastAsia"/>
                <w:b/>
                <w:bCs/>
                <w:szCs w:val="21"/>
              </w:rPr>
            </w:pPr>
          </w:p>
        </w:tc>
        <w:tc>
          <w:tcPr>
            <w:tcW w:w="2745" w:type="dxa"/>
            <w:vAlign w:val="center"/>
          </w:tcPr>
          <w:p>
            <w:pPr>
              <w:jc w:val="center"/>
              <w:rPr>
                <w:rFonts w:ascii="宋体" w:hAnsi="宋体"/>
              </w:rPr>
            </w:pPr>
          </w:p>
        </w:tc>
        <w:tc>
          <w:tcPr>
            <w:tcW w:w="2044" w:type="dxa"/>
            <w:tcBorders>
              <w:right w:val="single" w:color="auto" w:sz="2" w:space="0"/>
            </w:tcBorders>
            <w:vAlign w:val="center"/>
          </w:tcPr>
          <w:p>
            <w:pPr>
              <w:jc w:val="center"/>
              <w:rPr>
                <w:rFonts w:ascii="宋体" w:hAnsi="宋体"/>
              </w:rPr>
            </w:pPr>
          </w:p>
        </w:tc>
        <w:tc>
          <w:tcPr>
            <w:tcW w:w="1639"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r>
        <w:rPr>
          <w:rFonts w:hint="eastAsia" w:ascii="宋体" w:hAnsi="宋体"/>
          <w:spacing w:val="4"/>
          <w:u w:val="single"/>
        </w:rPr>
        <w:t xml:space="preserve">   </w:t>
      </w:r>
      <w:r>
        <w:rPr>
          <w:rFonts w:ascii="宋体" w:hAnsi="宋体"/>
          <w:spacing w:val="4"/>
          <w:u w:val="single"/>
        </w:rPr>
        <w:t xml:space="preserve">  </w:t>
      </w:r>
    </w:p>
    <w:p>
      <w:r>
        <w:br w:type="page"/>
      </w:r>
    </w:p>
    <w:p>
      <w:pPr>
        <w:adjustRightInd w:val="0"/>
        <w:snapToGrid w:val="0"/>
        <w:spacing w:after="156" w:afterLines="50"/>
        <w:jc w:val="center"/>
        <w:outlineLvl w:val="2"/>
        <w:rPr>
          <w:rFonts w:ascii="宋体"/>
          <w:b/>
          <w:sz w:val="28"/>
          <w:szCs w:val="28"/>
        </w:rPr>
      </w:pPr>
      <w:r>
        <w:rPr>
          <w:rFonts w:hint="eastAsia" w:ascii="宋体" w:hAnsi="宋体"/>
          <w:b/>
          <w:sz w:val="28"/>
          <w:szCs w:val="28"/>
        </w:rPr>
        <w:t>▲重要技术条款响应一览表</w:t>
      </w:r>
    </w:p>
    <w:p>
      <w:pPr>
        <w:ind w:firstLine="210" w:firstLineChars="100"/>
        <w:rPr>
          <w:rFonts w:ascii="宋体"/>
          <w:b/>
          <w:bCs/>
          <w:u w:val="single"/>
        </w:rPr>
      </w:pPr>
      <w:r>
        <w:rPr>
          <w:rFonts w:hint="eastAsia" w:ascii="宋体" w:hAnsi="宋体"/>
        </w:rPr>
        <w:t>项目编号：</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2768"/>
        <w:gridCol w:w="2728"/>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2768"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728"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1</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2</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3</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4</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5</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hAns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31" w:type="dxa"/>
            <w:tcBorders>
              <w:top w:val="double" w:color="auto" w:sz="4" w:space="0"/>
              <w:bottom w:val="double" w:color="auto" w:sz="4" w:space="0"/>
            </w:tcBorders>
            <w:vAlign w:val="center"/>
          </w:tcPr>
          <w:p>
            <w:pPr>
              <w:spacing w:line="400" w:lineRule="exact"/>
              <w:ind w:left="180"/>
              <w:jc w:val="center"/>
              <w:rPr>
                <w:rFonts w:ascii="宋体"/>
                <w:szCs w:val="21"/>
              </w:rPr>
            </w:pPr>
            <w:r>
              <w:rPr>
                <w:rFonts w:hint="eastAsia" w:ascii="宋体"/>
                <w:szCs w:val="21"/>
              </w:rPr>
              <w:t>6</w:t>
            </w:r>
          </w:p>
        </w:tc>
        <w:tc>
          <w:tcPr>
            <w:tcW w:w="2768" w:type="dxa"/>
            <w:tcBorders>
              <w:top w:val="double" w:color="auto" w:sz="4" w:space="0"/>
              <w:bottom w:val="double" w:color="auto" w:sz="4" w:space="0"/>
            </w:tcBorders>
            <w:vAlign w:val="center"/>
          </w:tcPr>
          <w:p>
            <w:pPr>
              <w:rPr>
                <w:rFonts w:ascii="宋体"/>
              </w:rPr>
            </w:pPr>
          </w:p>
        </w:tc>
        <w:tc>
          <w:tcPr>
            <w:tcW w:w="2728" w:type="dxa"/>
            <w:tcBorders>
              <w:top w:val="double" w:color="auto" w:sz="4" w:space="0"/>
              <w:bottom w:val="double" w:color="auto" w:sz="4" w:space="0"/>
            </w:tcBorders>
            <w:vAlign w:val="center"/>
          </w:tcPr>
          <w:p>
            <w:pPr>
              <w:jc w:val="center"/>
              <w:rPr>
                <w:rFonts w:ascii="宋体"/>
              </w:rPr>
            </w:pPr>
          </w:p>
        </w:tc>
        <w:tc>
          <w:tcPr>
            <w:tcW w:w="2196" w:type="dxa"/>
            <w:tcBorders>
              <w:top w:val="double" w:color="auto" w:sz="4" w:space="0"/>
              <w:bottom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bottom w:val="double" w:color="auto" w:sz="4" w:space="0"/>
            </w:tcBorders>
            <w:vAlign w:val="center"/>
          </w:tcPr>
          <w:p>
            <w:pPr>
              <w:jc w:val="center"/>
              <w:rPr>
                <w:rFonts w:ascii="宋体" w:hAnsi="宋体" w:cs="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 xml:space="preserve">法定代表人或投标人授权代表（签署本人姓名或印盖本人姓名章）：               </w:t>
      </w:r>
      <w:r>
        <w:rPr>
          <w:rFonts w:hint="eastAsia" w:ascii="宋体" w:hAnsi="宋体"/>
          <w:spacing w:val="4"/>
        </w:rPr>
        <w:t>日期：</w:t>
      </w:r>
    </w:p>
    <w:p>
      <w:pPr>
        <w:spacing w:line="360" w:lineRule="auto"/>
        <w:ind w:firstLine="420" w:firstLineChars="200"/>
        <w:rPr>
          <w:rFonts w:ascii="宋体" w:hAnsi="宋体" w:cs="宋体"/>
          <w:szCs w:val="21"/>
          <w:lang w:val="en-GB"/>
        </w:rPr>
      </w:pPr>
    </w:p>
    <w:p>
      <w:pPr>
        <w:spacing w:line="360" w:lineRule="auto"/>
        <w:rPr>
          <w:rFonts w:ascii="宋体" w:hAnsi="宋体" w:cs="宋体"/>
          <w:szCs w:val="21"/>
          <w:lang w:val="en-GB"/>
        </w:rPr>
      </w:pPr>
    </w:p>
    <w:p>
      <w:pPr>
        <w:pStyle w:val="17"/>
        <w:spacing w:line="500" w:lineRule="exact"/>
        <w:ind w:left="4830" w:leftChars="2300"/>
        <w:rPr>
          <w:sz w:val="21"/>
          <w:szCs w:val="21"/>
        </w:rPr>
      </w:pPr>
      <w:r>
        <w:rPr>
          <w:rFonts w:hint="eastAsia"/>
          <w:sz w:val="21"/>
          <w:szCs w:val="21"/>
        </w:rPr>
        <w:t>供应商全称（盖公章）</w:t>
      </w:r>
    </w:p>
    <w:p>
      <w:pPr>
        <w:pStyle w:val="17"/>
        <w:spacing w:line="500" w:lineRule="exact"/>
        <w:ind w:left="4830" w:leftChars="2300"/>
        <w:rPr>
          <w:sz w:val="21"/>
          <w:szCs w:val="21"/>
        </w:rPr>
      </w:pPr>
      <w:r>
        <w:rPr>
          <w:rFonts w:hint="eastAsia"/>
          <w:sz w:val="21"/>
          <w:szCs w:val="21"/>
        </w:rPr>
        <w:t>法定代表人或授权代表（签字或盖章）：</w:t>
      </w:r>
    </w:p>
    <w:p>
      <w:pPr>
        <w:spacing w:line="500" w:lineRule="exact"/>
        <w:ind w:left="4830" w:leftChars="2300"/>
        <w:rPr>
          <w:rFonts w:ascii="宋体" w:hAnsi="宋体"/>
          <w:szCs w:val="21"/>
        </w:rPr>
      </w:pPr>
      <w:r>
        <w:rPr>
          <w:rFonts w:hint="eastAsia" w:ascii="宋体" w:hAnsi="宋体"/>
          <w:szCs w:val="21"/>
        </w:rPr>
        <w:t>职      务：</w:t>
      </w:r>
    </w:p>
    <w:p>
      <w:pPr>
        <w:spacing w:line="500" w:lineRule="exact"/>
        <w:ind w:left="4830" w:leftChars="2300"/>
        <w:rPr>
          <w:rFonts w:ascii="宋体" w:hAnsi="宋体" w:cs="宋体"/>
          <w:szCs w:val="21"/>
          <w:lang w:val="en-GB"/>
        </w:rPr>
      </w:pPr>
      <w:r>
        <w:rPr>
          <w:rFonts w:hint="eastAsia" w:ascii="宋体" w:hAnsi="宋体"/>
          <w:szCs w:val="21"/>
        </w:rPr>
        <w:t>日       期：</w:t>
      </w:r>
      <w:r>
        <w:rPr>
          <w:rFonts w:hint="eastAsia" w:ascii="宋体" w:hAnsi="宋体"/>
          <w:szCs w:val="21"/>
          <w:u w:val="single"/>
        </w:rPr>
        <w:t xml:space="preserve">              </w:t>
      </w:r>
    </w:p>
    <w:p/>
    <w:p>
      <w:r>
        <w:br w:type="page"/>
      </w:r>
    </w:p>
    <w:p>
      <w:pPr>
        <w:pStyle w:val="2"/>
      </w:pPr>
    </w:p>
    <w:p>
      <w:pPr>
        <w:numPr>
          <w:ilvl w:val="0"/>
          <w:numId w:val="20"/>
        </w:numPr>
        <w:spacing w:line="440" w:lineRule="exact"/>
        <w:rPr>
          <w:rFonts w:ascii="宋体" w:hAnsi="宋体"/>
          <w:bCs/>
          <w:sz w:val="28"/>
        </w:rPr>
      </w:pPr>
    </w:p>
    <w:p>
      <w:pPr>
        <w:jc w:val="center"/>
        <w:outlineLvl w:val="2"/>
        <w:rPr>
          <w:rFonts w:ascii="宋体" w:hAnsi="宋体"/>
          <w:b/>
          <w:sz w:val="28"/>
          <w:szCs w:val="28"/>
        </w:rPr>
      </w:pPr>
      <w:bookmarkStart w:id="25" w:name="_Toc173553182"/>
      <w:bookmarkStart w:id="26" w:name="_Toc275865616"/>
      <w:r>
        <w:rPr>
          <w:rFonts w:hint="eastAsia" w:ascii="宋体" w:hAnsi="宋体"/>
          <w:b/>
          <w:sz w:val="28"/>
          <w:szCs w:val="28"/>
        </w:rPr>
        <w:t>投标人基本情况表</w:t>
      </w:r>
      <w:bookmarkEnd w:id="25"/>
      <w:bookmarkEnd w:id="26"/>
    </w:p>
    <w:p>
      <w:pPr>
        <w:numPr>
          <w:ilvl w:val="0"/>
          <w:numId w:val="25"/>
        </w:numPr>
        <w:spacing w:line="360" w:lineRule="auto"/>
        <w:rPr>
          <w:rFonts w:ascii="宋体" w:hAnsi="宋体" w:cs="Arial"/>
          <w:szCs w:val="21"/>
        </w:rPr>
      </w:pPr>
      <w:r>
        <w:rPr>
          <w:rFonts w:ascii="宋体" w:hAnsi="宋体" w:cs="Arial"/>
          <w:szCs w:val="21"/>
        </w:rPr>
        <w:t>公司基本情况</w:t>
      </w:r>
    </w:p>
    <w:p>
      <w:pPr>
        <w:numPr>
          <w:ilvl w:val="1"/>
          <w:numId w:val="25"/>
        </w:numPr>
        <w:tabs>
          <w:tab w:val="left" w:pos="420"/>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25"/>
        </w:numPr>
        <w:tabs>
          <w:tab w:val="left" w:pos="420"/>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25"/>
        </w:numPr>
        <w:tabs>
          <w:tab w:val="left" w:pos="420"/>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25"/>
        </w:numPr>
        <w:tabs>
          <w:tab w:val="left" w:pos="420"/>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25"/>
        </w:numPr>
        <w:tabs>
          <w:tab w:val="left" w:pos="420"/>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25"/>
        </w:numPr>
        <w:tabs>
          <w:tab w:val="left" w:pos="420"/>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25"/>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25"/>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27"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27"/>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0"/>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rPr>
          <w:rFonts w:ascii="宋体" w:hAnsi="宋体"/>
          <w:b/>
        </w:rPr>
      </w:pPr>
      <w:r>
        <w:rPr>
          <w:rFonts w:hint="eastAsia" w:ascii="宋体" w:hAnsi="宋体"/>
          <w:b/>
          <w:lang w:eastAsia="zh-CN"/>
        </w:rPr>
        <w:t>广东省广州监狱</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GZBC20HG12013-3</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ascii="宋体" w:hAns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szCs w:val="21"/>
              </w:rPr>
              <w:t>中国民生银行股份有限公司广州华南支行</w:t>
            </w:r>
            <w:r>
              <w:rPr>
                <w:rFonts w:ascii="宋体" w:hAnsi="宋体"/>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0"/>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rPr>
        <w:t>广州宝诚招标代理咨询有限公司:</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GZBC20HG12013-3</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8"/>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单位名称</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szCs w:val="21"/>
              </w:rPr>
              <w:t>纳税人识别号</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地址</w:t>
            </w:r>
          </w:p>
        </w:tc>
        <w:tc>
          <w:tcPr>
            <w:tcW w:w="7250"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联系电话</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hAnsi="宋体"/>
              </w:rPr>
            </w:pPr>
            <w:r>
              <w:rPr>
                <w:rFonts w:hint="eastAsia" w:ascii="宋体" w:hAnsi="宋体"/>
              </w:rPr>
              <w:t>账    号</w:t>
            </w:r>
          </w:p>
        </w:tc>
        <w:tc>
          <w:tcPr>
            <w:tcW w:w="4130" w:type="dxa"/>
            <w:vAlign w:val="center"/>
          </w:tcPr>
          <w:p>
            <w:pPr>
              <w:jc w:val="center"/>
              <w:rPr>
                <w:rFonts w:ascii="宋体" w:hAnsi="宋体"/>
              </w:rPr>
            </w:pPr>
          </w:p>
        </w:tc>
        <w:tc>
          <w:tcPr>
            <w:tcW w:w="1293" w:type="dxa"/>
            <w:vAlign w:val="center"/>
          </w:tcPr>
          <w:p>
            <w:pPr>
              <w:jc w:val="center"/>
              <w:rPr>
                <w:rFonts w:ascii="宋体" w:hAnsi="宋体"/>
              </w:rPr>
            </w:pPr>
            <w:r>
              <w:rPr>
                <w:rFonts w:hint="eastAsia" w:ascii="宋体" w:hAnsi="宋体"/>
              </w:rPr>
              <w:t>联系人</w:t>
            </w:r>
          </w:p>
        </w:tc>
        <w:tc>
          <w:tcPr>
            <w:tcW w:w="1827"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962"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ascii="宋体" w:hAnsi="宋体"/>
          <w:b/>
          <w:bCs/>
          <w:sz w:val="28"/>
          <w:szCs w:val="28"/>
        </w:rPr>
      </w:pPr>
      <w:r>
        <w:rPr>
          <w:rFonts w:hint="eastAsia" w:ascii="宋体" w:hAnsi="宋体"/>
          <w:b/>
          <w:bCs/>
          <w:sz w:val="28"/>
          <w:szCs w:val="28"/>
        </w:rPr>
        <w:br w:type="page"/>
      </w:r>
    </w:p>
    <w:p>
      <w:pPr>
        <w:pStyle w:val="2"/>
        <w:rPr>
          <w:u w:val="single"/>
        </w:rPr>
      </w:pPr>
    </w:p>
    <w:p>
      <w:pPr>
        <w:spacing w:before="156" w:beforeLines="50" w:after="156" w:afterLines="50" w:line="360" w:lineRule="auto"/>
        <w:jc w:val="center"/>
        <w:outlineLvl w:val="0"/>
        <w:rPr>
          <w:rFonts w:ascii="宋体" w:hAnsi="宋体"/>
          <w:b/>
          <w:bCs/>
          <w:sz w:val="28"/>
          <w:szCs w:val="28"/>
        </w:rPr>
      </w:pPr>
      <w:bookmarkStart w:id="28" w:name="_Toc435174932"/>
      <w:bookmarkStart w:id="29" w:name="_Toc480529443"/>
      <w:bookmarkStart w:id="30" w:name="_Toc435542344"/>
      <w:bookmarkStart w:id="31" w:name="_Toc435516649"/>
      <w:bookmarkStart w:id="32" w:name="_Toc438223019"/>
      <w:bookmarkStart w:id="33" w:name="_Toc8183"/>
      <w:r>
        <w:rPr>
          <w:rFonts w:hint="eastAsia" w:ascii="宋体" w:hAnsi="宋体"/>
          <w:b/>
          <w:bCs/>
          <w:sz w:val="28"/>
          <w:szCs w:val="28"/>
        </w:rPr>
        <w:t>第七章  投标人须知</w:t>
      </w:r>
      <w:bookmarkEnd w:id="28"/>
      <w:bookmarkEnd w:id="29"/>
      <w:bookmarkEnd w:id="30"/>
      <w:bookmarkEnd w:id="31"/>
      <w:bookmarkEnd w:id="32"/>
      <w:bookmarkStart w:id="34" w:name="_Toc292267790"/>
      <w:bookmarkStart w:id="35" w:name="_Toc435516648"/>
      <w:bookmarkStart w:id="36" w:name="_Toc435542343"/>
      <w:bookmarkStart w:id="37" w:name="_Toc435114676"/>
      <w:bookmarkStart w:id="38" w:name="_Toc438223018"/>
      <w:bookmarkStart w:id="39" w:name="_Toc435174931"/>
      <w:bookmarkStart w:id="40" w:name="_Toc435114677"/>
      <w:r>
        <w:rPr>
          <w:rFonts w:hint="eastAsia" w:ascii="宋体" w:hAnsi="宋体"/>
          <w:b/>
          <w:bCs/>
          <w:sz w:val="28"/>
          <w:szCs w:val="28"/>
        </w:rPr>
        <w:t>（</w:t>
      </w:r>
      <w:bookmarkEnd w:id="34"/>
      <w:r>
        <w:rPr>
          <w:rFonts w:hint="eastAsia" w:ascii="宋体" w:hAnsi="宋体"/>
          <w:b/>
          <w:bCs/>
          <w:sz w:val="28"/>
          <w:szCs w:val="28"/>
        </w:rPr>
        <w:t>通用条款）</w:t>
      </w:r>
      <w:bookmarkEnd w:id="33"/>
      <w:bookmarkEnd w:id="35"/>
      <w:bookmarkEnd w:id="36"/>
      <w:bookmarkEnd w:id="37"/>
      <w:bookmarkEnd w:id="38"/>
      <w:bookmarkEnd w:id="39"/>
      <w:bookmarkEnd w:id="40"/>
    </w:p>
    <w:p>
      <w:pPr>
        <w:numPr>
          <w:ilvl w:val="0"/>
          <w:numId w:val="26"/>
        </w:numPr>
        <w:autoSpaceDE w:val="0"/>
        <w:autoSpaceDN w:val="0"/>
        <w:adjustRightInd w:val="0"/>
        <w:snapToGrid w:val="0"/>
        <w:spacing w:before="312" w:beforeLines="100" w:after="312" w:afterLines="100"/>
        <w:ind w:left="1012" w:hanging="1012" w:hangingChars="360"/>
        <w:jc w:val="center"/>
        <w:outlineLvl w:val="1"/>
        <w:rPr>
          <w:rFonts w:ascii="宋体" w:hAnsi="宋体"/>
          <w:b/>
          <w:sz w:val="28"/>
          <w:szCs w:val="28"/>
        </w:rPr>
      </w:pPr>
      <w:bookmarkStart w:id="41" w:name="_Toc435542345"/>
      <w:bookmarkStart w:id="42" w:name="_Toc438223020"/>
      <w:r>
        <w:rPr>
          <w:rFonts w:ascii="宋体" w:hAnsi="宋体"/>
          <w:b/>
          <w:sz w:val="28"/>
          <w:szCs w:val="28"/>
          <w:lang w:eastAsia="zh-TW"/>
        </w:rPr>
        <w:t>说 明</w:t>
      </w:r>
      <w:bookmarkEnd w:id="41"/>
      <w:bookmarkEnd w:id="42"/>
      <w:bookmarkStart w:id="43" w:name="_Toc292267791"/>
    </w:p>
    <w:bookmarkEnd w:id="43"/>
    <w:p>
      <w:pPr>
        <w:numPr>
          <w:ilvl w:val="0"/>
          <w:numId w:val="27"/>
        </w:numPr>
        <w:autoSpaceDE w:val="0"/>
        <w:autoSpaceDN w:val="0"/>
        <w:adjustRightInd w:val="0"/>
        <w:snapToGrid w:val="0"/>
        <w:spacing w:line="360" w:lineRule="auto"/>
        <w:ind w:left="449" w:hanging="449" w:hangingChars="213"/>
        <w:outlineLvl w:val="2"/>
        <w:rPr>
          <w:rFonts w:ascii="宋体" w:hAnsi="宋体"/>
          <w:b/>
          <w:szCs w:val="21"/>
        </w:rPr>
      </w:pPr>
      <w:bookmarkStart w:id="44" w:name="_Toc237787451"/>
      <w:r>
        <w:rPr>
          <w:rFonts w:hint="eastAsia" w:ascii="宋体" w:hAnsi="宋体"/>
          <w:b/>
          <w:szCs w:val="21"/>
        </w:rPr>
        <w:t>采购项目与采购当事人说明</w:t>
      </w:r>
      <w:bookmarkEnd w:id="44"/>
    </w:p>
    <w:p>
      <w:pPr>
        <w:numPr>
          <w:ilvl w:val="1"/>
          <w:numId w:val="27"/>
        </w:numPr>
        <w:autoSpaceDE w:val="0"/>
        <w:autoSpaceDN w:val="0"/>
        <w:adjustRightInd w:val="0"/>
        <w:snapToGrid w:val="0"/>
        <w:spacing w:line="360" w:lineRule="auto"/>
        <w:jc w:val="left"/>
        <w:rPr>
          <w:rFonts w:ascii="宋体" w:hAnsi="宋体"/>
          <w:szCs w:val="21"/>
        </w:rPr>
      </w:pPr>
      <w:bookmarkStart w:id="45"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45"/>
    <w:p>
      <w:pPr>
        <w:numPr>
          <w:ilvl w:val="1"/>
          <w:numId w:val="27"/>
        </w:numPr>
        <w:autoSpaceDE w:val="0"/>
        <w:autoSpaceDN w:val="0"/>
        <w:adjustRightInd w:val="0"/>
        <w:snapToGrid w:val="0"/>
        <w:spacing w:line="360" w:lineRule="auto"/>
        <w:jc w:val="left"/>
        <w:rPr>
          <w:rFonts w:ascii="宋体" w:hAnsi="宋体"/>
          <w:b/>
          <w:szCs w:val="21"/>
        </w:rPr>
      </w:pPr>
      <w:bookmarkStart w:id="46"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27"/>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46"/>
    </w:p>
    <w:p>
      <w:pPr>
        <w:numPr>
          <w:ilvl w:val="0"/>
          <w:numId w:val="27"/>
        </w:numPr>
        <w:autoSpaceDE w:val="0"/>
        <w:autoSpaceDN w:val="0"/>
        <w:adjustRightInd w:val="0"/>
        <w:snapToGrid w:val="0"/>
        <w:spacing w:line="360" w:lineRule="auto"/>
        <w:ind w:left="449" w:hanging="449" w:hangingChars="213"/>
        <w:outlineLvl w:val="2"/>
        <w:rPr>
          <w:rFonts w:ascii="宋体" w:hAnsi="宋体"/>
          <w:b/>
          <w:szCs w:val="21"/>
        </w:rPr>
      </w:pPr>
      <w:bookmarkStart w:id="47" w:name="_Toc237787454"/>
      <w:r>
        <w:rPr>
          <w:rFonts w:hint="eastAsia" w:ascii="宋体" w:hAnsi="宋体"/>
          <w:b/>
          <w:szCs w:val="21"/>
        </w:rPr>
        <w:t>定义及解释</w:t>
      </w:r>
      <w:bookmarkEnd w:id="47"/>
    </w:p>
    <w:p>
      <w:pPr>
        <w:widowControl/>
        <w:numPr>
          <w:ilvl w:val="1"/>
          <w:numId w:val="27"/>
        </w:numPr>
        <w:adjustRightInd w:val="0"/>
        <w:snapToGrid w:val="0"/>
        <w:spacing w:line="360" w:lineRule="auto"/>
        <w:jc w:val="left"/>
        <w:rPr>
          <w:rFonts w:ascii="宋体" w:hAnsi="宋体"/>
          <w:szCs w:val="21"/>
        </w:rPr>
      </w:pPr>
      <w:bookmarkStart w:id="48"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27"/>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48"/>
    <w:p>
      <w:pPr>
        <w:widowControl/>
        <w:numPr>
          <w:ilvl w:val="1"/>
          <w:numId w:val="27"/>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27"/>
        </w:numPr>
        <w:adjustRightInd w:val="0"/>
        <w:snapToGrid w:val="0"/>
        <w:spacing w:line="360" w:lineRule="auto"/>
        <w:jc w:val="left"/>
        <w:rPr>
          <w:rFonts w:ascii="宋体" w:hAnsi="宋体"/>
          <w:szCs w:val="21"/>
        </w:rPr>
      </w:pPr>
      <w:bookmarkStart w:id="49" w:name="_Toc237787460"/>
      <w:r>
        <w:rPr>
          <w:rFonts w:hint="eastAsia" w:ascii="宋体" w:hAnsi="宋体"/>
          <w:szCs w:val="21"/>
        </w:rPr>
        <w:t>评标委员会：是依法组建的、负责本次采购的评标工作的临时性机构。</w:t>
      </w:r>
      <w:bookmarkEnd w:id="49"/>
    </w:p>
    <w:p>
      <w:pPr>
        <w:widowControl/>
        <w:numPr>
          <w:ilvl w:val="1"/>
          <w:numId w:val="27"/>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27"/>
        </w:numPr>
        <w:adjustRightInd w:val="0"/>
        <w:snapToGrid w:val="0"/>
        <w:spacing w:line="360" w:lineRule="auto"/>
        <w:jc w:val="left"/>
        <w:rPr>
          <w:rFonts w:ascii="宋体" w:hAnsi="宋体"/>
          <w:szCs w:val="21"/>
        </w:rPr>
      </w:pPr>
      <w:bookmarkStart w:id="50" w:name="_Toc237787461"/>
      <w:r>
        <w:rPr>
          <w:rFonts w:hint="eastAsia" w:ascii="宋体" w:hAnsi="宋体"/>
          <w:szCs w:val="21"/>
        </w:rPr>
        <w:t>日期：指公历日。</w:t>
      </w:r>
      <w:bookmarkEnd w:id="50"/>
    </w:p>
    <w:p>
      <w:pPr>
        <w:widowControl/>
        <w:numPr>
          <w:ilvl w:val="1"/>
          <w:numId w:val="27"/>
        </w:numPr>
        <w:adjustRightInd w:val="0"/>
        <w:snapToGrid w:val="0"/>
        <w:spacing w:line="360" w:lineRule="auto"/>
        <w:jc w:val="left"/>
        <w:rPr>
          <w:rFonts w:ascii="宋体" w:hAnsi="宋体"/>
          <w:szCs w:val="21"/>
        </w:rPr>
      </w:pPr>
      <w:bookmarkStart w:id="51" w:name="_Toc237787462"/>
      <w:r>
        <w:rPr>
          <w:rFonts w:hint="eastAsia" w:ascii="宋体" w:hAnsi="宋体"/>
          <w:szCs w:val="21"/>
        </w:rPr>
        <w:t>合同：依据本次货物及服务招标采购结果签订的协议。</w:t>
      </w:r>
      <w:bookmarkEnd w:id="51"/>
    </w:p>
    <w:p>
      <w:pPr>
        <w:widowControl/>
        <w:numPr>
          <w:ilvl w:val="1"/>
          <w:numId w:val="27"/>
        </w:numPr>
        <w:adjustRightInd w:val="0"/>
        <w:snapToGrid w:val="0"/>
        <w:spacing w:line="360" w:lineRule="auto"/>
        <w:jc w:val="left"/>
        <w:rPr>
          <w:rFonts w:ascii="宋体" w:hAnsi="宋体"/>
          <w:szCs w:val="21"/>
        </w:rPr>
      </w:pPr>
      <w:bookmarkStart w:id="52" w:name="_Toc237787463"/>
      <w:r>
        <w:rPr>
          <w:rFonts w:hint="eastAsia" w:ascii="宋体" w:hAnsi="宋体"/>
          <w:szCs w:val="21"/>
        </w:rPr>
        <w:t>招标文件中的标题或题名仅起引导作用，而不应视为对招标文件内容的理解和解释。</w:t>
      </w:r>
      <w:bookmarkEnd w:id="52"/>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ascii="宋体" w:hAnsi="宋体"/>
          <w:u w:val="single"/>
        </w:rPr>
      </w:pP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27"/>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27"/>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27"/>
        </w:numPr>
        <w:autoSpaceDE w:val="0"/>
        <w:autoSpaceDN w:val="0"/>
        <w:adjustRightInd w:val="0"/>
        <w:snapToGrid w:val="0"/>
        <w:spacing w:line="360" w:lineRule="auto"/>
        <w:rPr>
          <w:rFonts w:ascii="宋体" w:hAnsi="宋体"/>
          <w:szCs w:val="21"/>
        </w:rPr>
      </w:pPr>
      <w:bookmarkStart w:id="53"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53"/>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54" w:name="_Toc211763038"/>
      <w:r>
        <w:rPr>
          <w:rFonts w:hint="eastAsia" w:ascii="宋体" w:hAnsi="宋体"/>
          <w:szCs w:val="21"/>
        </w:rPr>
        <w:t>依据《政府采购进口产品管理办法</w:t>
      </w:r>
      <w:bookmarkEnd w:id="54"/>
      <w:r>
        <w:rPr>
          <w:rFonts w:hint="eastAsia" w:ascii="宋体" w:hAnsi="宋体"/>
          <w:szCs w:val="21"/>
        </w:rPr>
        <w:t>》执行。</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bookmarkStart w:id="55" w:name="_Toc237787469"/>
      <w:r>
        <w:rPr>
          <w:rFonts w:hint="eastAsia" w:ascii="宋体" w:hAnsi="宋体"/>
          <w:b/>
          <w:bCs/>
          <w:szCs w:val="21"/>
        </w:rPr>
        <w:t>禁止事项</w:t>
      </w:r>
      <w:bookmarkEnd w:id="55"/>
    </w:p>
    <w:p>
      <w:pPr>
        <w:numPr>
          <w:ilvl w:val="1"/>
          <w:numId w:val="27"/>
        </w:numPr>
        <w:autoSpaceDE w:val="0"/>
        <w:autoSpaceDN w:val="0"/>
        <w:adjustRightInd w:val="0"/>
        <w:snapToGrid w:val="0"/>
        <w:spacing w:line="360" w:lineRule="auto"/>
        <w:rPr>
          <w:rFonts w:ascii="宋体" w:hAnsi="宋体"/>
          <w:szCs w:val="21"/>
        </w:rPr>
      </w:pPr>
      <w:bookmarkStart w:id="56" w:name="_Toc237787470"/>
      <w:r>
        <w:rPr>
          <w:rFonts w:hint="eastAsia" w:ascii="宋体" w:hAnsi="宋体"/>
          <w:szCs w:val="21"/>
        </w:rPr>
        <w:t>采购人、投标人和采购代理机构不得相互串通损害国家利益、社会公共利益和其他当</w:t>
      </w:r>
      <w:bookmarkEnd w:id="56"/>
      <w:bookmarkStart w:id="57" w:name="_Toc237787471"/>
      <w:r>
        <w:rPr>
          <w:rFonts w:hint="eastAsia" w:ascii="宋体" w:hAnsi="宋体"/>
          <w:szCs w:val="21"/>
        </w:rPr>
        <w:t>事人的合法权益；不得以任何手段排斥其他投标人参与竞争。</w:t>
      </w:r>
      <w:bookmarkEnd w:id="57"/>
      <w:r>
        <w:rPr>
          <w:rFonts w:hint="eastAsia" w:ascii="宋体" w:hAnsi="宋体"/>
          <w:szCs w:val="21"/>
        </w:rPr>
        <w:t>否则投标无效。</w:t>
      </w:r>
    </w:p>
    <w:p>
      <w:pPr>
        <w:numPr>
          <w:ilvl w:val="1"/>
          <w:numId w:val="27"/>
        </w:numPr>
        <w:autoSpaceDE w:val="0"/>
        <w:autoSpaceDN w:val="0"/>
        <w:adjustRightInd w:val="0"/>
        <w:snapToGrid w:val="0"/>
        <w:spacing w:line="360" w:lineRule="auto"/>
        <w:rPr>
          <w:rFonts w:ascii="宋体" w:hAnsi="宋体"/>
          <w:szCs w:val="21"/>
        </w:rPr>
      </w:pPr>
      <w:bookmarkStart w:id="58" w:name="_Toc237787472"/>
      <w:r>
        <w:rPr>
          <w:rFonts w:hint="eastAsia" w:ascii="宋体" w:hAnsi="宋体"/>
          <w:szCs w:val="21"/>
        </w:rPr>
        <w:t>投标人不得向采购人、采购代理机构、评标委员会的组成人员行贿或者采取其他不正当手段谋取中标。</w:t>
      </w:r>
      <w:bookmarkEnd w:id="58"/>
      <w:r>
        <w:rPr>
          <w:rFonts w:hint="eastAsia" w:ascii="宋体" w:hAnsi="宋体"/>
          <w:szCs w:val="21"/>
        </w:rPr>
        <w:t>否则投标无效。</w:t>
      </w:r>
    </w:p>
    <w:p>
      <w:pPr>
        <w:numPr>
          <w:ilvl w:val="1"/>
          <w:numId w:val="27"/>
        </w:numPr>
        <w:autoSpaceDE w:val="0"/>
        <w:autoSpaceDN w:val="0"/>
        <w:adjustRightInd w:val="0"/>
        <w:snapToGrid w:val="0"/>
        <w:spacing w:line="360" w:lineRule="auto"/>
        <w:rPr>
          <w:rFonts w:ascii="宋体" w:hAnsi="宋体"/>
          <w:szCs w:val="21"/>
        </w:rPr>
      </w:pPr>
      <w:bookmarkStart w:id="59"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59"/>
      <w:r>
        <w:rPr>
          <w:rFonts w:hint="eastAsia" w:ascii="宋体" w:hAnsi="宋体"/>
          <w:szCs w:val="21"/>
        </w:rPr>
        <w:t>否则投标无效。</w:t>
      </w:r>
    </w:p>
    <w:p>
      <w:pPr>
        <w:numPr>
          <w:ilvl w:val="1"/>
          <w:numId w:val="27"/>
        </w:numPr>
        <w:autoSpaceDE w:val="0"/>
        <w:autoSpaceDN w:val="0"/>
        <w:adjustRightInd w:val="0"/>
        <w:snapToGrid w:val="0"/>
        <w:spacing w:line="360" w:lineRule="auto"/>
        <w:rPr>
          <w:rFonts w:ascii="宋体" w:hAnsi="宋体"/>
          <w:szCs w:val="21"/>
        </w:rPr>
      </w:pPr>
      <w:bookmarkStart w:id="60" w:name="_Toc237787474"/>
      <w:r>
        <w:rPr>
          <w:rFonts w:hint="eastAsia" w:ascii="宋体" w:hAnsi="宋体"/>
          <w:szCs w:val="21"/>
        </w:rPr>
        <w:t>《中华人民共和国政府采购法》、《中华人民共和国政府采购法实施条例》及相关法规规定的其他禁止行为。</w:t>
      </w:r>
      <w:bookmarkEnd w:id="60"/>
      <w:r>
        <w:rPr>
          <w:rFonts w:hint="eastAsia" w:ascii="宋体" w:hAnsi="宋体"/>
          <w:szCs w:val="21"/>
        </w:rPr>
        <w:t>否则投标无效。</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bookmarkStart w:id="61" w:name="_Toc237787475"/>
      <w:r>
        <w:rPr>
          <w:rFonts w:hint="eastAsia" w:ascii="宋体" w:hAnsi="宋体"/>
          <w:b/>
          <w:bCs/>
          <w:szCs w:val="21"/>
        </w:rPr>
        <w:t>保密事项</w:t>
      </w:r>
      <w:bookmarkEnd w:id="61"/>
    </w:p>
    <w:p>
      <w:pPr>
        <w:numPr>
          <w:ilvl w:val="1"/>
          <w:numId w:val="27"/>
        </w:numPr>
        <w:autoSpaceDE w:val="0"/>
        <w:autoSpaceDN w:val="0"/>
        <w:adjustRightInd w:val="0"/>
        <w:snapToGrid w:val="0"/>
        <w:spacing w:line="360" w:lineRule="auto"/>
        <w:rPr>
          <w:rFonts w:ascii="宋体" w:hAnsi="宋体"/>
          <w:szCs w:val="21"/>
        </w:rPr>
      </w:pPr>
      <w:bookmarkStart w:id="62"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62"/>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bookmarkStart w:id="63" w:name="_Toc381027666"/>
      <w:r>
        <w:rPr>
          <w:rFonts w:hint="eastAsia" w:ascii="宋体" w:hAnsi="宋体"/>
          <w:b/>
          <w:bCs/>
          <w:szCs w:val="21"/>
        </w:rPr>
        <w:t>政府采购信用担保</w:t>
      </w:r>
      <w:bookmarkEnd w:id="63"/>
    </w:p>
    <w:p>
      <w:pPr>
        <w:numPr>
          <w:ilvl w:val="1"/>
          <w:numId w:val="27"/>
        </w:numPr>
        <w:autoSpaceDE w:val="0"/>
        <w:autoSpaceDN w:val="0"/>
        <w:adjustRightInd w:val="0"/>
        <w:snapToGrid w:val="0"/>
        <w:spacing w:line="360" w:lineRule="auto"/>
        <w:rPr>
          <w:rFonts w:ascii="宋体" w:hAnsi="宋体"/>
          <w:szCs w:val="21"/>
        </w:rPr>
      </w:pPr>
      <w:bookmarkStart w:id="64"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bookmarkEnd w:id="64"/>
    <w:p>
      <w:pPr>
        <w:numPr>
          <w:ilvl w:val="1"/>
          <w:numId w:val="27"/>
        </w:numPr>
        <w:autoSpaceDE w:val="0"/>
        <w:autoSpaceDN w:val="0"/>
        <w:adjustRightInd w:val="0"/>
        <w:snapToGrid w:val="0"/>
        <w:spacing w:line="360" w:lineRule="auto"/>
        <w:rPr>
          <w:rFonts w:ascii="宋体" w:hAnsi="宋体"/>
          <w:b/>
          <w:bCs/>
          <w:szCs w:val="21"/>
        </w:rPr>
      </w:pPr>
      <w:bookmarkStart w:id="65"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65"/>
    </w:p>
    <w:p>
      <w:pPr>
        <w:numPr>
          <w:ilvl w:val="1"/>
          <w:numId w:val="27"/>
        </w:numPr>
        <w:autoSpaceDE w:val="0"/>
        <w:autoSpaceDN w:val="0"/>
        <w:adjustRightInd w:val="0"/>
        <w:snapToGrid w:val="0"/>
        <w:spacing w:line="360" w:lineRule="auto"/>
        <w:rPr>
          <w:rFonts w:ascii="宋体" w:hAnsi="宋体"/>
          <w:szCs w:val="21"/>
        </w:rPr>
      </w:pPr>
      <w:bookmarkStart w:id="66"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66"/>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27"/>
        </w:numPr>
        <w:autoSpaceDE w:val="0"/>
        <w:autoSpaceDN w:val="0"/>
        <w:adjustRightInd w:val="0"/>
        <w:snapToGrid w:val="0"/>
        <w:spacing w:line="360" w:lineRule="auto"/>
        <w:ind w:left="449" w:hanging="449" w:hangingChars="213"/>
        <w:outlineLvl w:val="2"/>
        <w:rPr>
          <w:rFonts w:ascii="宋体" w:hAnsi="宋体"/>
          <w:b/>
          <w:szCs w:val="21"/>
        </w:rPr>
      </w:pPr>
      <w:bookmarkStart w:id="67" w:name="_Toc438223021"/>
      <w:bookmarkStart w:id="68" w:name="_Toc435542346"/>
      <w:r>
        <w:rPr>
          <w:rFonts w:hint="eastAsia" w:ascii="宋体" w:hAnsi="宋体"/>
          <w:b/>
          <w:bCs/>
          <w:szCs w:val="21"/>
        </w:rPr>
        <w:t>知识产权</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27"/>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26"/>
        </w:numPr>
        <w:autoSpaceDE w:val="0"/>
        <w:autoSpaceDN w:val="0"/>
        <w:adjustRightInd w:val="0"/>
        <w:snapToGrid w:val="0"/>
        <w:spacing w:before="312" w:beforeLines="100" w:after="312"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67"/>
      <w:bookmarkEnd w:id="68"/>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27"/>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27"/>
        </w:numPr>
        <w:autoSpaceDE w:val="0"/>
        <w:autoSpaceDN w:val="0"/>
        <w:adjustRightInd w:val="0"/>
        <w:snapToGrid w:val="0"/>
        <w:spacing w:line="360" w:lineRule="auto"/>
        <w:jc w:val="left"/>
        <w:rPr>
          <w:rFonts w:ascii="宋体" w:hAnsi="宋体"/>
          <w:szCs w:val="21"/>
        </w:rPr>
      </w:pPr>
      <w:bookmarkStart w:id="69"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27"/>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69"/>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27"/>
        </w:numPr>
        <w:autoSpaceDE w:val="0"/>
        <w:autoSpaceDN w:val="0"/>
        <w:adjustRightInd w:val="0"/>
        <w:snapToGrid w:val="0"/>
        <w:spacing w:line="360" w:lineRule="auto"/>
        <w:ind w:left="449" w:hanging="449" w:hangingChars="213"/>
        <w:outlineLvl w:val="2"/>
        <w:rPr>
          <w:rFonts w:ascii="宋体" w:hAnsi="宋体" w:cs="宋体"/>
          <w:szCs w:val="21"/>
          <w:lang w:eastAsia="zh-TW"/>
        </w:rPr>
      </w:pPr>
      <w:r>
        <w:rPr>
          <w:rFonts w:hint="eastAsia" w:ascii="宋体" w:hAnsi="宋体"/>
          <w:b/>
          <w:bCs/>
          <w:szCs w:val="21"/>
        </w:rPr>
        <w:t>招标文件的答疑或现场考察</w:t>
      </w:r>
    </w:p>
    <w:p>
      <w:pPr>
        <w:widowControl/>
        <w:numPr>
          <w:ilvl w:val="1"/>
          <w:numId w:val="27"/>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27"/>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27"/>
        </w:numPr>
        <w:tabs>
          <w:tab w:val="left" w:pos="851"/>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27"/>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26"/>
        </w:numPr>
        <w:autoSpaceDE w:val="0"/>
        <w:autoSpaceDN w:val="0"/>
        <w:adjustRightInd w:val="0"/>
        <w:snapToGrid w:val="0"/>
        <w:spacing w:before="312" w:beforeLines="100" w:after="312" w:afterLines="100" w:line="360" w:lineRule="auto"/>
        <w:ind w:left="1012" w:hanging="1012" w:hangingChars="360"/>
        <w:jc w:val="center"/>
        <w:outlineLvl w:val="1"/>
        <w:rPr>
          <w:rFonts w:ascii="宋体" w:hAnsi="宋体"/>
          <w:b/>
          <w:sz w:val="28"/>
          <w:szCs w:val="28"/>
          <w:lang w:eastAsia="zh-TW"/>
        </w:rPr>
      </w:pPr>
      <w:bookmarkStart w:id="70" w:name="_Toc438223022"/>
      <w:bookmarkStart w:id="71" w:name="_Toc435542347"/>
      <w:r>
        <w:rPr>
          <w:rFonts w:hint="eastAsia" w:ascii="宋体" w:hAnsi="宋体"/>
          <w:b/>
          <w:sz w:val="28"/>
          <w:szCs w:val="28"/>
          <w:lang w:eastAsia="zh-TW"/>
        </w:rPr>
        <w:t>投标文件的编制</w:t>
      </w:r>
      <w:bookmarkEnd w:id="70"/>
      <w:bookmarkEnd w:id="71"/>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bookmarkStart w:id="72" w:name="_Toc237787500"/>
      <w:r>
        <w:rPr>
          <w:rFonts w:hint="eastAsia" w:ascii="宋体" w:hAnsi="宋体"/>
          <w:b/>
          <w:bCs/>
          <w:szCs w:val="21"/>
        </w:rPr>
        <w:t>投标的语言</w:t>
      </w:r>
      <w:bookmarkEnd w:id="72"/>
      <w:r>
        <w:rPr>
          <w:rFonts w:hint="eastAsia" w:ascii="宋体" w:hAnsi="宋体"/>
          <w:b/>
          <w:bCs/>
          <w:szCs w:val="21"/>
        </w:rPr>
        <w:t>及度量衡单位</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27"/>
        </w:numPr>
        <w:tabs>
          <w:tab w:val="left" w:pos="851"/>
        </w:tabs>
        <w:autoSpaceDE w:val="0"/>
        <w:autoSpaceDN w:val="0"/>
        <w:adjustRightInd w:val="0"/>
        <w:snapToGrid w:val="0"/>
        <w:spacing w:line="360" w:lineRule="auto"/>
        <w:rPr>
          <w:rFonts w:ascii="宋体" w:hAnsi="宋体" w:cs="宋体"/>
          <w:szCs w:val="21"/>
        </w:rPr>
      </w:pPr>
      <w:bookmarkStart w:id="73"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73"/>
      <w:r>
        <w:rPr>
          <w:rFonts w:hint="eastAsia" w:ascii="宋体" w:hAnsi="宋体" w:cs="宋体"/>
          <w:szCs w:val="21"/>
          <w:lang w:eastAsia="zh-TW"/>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27"/>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27"/>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27"/>
        </w:numPr>
        <w:tabs>
          <w:tab w:val="left" w:pos="709"/>
          <w:tab w:val="left" w:pos="851"/>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27"/>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27"/>
        </w:numPr>
        <w:tabs>
          <w:tab w:val="left" w:pos="709"/>
          <w:tab w:val="left" w:pos="851"/>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27"/>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27"/>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27"/>
        </w:numPr>
        <w:tabs>
          <w:tab w:val="left" w:pos="840"/>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27"/>
        </w:numPr>
        <w:autoSpaceDE w:val="0"/>
        <w:autoSpaceDN w:val="0"/>
        <w:adjustRightInd w:val="0"/>
        <w:snapToGrid w:val="0"/>
        <w:spacing w:line="360" w:lineRule="auto"/>
        <w:rPr>
          <w:rFonts w:ascii="宋体" w:hAnsi="宋体" w:cs="黑体"/>
          <w:b/>
          <w:bCs/>
          <w:szCs w:val="21"/>
        </w:rPr>
      </w:pPr>
      <w:bookmarkStart w:id="74" w:name="_Toc237787518"/>
      <w:r>
        <w:rPr>
          <w:rFonts w:hint="eastAsia" w:ascii="宋体" w:hAnsi="宋体"/>
          <w:szCs w:val="21"/>
        </w:rPr>
        <w:t>投标人应提交证明其有资格参加投标和中标后有能力履行合同的文件，并作为其投标文件的一部分。</w:t>
      </w:r>
      <w:bookmarkEnd w:id="74"/>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27"/>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27"/>
        </w:numPr>
        <w:tabs>
          <w:tab w:val="left" w:pos="770"/>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27"/>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75"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75"/>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27"/>
        </w:numPr>
        <w:adjustRightInd w:val="0"/>
        <w:snapToGrid w:val="0"/>
        <w:spacing w:line="360" w:lineRule="auto"/>
        <w:jc w:val="left"/>
        <w:rPr>
          <w:rFonts w:ascii="宋体" w:hAnsi="宋体"/>
          <w:szCs w:val="21"/>
        </w:rPr>
      </w:pPr>
      <w:bookmarkStart w:id="76" w:name="_Toc237787560"/>
      <w:r>
        <w:rPr>
          <w:rFonts w:hint="eastAsia" w:ascii="宋体" w:hAnsi="宋体"/>
          <w:szCs w:val="21"/>
        </w:rPr>
        <w:t>投标文件正本须用不褪色墨水书写或打印，由投标人的法定代表人或经其正式授权</w:t>
      </w:r>
      <w:bookmarkEnd w:id="76"/>
      <w:bookmarkStart w:id="77"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77"/>
    </w:p>
    <w:p>
      <w:pPr>
        <w:widowControl/>
        <w:numPr>
          <w:ilvl w:val="1"/>
          <w:numId w:val="27"/>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27"/>
        </w:numPr>
        <w:adjustRightInd w:val="0"/>
        <w:snapToGrid w:val="0"/>
        <w:spacing w:line="360" w:lineRule="auto"/>
        <w:jc w:val="left"/>
        <w:rPr>
          <w:rFonts w:ascii="宋体" w:hAnsi="宋体"/>
          <w:b/>
          <w:bCs/>
          <w:szCs w:val="21"/>
        </w:rPr>
      </w:pPr>
      <w:bookmarkStart w:id="78" w:name="_Toc237787563"/>
      <w:r>
        <w:rPr>
          <w:rFonts w:hint="eastAsia" w:ascii="宋体" w:hAnsi="宋体"/>
          <w:b/>
          <w:bCs/>
          <w:szCs w:val="21"/>
        </w:rPr>
        <w:t>投标文件的正本，招标文件中已明示需盖章签名处，均须由投标人加盖投标人公章，并经投标人法定代表人或其正式授权的代表</w:t>
      </w:r>
      <w:bookmarkEnd w:id="78"/>
      <w:bookmarkStart w:id="79" w:name="_Toc237787564"/>
      <w:r>
        <w:rPr>
          <w:rFonts w:hint="eastAsia" w:ascii="宋体" w:hAnsi="宋体"/>
          <w:b/>
          <w:bCs/>
          <w:szCs w:val="21"/>
        </w:rPr>
        <w:t>签署本人姓名或印盖本人姓名章。投标文件副本</w:t>
      </w:r>
      <w:bookmarkEnd w:id="79"/>
      <w:r>
        <w:rPr>
          <w:rFonts w:hint="eastAsia" w:ascii="宋体" w:hAnsi="宋体"/>
          <w:b/>
          <w:bCs/>
          <w:szCs w:val="21"/>
        </w:rPr>
        <w:t>应为正本的复印件。</w:t>
      </w:r>
    </w:p>
    <w:p>
      <w:pPr>
        <w:numPr>
          <w:ilvl w:val="0"/>
          <w:numId w:val="26"/>
        </w:numPr>
        <w:autoSpaceDE w:val="0"/>
        <w:autoSpaceDN w:val="0"/>
        <w:adjustRightInd w:val="0"/>
        <w:snapToGrid w:val="0"/>
        <w:spacing w:before="312" w:beforeLines="100" w:after="312" w:afterLines="100" w:line="360" w:lineRule="auto"/>
        <w:ind w:left="1012" w:hanging="1012" w:hangingChars="360"/>
        <w:jc w:val="center"/>
        <w:outlineLvl w:val="1"/>
        <w:rPr>
          <w:rFonts w:ascii="宋体" w:hAnsi="宋体"/>
          <w:b/>
          <w:sz w:val="28"/>
          <w:szCs w:val="28"/>
          <w:lang w:eastAsia="zh-TW"/>
        </w:rPr>
      </w:pPr>
      <w:bookmarkStart w:id="80" w:name="_Toc438223023"/>
      <w:bookmarkStart w:id="81" w:name="_Toc435542348"/>
      <w:r>
        <w:rPr>
          <w:rFonts w:hint="eastAsia" w:ascii="宋体" w:hAnsi="宋体"/>
          <w:b/>
          <w:sz w:val="28"/>
          <w:szCs w:val="28"/>
          <w:lang w:eastAsia="zh-TW"/>
        </w:rPr>
        <w:t>投标文件的递交</w:t>
      </w:r>
      <w:bookmarkEnd w:id="80"/>
      <w:bookmarkEnd w:id="81"/>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widowControl/>
        <w:numPr>
          <w:ilvl w:val="1"/>
          <w:numId w:val="27"/>
        </w:numPr>
        <w:adjustRightInd w:val="0"/>
        <w:snapToGrid w:val="0"/>
        <w:spacing w:line="360" w:lineRule="auto"/>
        <w:jc w:val="left"/>
        <w:rPr>
          <w:rFonts w:ascii="宋体" w:hAnsi="宋体" w:cs="黑体"/>
          <w:bCs/>
          <w:szCs w:val="21"/>
        </w:rPr>
      </w:pPr>
      <w:r>
        <w:rPr>
          <w:rFonts w:hint="eastAsia" w:ascii="宋体" w:hAnsi="宋体"/>
          <w:szCs w:val="21"/>
        </w:rPr>
        <w:t>为方便开标时唱标，投标人应将投标文件正本和所有的副本分开密封装在单独的信封中，且在信封上标明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w:t>
      </w:r>
    </w:p>
    <w:p>
      <w:pPr>
        <w:widowControl/>
        <w:numPr>
          <w:ilvl w:val="1"/>
          <w:numId w:val="27"/>
        </w:numPr>
        <w:adjustRightInd w:val="0"/>
        <w:snapToGrid w:val="0"/>
        <w:spacing w:line="360" w:lineRule="auto"/>
        <w:jc w:val="left"/>
        <w:rPr>
          <w:rFonts w:ascii="宋体" w:hAnsi="宋体"/>
          <w:szCs w:val="21"/>
        </w:rPr>
      </w:pPr>
      <w:bookmarkStart w:id="82" w:name="_Toc237787569"/>
      <w:r>
        <w:rPr>
          <w:rFonts w:hint="eastAsia" w:ascii="宋体" w:hAnsi="宋体"/>
          <w:szCs w:val="21"/>
        </w:rPr>
        <w:t>内外层信封均应</w:t>
      </w:r>
      <w:bookmarkEnd w:id="82"/>
      <w:r>
        <w:rPr>
          <w:rFonts w:hint="eastAsia" w:ascii="宋体" w:hAnsi="宋体" w:cs="宋体"/>
          <w:szCs w:val="21"/>
        </w:rPr>
        <w:t>：</w:t>
      </w:r>
    </w:p>
    <w:p>
      <w:pPr>
        <w:widowControl/>
        <w:numPr>
          <w:ilvl w:val="2"/>
          <w:numId w:val="27"/>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27"/>
        </w:numPr>
        <w:tabs>
          <w:tab w:val="clear" w:pos="567"/>
        </w:tabs>
        <w:adjustRightInd w:val="0"/>
        <w:snapToGrid w:val="0"/>
        <w:spacing w:line="360" w:lineRule="auto"/>
        <w:ind w:left="851" w:hanging="851"/>
        <w:jc w:val="left"/>
        <w:rPr>
          <w:rFonts w:ascii="宋体" w:hAnsi="宋体"/>
          <w:szCs w:val="21"/>
        </w:rPr>
      </w:pPr>
      <w:bookmarkStart w:id="83"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83"/>
      <w:bookmarkStart w:id="84" w:name="_Toc237787572"/>
      <w:r>
        <w:rPr>
          <w:rFonts w:hint="eastAsia" w:ascii="宋体" w:hAnsi="宋体"/>
          <w:szCs w:val="21"/>
        </w:rPr>
        <w:t>的字样，并填入投标邀请函中规定的开标日期和时间</w:t>
      </w:r>
      <w:bookmarkEnd w:id="84"/>
      <w:r>
        <w:rPr>
          <w:rFonts w:hint="eastAsia" w:ascii="宋体" w:hAnsi="宋体"/>
          <w:szCs w:val="21"/>
        </w:rPr>
        <w:t>；</w:t>
      </w:r>
    </w:p>
    <w:p>
      <w:pPr>
        <w:widowControl/>
        <w:numPr>
          <w:ilvl w:val="2"/>
          <w:numId w:val="27"/>
        </w:numPr>
        <w:tabs>
          <w:tab w:val="clear" w:pos="567"/>
        </w:tabs>
        <w:adjustRightInd w:val="0"/>
        <w:snapToGrid w:val="0"/>
        <w:spacing w:line="360" w:lineRule="auto"/>
        <w:ind w:left="851" w:hanging="851"/>
        <w:jc w:val="left"/>
        <w:rPr>
          <w:rFonts w:ascii="宋体" w:hAnsi="宋体"/>
          <w:szCs w:val="21"/>
        </w:rPr>
      </w:pPr>
      <w:bookmarkStart w:id="85" w:name="_Toc237787573"/>
      <w:r>
        <w:rPr>
          <w:rFonts w:hint="eastAsia" w:ascii="宋体" w:hAnsi="宋体"/>
          <w:szCs w:val="21"/>
        </w:rPr>
        <w:t>内层信封应写明投标人名称和地址，以便将迟交的投标文件能原封</w:t>
      </w:r>
      <w:bookmarkEnd w:id="85"/>
      <w:bookmarkStart w:id="86" w:name="_Toc237787574"/>
      <w:r>
        <w:rPr>
          <w:rFonts w:hint="eastAsia" w:ascii="宋体" w:hAnsi="宋体"/>
          <w:szCs w:val="21"/>
        </w:rPr>
        <w:t>退回。</w:t>
      </w:r>
      <w:bookmarkEnd w:id="86"/>
    </w:p>
    <w:p>
      <w:pPr>
        <w:widowControl/>
        <w:numPr>
          <w:ilvl w:val="2"/>
          <w:numId w:val="27"/>
        </w:numPr>
        <w:tabs>
          <w:tab w:val="clear" w:pos="567"/>
        </w:tabs>
        <w:adjustRightInd w:val="0"/>
        <w:snapToGrid w:val="0"/>
        <w:spacing w:line="360" w:lineRule="auto"/>
        <w:ind w:left="851" w:hanging="851"/>
        <w:jc w:val="left"/>
        <w:rPr>
          <w:rFonts w:ascii="宋体" w:hAnsi="宋体"/>
          <w:szCs w:val="21"/>
        </w:rPr>
      </w:pPr>
      <w:bookmarkStart w:id="87" w:name="_Toc237787575"/>
      <w:r>
        <w:rPr>
          <w:rFonts w:hint="eastAsia" w:ascii="宋体" w:hAnsi="宋体"/>
          <w:szCs w:val="21"/>
        </w:rPr>
        <w:t>如果外层信封未按本须知的要求加写标记，采购人和采购代理机构</w:t>
      </w:r>
      <w:bookmarkEnd w:id="87"/>
      <w:bookmarkStart w:id="88" w:name="_Toc237787576"/>
      <w:r>
        <w:rPr>
          <w:rFonts w:hint="eastAsia" w:ascii="宋体" w:hAnsi="宋体"/>
          <w:szCs w:val="21"/>
        </w:rPr>
        <w:t>对误投或提前启封概不负责</w:t>
      </w:r>
      <w:bookmarkEnd w:id="88"/>
      <w:r>
        <w:rPr>
          <w:rFonts w:hint="eastAsia" w:ascii="宋体" w:hAnsi="宋体" w:cs="宋体"/>
          <w:szCs w:val="21"/>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27"/>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27"/>
        </w:numPr>
        <w:autoSpaceDE w:val="0"/>
        <w:autoSpaceDN w:val="0"/>
        <w:adjustRightInd w:val="0"/>
        <w:snapToGrid w:val="0"/>
        <w:spacing w:line="360" w:lineRule="auto"/>
        <w:rPr>
          <w:rFonts w:ascii="宋体" w:hAnsi="宋体" w:cs="宋体"/>
          <w:szCs w:val="21"/>
          <w:lang w:eastAsia="zh-TW"/>
        </w:rPr>
      </w:pPr>
      <w:bookmarkStart w:id="89" w:name="_Toc237787597"/>
      <w:r>
        <w:rPr>
          <w:rFonts w:hint="eastAsia" w:ascii="宋体" w:hAnsi="宋体" w:cs="宋体"/>
          <w:szCs w:val="21"/>
          <w:lang w:eastAsia="zh-TW"/>
        </w:rPr>
        <w:t>从投标截止时间至投标人在投标文件中确定的投标有效期期满这段时间内，投标人不</w:t>
      </w:r>
      <w:bookmarkEnd w:id="89"/>
      <w:bookmarkStart w:id="90" w:name="_Toc237787598"/>
      <w:r>
        <w:rPr>
          <w:rFonts w:hint="eastAsia" w:ascii="宋体" w:hAnsi="宋体" w:cs="宋体"/>
          <w:szCs w:val="21"/>
          <w:lang w:eastAsia="zh-TW"/>
        </w:rPr>
        <w:t>得撤销其投标</w:t>
      </w:r>
      <w:r>
        <w:rPr>
          <w:rFonts w:hint="eastAsia" w:ascii="宋体" w:hAnsi="宋体" w:cs="宋体"/>
          <w:szCs w:val="21"/>
        </w:rPr>
        <w:t>文件</w:t>
      </w:r>
      <w:bookmarkEnd w:id="90"/>
      <w:r>
        <w:rPr>
          <w:rFonts w:hint="eastAsia" w:ascii="宋体" w:hAnsi="宋体" w:cs="宋体"/>
          <w:szCs w:val="21"/>
        </w:rPr>
        <w:t>。</w:t>
      </w:r>
    </w:p>
    <w:p>
      <w:pPr>
        <w:numPr>
          <w:ilvl w:val="0"/>
          <w:numId w:val="26"/>
        </w:numPr>
        <w:autoSpaceDE w:val="0"/>
        <w:autoSpaceDN w:val="0"/>
        <w:adjustRightInd w:val="0"/>
        <w:snapToGrid w:val="0"/>
        <w:spacing w:before="312" w:beforeLines="100" w:after="312" w:afterLines="100" w:line="360" w:lineRule="auto"/>
        <w:ind w:left="1012" w:hanging="1012" w:hangingChars="360"/>
        <w:jc w:val="center"/>
        <w:outlineLvl w:val="1"/>
        <w:rPr>
          <w:rFonts w:ascii="宋体" w:hAnsi="宋体"/>
          <w:b/>
          <w:sz w:val="28"/>
          <w:szCs w:val="28"/>
          <w:lang w:eastAsia="zh-TW"/>
        </w:rPr>
      </w:pPr>
      <w:bookmarkStart w:id="91" w:name="_Toc438223024"/>
      <w:bookmarkStart w:id="92" w:name="_Toc435542349"/>
      <w:r>
        <w:rPr>
          <w:rFonts w:hint="eastAsia" w:ascii="宋体" w:hAnsi="宋体"/>
          <w:b/>
          <w:sz w:val="28"/>
          <w:szCs w:val="28"/>
          <w:lang w:eastAsia="zh-TW"/>
        </w:rPr>
        <w:t>开标与评标</w:t>
      </w:r>
      <w:bookmarkEnd w:id="91"/>
      <w:bookmarkEnd w:id="92"/>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27"/>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27"/>
        </w:numPr>
        <w:autoSpaceDE w:val="0"/>
        <w:autoSpaceDN w:val="0"/>
        <w:adjustRightInd w:val="0"/>
        <w:snapToGrid w:val="0"/>
        <w:spacing w:line="360" w:lineRule="auto"/>
        <w:rPr>
          <w:rFonts w:ascii="宋体" w:hAnsi="宋体" w:cs="宋体"/>
          <w:szCs w:val="21"/>
          <w:lang w:eastAsia="zh-TW"/>
        </w:rPr>
      </w:pPr>
      <w:bookmarkStart w:id="93"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93"/>
      <w:r>
        <w:rPr>
          <w:rFonts w:hint="eastAsia" w:ascii="宋体" w:hAnsi="宋体" w:cs="宋体"/>
          <w:szCs w:val="21"/>
          <w:lang w:eastAsia="zh-TW"/>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27"/>
        </w:numPr>
        <w:autoSpaceDE w:val="0"/>
        <w:autoSpaceDN w:val="0"/>
        <w:adjustRightInd w:val="0"/>
        <w:snapToGrid w:val="0"/>
        <w:spacing w:line="360" w:lineRule="auto"/>
        <w:rPr>
          <w:rFonts w:ascii="宋体" w:hAnsi="宋体"/>
          <w:szCs w:val="21"/>
        </w:rPr>
      </w:pPr>
      <w:bookmarkStart w:id="94"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94"/>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27"/>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27"/>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审查投标文件是否完整、文件签署是否合格、投标有效期是否满足要求、有无计算</w:t>
      </w:r>
      <w:r>
        <w:rPr>
          <w:rFonts w:hint="eastAsia" w:ascii="宋体" w:hAnsi="宋体" w:cs="宋体"/>
          <w:szCs w:val="21"/>
        </w:rPr>
        <w:t>上</w:t>
      </w:r>
      <w:r>
        <w:rPr>
          <w:rFonts w:hint="eastAsia" w:ascii="宋体" w:hAnsi="宋体" w:cs="宋体"/>
          <w:szCs w:val="21"/>
          <w:lang w:eastAsia="zh-TW"/>
        </w:rPr>
        <w:t>的错误等。</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27"/>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27"/>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27"/>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27"/>
        </w:numPr>
        <w:autoSpaceDE w:val="0"/>
        <w:autoSpaceDN w:val="0"/>
        <w:adjustRightInd w:val="0"/>
        <w:snapToGrid w:val="0"/>
        <w:spacing w:line="360" w:lineRule="auto"/>
        <w:rPr>
          <w:rFonts w:ascii="宋体" w:hAnsi="宋体" w:cs="宋体"/>
          <w:szCs w:val="21"/>
          <w:lang w:eastAsia="zh-TW"/>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27"/>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27"/>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27"/>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27"/>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27"/>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adjustRightInd w:val="0"/>
        <w:snapToGrid w:val="0"/>
        <w:spacing w:line="360" w:lineRule="auto"/>
        <w:jc w:val="left"/>
        <w:rPr>
          <w:rFonts w:ascii="宋体" w:hAnsi="宋体" w:cs="宋体"/>
          <w:bCs/>
          <w:kern w:val="0"/>
          <w:szCs w:val="21"/>
        </w:rPr>
      </w:pPr>
      <w:bookmarkStart w:id="95" w:name="_Toc438223025"/>
      <w:bookmarkStart w:id="96" w:name="_Toc435542350"/>
      <w:r>
        <w:rPr>
          <w:rFonts w:hint="eastAsia" w:ascii="宋体" w:hAnsi="宋体" w:cs="宋体"/>
          <w:bCs/>
          <w:kern w:val="0"/>
          <w:szCs w:val="21"/>
        </w:rPr>
        <w:t xml:space="preserve"> 询问</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 质疑供应商认为采购文件、采购过程或采购结果使自己的权益受到损害的，以书面形式向采购人或采购代理机构书面提出质疑。质疑应当依法给与答复，并将结果告知有关当事人。我司处理质疑的依据是国家相关法律法规以及《广东省政府采购工作规范（试行）》第十一章，程序阐释如下：</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质疑处理遵循公平、公正、规范、高效的原则。</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供应商质疑实行实名制和“谁质疑，谁举证”的原则，质疑应有具体的事项及事实根据。</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供应商质疑应符合下列条件：</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提供质疑的项目名称及其采购编号、质疑供应商的单位名称、详细地址、邮政编码、联系人及联系电话、日期等基本情况。质疑文件必须由法定代表人签署，并加盖单位公章，提交质疑书原件(传真件恕不受理)。若非法定代表人亲自提交的，则须提供法定代表人授权委托书。</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有质疑的具体事项、请求及理由，并附相关证据材料，所依据的有关法律、法规、规章的名称及条款内容。</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质疑材料中有外文资料的，应一并附上中文译本，并以中文译本为准。</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质疑事项属于有关法律、法规和规章规定处于保密阶段的事项，质疑的当事人应当提供信息来源或有效证据。</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（5）参与了所质疑项目的政府采购活动。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不符合上述条件的，采购代理机构不予受理。</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采购代理机构受理质疑办理程序：</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采购代理机构应当在收到质疑书原件的当日与质疑人办理签收手续。</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(4) 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(5) 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(6) 在质疑处理期间，采购代理机构视情形可以依法决定暂停采购活动。</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(7) 采购代理机构原则上在质疑受理之日起七个工作日内书面答复质疑供应商。答复函可以直接领取、传真或邮寄方式均视为有效送达。</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采购单位、评标专家和相关供应商等当事人应积极配合采购代理机构进行质疑调查，如实反映情况，及时提供证明材料。</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(1) 捏造事实或提供虚假证明材料的；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(2) 假冒他人名义进行质疑的；</w:t>
      </w:r>
    </w:p>
    <w:p>
      <w:pPr>
        <w:adjustRightInd w:val="0"/>
        <w:snapToGrid w:val="0"/>
        <w:spacing w:line="360" w:lineRule="auto"/>
        <w:jc w:val="left"/>
        <w:rPr>
          <w:rFonts w:ascii="宋体" w:hAnsi="宋体" w:cs="宋体"/>
          <w:kern w:val="0"/>
          <w:szCs w:val="21"/>
        </w:rPr>
      </w:pPr>
      <w:r>
        <w:rPr>
          <w:rFonts w:hint="eastAsia" w:ascii="宋体" w:hAnsi="宋体" w:cs="宋体"/>
          <w:kern w:val="0"/>
          <w:szCs w:val="21"/>
        </w:rPr>
        <w:t>(3) 拒不配合进行有关调查、情节严重的。</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numPr>
          <w:ilvl w:val="2"/>
          <w:numId w:val="27"/>
        </w:numPr>
        <w:tabs>
          <w:tab w:val="left" w:pos="851"/>
        </w:tabs>
        <w:autoSpaceDE w:val="0"/>
        <w:autoSpaceDN w:val="0"/>
        <w:adjustRightInd w:val="0"/>
        <w:snapToGrid w:val="0"/>
        <w:spacing w:line="360" w:lineRule="auto"/>
        <w:rPr>
          <w:rFonts w:ascii="宋体" w:hAnsi="宋体" w:cs="宋体"/>
          <w:kern w:val="0"/>
          <w:szCs w:val="21"/>
        </w:rPr>
      </w:pPr>
      <w:r>
        <w:rPr>
          <w:rFonts w:hint="eastAsia" w:ascii="宋体" w:hAnsi="宋体" w:cs="宋体"/>
          <w:kern w:val="0"/>
          <w:szCs w:val="21"/>
        </w:rPr>
        <w:t>一年内同一供应商同一行业内有三次无效质疑的列入黑名单，并呈报监管部门处理。</w:t>
      </w:r>
    </w:p>
    <w:p>
      <w:pPr>
        <w:numPr>
          <w:ilvl w:val="0"/>
          <w:numId w:val="26"/>
        </w:numPr>
        <w:autoSpaceDE w:val="0"/>
        <w:autoSpaceDN w:val="0"/>
        <w:adjustRightInd w:val="0"/>
        <w:snapToGrid w:val="0"/>
        <w:spacing w:before="312" w:beforeLines="100" w:after="312"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授予合同</w:t>
      </w:r>
      <w:bookmarkEnd w:id="95"/>
      <w:bookmarkEnd w:id="96"/>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bookmarkStart w:id="97" w:name="_Toc237787628"/>
      <w:r>
        <w:rPr>
          <w:rFonts w:hint="eastAsia" w:ascii="宋体" w:hAnsi="宋体"/>
          <w:b/>
          <w:bCs/>
          <w:szCs w:val="21"/>
        </w:rPr>
        <w:t>中标人的确定</w:t>
      </w:r>
      <w:bookmarkEnd w:id="97"/>
    </w:p>
    <w:p>
      <w:pPr>
        <w:numPr>
          <w:ilvl w:val="1"/>
          <w:numId w:val="27"/>
        </w:numPr>
        <w:autoSpaceDE w:val="0"/>
        <w:autoSpaceDN w:val="0"/>
        <w:adjustRightInd w:val="0"/>
        <w:snapToGrid w:val="0"/>
        <w:spacing w:line="360" w:lineRule="auto"/>
        <w:rPr>
          <w:rFonts w:ascii="宋体" w:hAnsi="宋体" w:cs="宋体"/>
          <w:szCs w:val="21"/>
          <w:lang w:eastAsia="zh-TW"/>
        </w:rPr>
      </w:pPr>
      <w:bookmarkStart w:id="98" w:name="_Toc237787629"/>
      <w:r>
        <w:rPr>
          <w:rFonts w:hint="eastAsia" w:ascii="宋体" w:hAnsi="宋体" w:cs="宋体"/>
          <w:szCs w:val="21"/>
          <w:lang w:eastAsia="zh-TW"/>
        </w:rPr>
        <w:t>采购人根据评标委员会提出的书面评标报告和推荐的中标候选人确定中标人。</w:t>
      </w:r>
      <w:bookmarkEnd w:id="98"/>
      <w:r>
        <w:rPr>
          <w:rFonts w:hint="eastAsia" w:ascii="宋体" w:hAnsi="宋体" w:cs="宋体"/>
          <w:szCs w:val="21"/>
          <w:lang w:eastAsia="zh-TW"/>
        </w:rPr>
        <w:t>采购人也可以授权评标委员会直接确定中标人。</w:t>
      </w:r>
    </w:p>
    <w:p>
      <w:pPr>
        <w:numPr>
          <w:ilvl w:val="1"/>
          <w:numId w:val="27"/>
        </w:numPr>
        <w:autoSpaceDE w:val="0"/>
        <w:autoSpaceDN w:val="0"/>
        <w:adjustRightInd w:val="0"/>
        <w:snapToGrid w:val="0"/>
        <w:spacing w:line="360" w:lineRule="auto"/>
        <w:rPr>
          <w:rFonts w:ascii="宋体" w:hAnsi="宋体" w:cs="宋体"/>
          <w:szCs w:val="21"/>
          <w:lang w:eastAsia="zh-TW"/>
        </w:rPr>
      </w:pPr>
      <w:bookmarkStart w:id="99" w:name="_Toc237787633"/>
      <w:r>
        <w:rPr>
          <w:rFonts w:hint="eastAsia" w:ascii="宋体" w:hAnsi="宋体" w:cs="宋体"/>
          <w:szCs w:val="21"/>
          <w:lang w:eastAsia="zh-TW"/>
        </w:rPr>
        <w:t>确认后采购代理机构将在刊登本项目招标公告的法定媒体上发布中标公告。</w:t>
      </w:r>
      <w:bookmarkEnd w:id="99"/>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00"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00"/>
    </w:p>
    <w:p>
      <w:pPr>
        <w:numPr>
          <w:ilvl w:val="1"/>
          <w:numId w:val="27"/>
        </w:numPr>
        <w:autoSpaceDE w:val="0"/>
        <w:autoSpaceDN w:val="0"/>
        <w:adjustRightInd w:val="0"/>
        <w:snapToGrid w:val="0"/>
        <w:spacing w:line="360" w:lineRule="auto"/>
        <w:rPr>
          <w:rFonts w:ascii="宋体" w:hAnsi="宋体" w:cs="宋体"/>
          <w:szCs w:val="21"/>
          <w:lang w:eastAsia="zh-TW"/>
        </w:rPr>
      </w:pPr>
      <w:bookmarkStart w:id="101" w:name="_Toc237787646"/>
      <w:r>
        <w:rPr>
          <w:rFonts w:hint="eastAsia" w:ascii="宋体" w:hAnsi="宋体" w:cs="宋体"/>
          <w:szCs w:val="21"/>
          <w:lang w:eastAsia="zh-TW"/>
        </w:rPr>
        <w:t>《中标通知书》发出后，采购人改变中标结果，或者中标人放弃中标的，均应承担相应的法律责任。</w:t>
      </w:r>
      <w:bookmarkEnd w:id="101"/>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27"/>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27"/>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27"/>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招标代理服务费</w:t>
      </w:r>
    </w:p>
    <w:p>
      <w:pPr>
        <w:ind w:firstLine="420" w:firstLineChars="200"/>
        <w:rPr>
          <w:rFonts w:ascii="宋体" w:hAnsi="宋体"/>
          <w:szCs w:val="21"/>
        </w:rPr>
      </w:pPr>
      <w:r>
        <w:rPr>
          <w:rFonts w:hint="eastAsia" w:ascii="宋体" w:hAnsi="宋体"/>
          <w:szCs w:val="21"/>
        </w:rPr>
        <w:t xml:space="preserve">本项目招标服务费，按国家发展计划委员会颁发的[2002]1980 号文《招标代理服务收费管理暂行办法》及[2011]534 号文《国家发改委关于降低部分建设项目收费标准规范收费行为等有关问题的通知》的有关规定执行，具体如下： </w:t>
      </w:r>
    </w:p>
    <w:p>
      <w:pPr>
        <w:ind w:firstLine="420" w:firstLineChars="200"/>
        <w:rPr>
          <w:rFonts w:ascii="宋体" w:hAnsi="宋体"/>
          <w:szCs w:val="21"/>
        </w:rPr>
      </w:pPr>
      <w:r>
        <w:rPr>
          <w:rFonts w:hint="eastAsia" w:ascii="宋体" w:hAnsi="宋体"/>
          <w:szCs w:val="21"/>
        </w:rPr>
        <w:t>招标代理服务收费按差额定率累进法计算，以中标通知书中确定的中标金额作为收费的计算依据。该项目中标服务费按国家计委[计价格[2002]1980号]文服务招标代理服务收费标准差额定率累进法计算后收取（根据穗招代理协[2017]3号文规定，不分工程、服务、货物招标，统一为不足 1 万元的按 1 万元计算。）本项目的招标服务费执行以下价格；</w:t>
      </w:r>
    </w:p>
    <w:p>
      <w:pPr>
        <w:ind w:firstLine="420" w:firstLineChars="200"/>
        <w:rPr>
          <w:rFonts w:ascii="宋体" w:hAnsi="宋体"/>
          <w:szCs w:val="21"/>
        </w:rPr>
      </w:pPr>
      <w:r>
        <w:rPr>
          <w:rFonts w:hint="eastAsia" w:ascii="宋体" w:hAnsi="宋体"/>
          <w:szCs w:val="21"/>
        </w:rPr>
        <w:t>(1)</w:t>
      </w:r>
      <w:r>
        <w:rPr>
          <w:rFonts w:hint="eastAsia" w:ascii="宋体" w:hAnsi="宋体"/>
          <w:szCs w:val="21"/>
        </w:rPr>
        <w:tab/>
      </w:r>
      <w:r>
        <w:rPr>
          <w:rFonts w:hint="eastAsia" w:ascii="宋体" w:hAnsi="宋体"/>
          <w:szCs w:val="21"/>
        </w:rPr>
        <w:t>中标金额的各部分费率如下表：</w:t>
      </w:r>
    </w:p>
    <w:tbl>
      <w:tblPr>
        <w:tblStyle w:val="18"/>
        <w:tblW w:w="8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3201"/>
        <w:gridCol w:w="1776"/>
        <w:gridCol w:w="1777"/>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29"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pict>
                <v:line id="直接连接符 1" o:spid="_x0000_s1026" o:spt="20" style="position:absolute;left:0pt;margin-left:-5.1pt;margin-top:22.35pt;height:0.05pt;width:165.35pt;rotation:983040f;z-index:251655168;mso-width-relative:page;mso-height-relative:page;" coordsize="21600,21600">
                  <v:path arrowok="t"/>
                  <v:fill focussize="0,0"/>
                  <v:stroke weight="0.5pt"/>
                  <v:imagedata o:title=""/>
                  <o:lock v:ext="edit"/>
                </v:line>
              </w:pict>
            </w:r>
            <w:r>
              <w:pict>
                <v:shape id="文本框 6" o:spid="_x0000_s1029" o:spt="202" type="#_x0000_t202" style="position:absolute;left:0pt;margin-left:33.35pt;margin-top:14.35pt;height:0pt;width:13.65pt;rotation:983040f;z-index:251660288;mso-width-relative:page;mso-height-relative:page;" filled="f" stroked="f" coordsize="21600,21600">
                  <v:path/>
                  <v:fill on="f" focussize="0,0"/>
                  <v:stroke on="f" joinstyle="miter"/>
                  <v:imagedata o:title=""/>
                  <o:lock v:ext="edit"/>
                  <v:textbox inset="0mm,0mm,0mm,0mm">
                    <w:txbxContent>
                      <w:p>
                        <w:pPr>
                          <w:snapToGrid w:val="0"/>
                        </w:pPr>
                        <w:r>
                          <w:rPr>
                            <w:rFonts w:hint="eastAsia"/>
                          </w:rPr>
                          <w:t>金</w:t>
                        </w:r>
                      </w:p>
                    </w:txbxContent>
                  </v:textbox>
                </v:shape>
              </w:pict>
            </w:r>
            <w:r>
              <w:pict>
                <v:shape id="文本框 2" o:spid="_x0000_s1033" o:spt="202" type="#_x0000_t202" style="position:absolute;left:0pt;margin-left:80.3pt;margin-top:25.15pt;height:0pt;width:13.65pt;rotation:983040f;z-index:251656192;mso-width-relative:page;mso-height-relative:page;" filled="f" stroked="f" coordsize="21600,21600">
                  <v:path/>
                  <v:fill on="f" focussize="0,0"/>
                  <v:stroke on="f" joinstyle="miter"/>
                  <v:imagedata o:title=""/>
                  <o:lock v:ext="edit"/>
                  <v:textbox inset="0mm,0mm,0mm,0mm">
                    <w:txbxContent>
                      <w:p>
                        <w:pPr>
                          <w:snapToGrid w:val="0"/>
                        </w:pPr>
                        <w:r>
                          <w:rPr>
                            <w:rFonts w:hint="eastAsia"/>
                          </w:rPr>
                          <w:t>费</w:t>
                        </w:r>
                      </w:p>
                    </w:txbxContent>
                  </v:textbox>
                </v:shape>
              </w:pict>
            </w:r>
            <w:r>
              <w:pict>
                <v:shape id="文本框 7" o:spid="_x0000_s1028" o:spt="202" type="#_x0000_t202" style="position:absolute;left:0pt;margin-left:53.6pt;margin-top:19pt;height:0pt;width:13.7pt;rotation:983040f;z-index:251661312;mso-width-relative:page;mso-height-relative:page;" filled="f" stroked="f" coordsize="21600,21600">
                  <v:path/>
                  <v:fill on="f" focussize="0,0"/>
                  <v:stroke on="f" joinstyle="miter"/>
                  <v:imagedata o:title=""/>
                  <o:lock v:ext="edit"/>
                  <v:textbox inset="0mm,0mm,0mm,0mm">
                    <w:txbxContent>
                      <w:p>
                        <w:pPr>
                          <w:snapToGrid w:val="0"/>
                        </w:pPr>
                        <w:r>
                          <w:rPr>
                            <w:rFonts w:hint="eastAsia"/>
                          </w:rPr>
                          <w:t>额</w:t>
                        </w:r>
                      </w:p>
                    </w:txbxContent>
                  </v:textbox>
                </v:shape>
              </w:pict>
            </w:r>
            <w:r>
              <w:pict>
                <v:shape id="文本框 5" o:spid="_x0000_s1030" o:spt="202" type="#_x0000_t202" style="position:absolute;left:0pt;margin-left:19.1pt;margin-top:9.75pt;height:0pt;width:13.7pt;rotation:983040f;z-index:251659264;mso-width-relative:page;mso-height-relative:page;" filled="f" stroked="f" coordsize="21600,21600">
                  <v:path/>
                  <v:fill on="f" focussize="0,0"/>
                  <v:stroke on="f" joinstyle="miter"/>
                  <v:imagedata o:title=""/>
                  <o:lock v:ext="edit"/>
                  <v:textbox inset="0mm,0mm,0mm,0mm">
                    <w:txbxContent>
                      <w:p>
                        <w:pPr>
                          <w:snapToGrid w:val="0"/>
                        </w:pPr>
                        <w:r>
                          <w:rPr>
                            <w:rFonts w:hint="eastAsia"/>
                          </w:rPr>
                          <w:t>标</w:t>
                        </w:r>
                      </w:p>
                    </w:txbxContent>
                  </v:textbox>
                </v:shape>
              </w:pict>
            </w:r>
            <w:r>
              <w:pict>
                <v:shape id="文本框 4" o:spid="_x0000_s1031" o:spt="202" type="#_x0000_t202" style="position:absolute;left:0pt;margin-left:1.9pt;margin-top:5.1pt;height:0pt;width:13.65pt;rotation:983040f;z-index:251658240;mso-width-relative:page;mso-height-relative:page;" filled="f" stroked="f" coordsize="21600,21600">
                  <v:path/>
                  <v:fill on="f" focussize="0,0"/>
                  <v:stroke on="f" joinstyle="miter"/>
                  <v:imagedata o:title=""/>
                  <o:lock v:ext="edit"/>
                  <v:textbox inset="0mm,0mm,0mm,0mm">
                    <w:txbxContent>
                      <w:p>
                        <w:pPr>
                          <w:snapToGrid w:val="0"/>
                        </w:pPr>
                        <w:r>
                          <w:rPr>
                            <w:rFonts w:hint="eastAsia"/>
                          </w:rPr>
                          <w:t>中</w:t>
                        </w:r>
                      </w:p>
                    </w:txbxContent>
                  </v:textbox>
                </v:shape>
              </w:pict>
            </w:r>
            <w:r>
              <w:pict>
                <v:shape id="文本框 3" o:spid="_x0000_s1032" o:spt="202" type="#_x0000_t202" style="position:absolute;left:0pt;margin-left:118.55pt;margin-top:36.4pt;height:0pt;width:13.65pt;rotation:983040f;z-index:251657216;mso-width-relative:page;mso-height-relative:page;" filled="f" stroked="f" coordsize="21600,21600">
                  <v:path/>
                  <v:fill on="f" focussize="0,0"/>
                  <v:stroke on="f" joinstyle="miter"/>
                  <v:imagedata o:title=""/>
                  <o:lock v:ext="edit"/>
                  <v:textbox inset="0mm,0mm,0mm,0mm">
                    <w:txbxContent>
                      <w:p>
                        <w:pPr>
                          <w:snapToGrid w:val="0"/>
                        </w:pPr>
                        <w:r>
                          <w:rPr>
                            <w:rFonts w:hint="eastAsia"/>
                          </w:rPr>
                          <w:t>率</w:t>
                        </w:r>
                      </w:p>
                    </w:txbxContent>
                  </v:textbox>
                </v:shape>
              </w:pic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货物招标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服务招标</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100万元以下</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1.50％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100～500万元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1.1％</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0.80％</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500～1000万元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0.8％</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0.45％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 w:hRule="atLeast"/>
          <w:jc w:val="center"/>
        </w:trPr>
        <w:tc>
          <w:tcPr>
            <w:tcW w:w="3201"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1000～5000万元</w:t>
            </w:r>
          </w:p>
        </w:tc>
        <w:tc>
          <w:tcPr>
            <w:tcW w:w="1776"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0.25％</w:t>
            </w:r>
          </w:p>
        </w:tc>
        <w:tc>
          <w:tcPr>
            <w:tcW w:w="1777"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ascii="宋体" w:hAnsi="宋体"/>
                <w:szCs w:val="21"/>
              </w:rPr>
            </w:pPr>
            <w:r>
              <w:rPr>
                <w:rFonts w:hint="eastAsia" w:ascii="宋体" w:hAnsi="宋体"/>
                <w:szCs w:val="21"/>
              </w:rPr>
              <w:t>0.35％</w:t>
            </w:r>
          </w:p>
        </w:tc>
      </w:tr>
    </w:tbl>
    <w:p>
      <w:pPr>
        <w:numPr>
          <w:ilvl w:val="0"/>
          <w:numId w:val="28"/>
        </w:numPr>
        <w:ind w:firstLine="420" w:firstLineChars="200"/>
      </w:pPr>
      <w:r>
        <w:rPr>
          <w:rFonts w:hint="eastAsia" w:ascii="宋体" w:hAnsi="宋体"/>
          <w:szCs w:val="21"/>
        </w:rPr>
        <w:t>中标人在领取《中标通知书》时，必须按《交纳服务费承诺书》向采购代理机构直接交纳招标服务费。</w:t>
      </w:r>
    </w:p>
    <w:p>
      <w:pPr>
        <w:numPr>
          <w:ilvl w:val="0"/>
          <w:numId w:val="28"/>
        </w:numPr>
        <w:ind w:firstLine="420" w:firstLineChars="200"/>
      </w:pPr>
      <w:r>
        <w:rPr>
          <w:rFonts w:hint="eastAsia"/>
        </w:rPr>
        <w:t>本项目专家论证费用6000元一并由中标单位支付。</w:t>
      </w:r>
    </w:p>
    <w:p>
      <w:pPr>
        <w:numPr>
          <w:ilvl w:val="1"/>
          <w:numId w:val="27"/>
        </w:numPr>
        <w:tabs>
          <w:tab w:val="left" w:pos="709"/>
        </w:tabs>
        <w:autoSpaceDE w:val="0"/>
        <w:autoSpaceDN w:val="0"/>
        <w:adjustRightInd w:val="0"/>
        <w:snapToGrid w:val="0"/>
        <w:rPr>
          <w:rFonts w:ascii="宋体" w:hAnsi="宋体" w:cs="宋体"/>
          <w:szCs w:val="21"/>
        </w:rPr>
      </w:pPr>
      <w:r>
        <w:rPr>
          <w:rFonts w:hint="eastAsia" w:ascii="宋体" w:hAnsi="宋体" w:cs="宋体"/>
          <w:szCs w:val="21"/>
        </w:rPr>
        <w:t>经依法取消中标资格的，招标代理服务费不予退还。</w:t>
      </w:r>
    </w:p>
    <w:p>
      <w:pPr>
        <w:numPr>
          <w:ilvl w:val="0"/>
          <w:numId w:val="27"/>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Cs w:val="21"/>
        </w:rPr>
      </w:pPr>
      <w:r>
        <w:rPr>
          <w:rFonts w:hint="eastAsia" w:ascii="宋体" w:hAnsi="宋体"/>
          <w:bCs/>
          <w:sz w:val="28"/>
        </w:rPr>
        <w:t>1：询问函格式</w:t>
      </w:r>
    </w:p>
    <w:p>
      <w:pPr>
        <w:spacing w:after="156"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440" w:lineRule="exact"/>
        <w:rPr>
          <w:rFonts w:ascii="宋体" w:hAnsi="宋体"/>
          <w:szCs w:val="21"/>
        </w:rPr>
      </w:pPr>
      <w:r>
        <w:rPr>
          <w:rFonts w:hint="eastAsia" w:ascii="宋体" w:hAnsi="宋体"/>
          <w:bCs/>
          <w:sz w:val="28"/>
        </w:rPr>
        <w:t>2：质疑函格式</w:t>
      </w:r>
    </w:p>
    <w:p>
      <w:pPr>
        <w:spacing w:after="156"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29"/>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29"/>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29"/>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29"/>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ascii="宋体" w:hAns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SimSun-Identity-H">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http://www.baochengdaili.com/                     第</w:t>
    </w:r>
    <w:r>
      <w:fldChar w:fldCharType="begin"/>
    </w:r>
    <w:r>
      <w:rPr>
        <w:rStyle w:val="22"/>
      </w:rPr>
      <w:instrText xml:space="preserve"> PAGE </w:instrText>
    </w:r>
    <w:r>
      <w:fldChar w:fldCharType="separate"/>
    </w:r>
    <w:r>
      <w:rPr>
        <w:rStyle w:val="22"/>
      </w:rPr>
      <w:t>2</w:t>
    </w:r>
    <w:r>
      <w:fldChar w:fldCharType="end"/>
    </w:r>
    <w:r>
      <w:rPr>
        <w:rStyle w:val="22"/>
        <w:rFonts w:hint="eastAsia"/>
      </w:rPr>
      <w:t>页，共</w:t>
    </w:r>
    <w:r>
      <w:fldChar w:fldCharType="begin"/>
    </w:r>
    <w:r>
      <w:rPr>
        <w:rStyle w:val="22"/>
      </w:rPr>
      <w:instrText xml:space="preserve"> NUMPAGES </w:instrText>
    </w:r>
    <w:r>
      <w:fldChar w:fldCharType="separate"/>
    </w:r>
    <w:r>
      <w:rPr>
        <w:rStyle w:val="22"/>
      </w:rPr>
      <w:t>86</w:t>
    </w:r>
    <w:r>
      <w:fldChar w:fldCharType="end"/>
    </w:r>
    <w:r>
      <w:rPr>
        <w:rStyle w:val="22"/>
        <w:rFonts w:hint="eastAsia"/>
      </w:rPr>
      <w:t>页</w:t>
    </w:r>
    <w:r>
      <w:rPr>
        <w:rFonts w:hint="eastAsia"/>
      </w:rPr>
      <w:t xml:space="preserve">                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rPr>
      <w:t xml:space="preserve"> http://www.baochengdaili.com//                   第</w:t>
    </w:r>
    <w:r>
      <w:fldChar w:fldCharType="begin"/>
    </w:r>
    <w:r>
      <w:rPr>
        <w:rStyle w:val="22"/>
      </w:rPr>
      <w:instrText xml:space="preserve"> PAGE </w:instrText>
    </w:r>
    <w:r>
      <w:fldChar w:fldCharType="separate"/>
    </w:r>
    <w:r>
      <w:rPr>
        <w:rStyle w:val="22"/>
      </w:rPr>
      <w:t>1</w:t>
    </w:r>
    <w:r>
      <w:fldChar w:fldCharType="end"/>
    </w:r>
    <w:r>
      <w:rPr>
        <w:rStyle w:val="22"/>
        <w:rFonts w:hint="eastAsia"/>
      </w:rPr>
      <w:t>页，共</w:t>
    </w:r>
    <w:r>
      <w:fldChar w:fldCharType="begin"/>
    </w:r>
    <w:r>
      <w:rPr>
        <w:rStyle w:val="22"/>
      </w:rPr>
      <w:instrText xml:space="preserve"> NUMPAGES </w:instrText>
    </w:r>
    <w:r>
      <w:fldChar w:fldCharType="separate"/>
    </w:r>
    <w:r>
      <w:rPr>
        <w:rStyle w:val="22"/>
      </w:rPr>
      <w:t>86</w:t>
    </w:r>
    <w:r>
      <w:fldChar w:fldCharType="end"/>
    </w:r>
    <w:r>
      <w:rPr>
        <w:rStyle w:val="22"/>
        <w:rFonts w:hint="eastAsia"/>
      </w:rPr>
      <w:t>页</w:t>
    </w:r>
    <w:r>
      <w:rPr>
        <w:rFonts w:hint="eastAsia"/>
      </w:rPr>
      <w:t xml:space="preserve">                  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rPr>
        <w:rFonts w:hint="eastAsia" w:ascii="宋体" w:hAnsi="宋体" w:eastAsia="宋体"/>
        <w:bCs/>
        <w:lang w:eastAsia="zh-CN"/>
      </w:rPr>
    </w:pPr>
    <w:r>
      <w:rPr>
        <w:rFonts w:hint="eastAsia" w:ascii="宋体" w:hAnsi="宋体"/>
        <w:bCs/>
      </w:rPr>
      <w:t>项目名称：</w:t>
    </w:r>
    <w:r>
      <w:rPr>
        <w:rFonts w:hint="eastAsia" w:ascii="宋体" w:hAnsi="宋体"/>
        <w:bCs/>
        <w:lang w:eastAsia="zh-CN"/>
      </w:rPr>
      <w:t>服刑人员生活物资--副食品（2019-2021年度）补充采购项目（重招第二次）</w:t>
    </w:r>
    <w:r>
      <w:rPr>
        <w:rFonts w:hint="eastAsia" w:ascii="宋体" w:hAnsi="宋体"/>
        <w:bCs/>
      </w:rPr>
      <w:t xml:space="preserve">    </w:t>
    </w:r>
    <w:bookmarkStart w:id="102" w:name="_GoBack"/>
    <w:bookmarkEnd w:id="102"/>
    <w:r>
      <w:rPr>
        <w:rFonts w:hint="eastAsia" w:ascii="宋体" w:hAnsi="宋体"/>
        <w:bCs/>
      </w:rPr>
      <w:t xml:space="preserve"> 项目编号：</w:t>
    </w:r>
    <w:r>
      <w:rPr>
        <w:rFonts w:hint="eastAsia" w:ascii="宋体" w:hAnsi="宋体"/>
        <w:bCs/>
        <w:lang w:eastAsia="zh-CN"/>
      </w:rPr>
      <w:t>GZBC20HG12013-3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F4BF6D"/>
    <w:multiLevelType w:val="multilevel"/>
    <w:tmpl w:val="CFF4BF6D"/>
    <w:lvl w:ilvl="0" w:tentative="0">
      <w:start w:val="1"/>
      <w:numFmt w:val="chineseCountingThousand"/>
      <w:lvlText w:val="%1、"/>
      <w:lvlJc w:val="left"/>
      <w:pPr>
        <w:ind w:left="425" w:hanging="425"/>
      </w:pPr>
      <w:rPr>
        <w:rFonts w:hint="eastAsia"/>
        <w:b w:val="0"/>
        <w:i w:val="0"/>
        <w:color w:val="auto"/>
        <w:sz w:val="24"/>
        <w:szCs w:val="24"/>
      </w:rPr>
    </w:lvl>
    <w:lvl w:ilvl="1" w:tentative="0">
      <w:start w:val="1"/>
      <w:numFmt w:val="chineseCountingThousand"/>
      <w:lvlText w:val="(%2)"/>
      <w:lvlJc w:val="left"/>
      <w:pPr>
        <w:ind w:left="567" w:hanging="567"/>
      </w:pPr>
      <w:rPr>
        <w:rFonts w:hint="eastAsia" w:ascii="宋体" w:hAnsi="宋体" w:eastAsia="宋体"/>
        <w:b w:val="0"/>
        <w:i w:val="0"/>
        <w:strike w:val="0"/>
        <w:dstrike w:val="0"/>
        <w:color w:val="auto"/>
        <w:sz w:val="24"/>
        <w:szCs w:val="24"/>
        <w:u w:val="none"/>
      </w:rPr>
    </w:lvl>
    <w:lvl w:ilvl="2" w:tentative="0">
      <w:start w:val="1"/>
      <w:numFmt w:val="decimal"/>
      <w:lvlText w:val="%3."/>
      <w:lvlJc w:val="left"/>
      <w:pPr>
        <w:ind w:left="709" w:hanging="709"/>
      </w:pPr>
      <w:rPr>
        <w:rFonts w:hint="eastAsia" w:ascii="宋体" w:hAnsi="宋体" w:eastAsia="宋体"/>
        <w:b w:val="0"/>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00000012"/>
    <w:multiLevelType w:val="multilevel"/>
    <w:tmpl w:val="00000012"/>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F62668"/>
    <w:multiLevelType w:val="multilevel"/>
    <w:tmpl w:val="03F62668"/>
    <w:lvl w:ilvl="0" w:tentative="0">
      <w:start w:val="1"/>
      <w:numFmt w:val="chineseCountingThousand"/>
      <w:lvlText w:val="%1、"/>
      <w:lvlJc w:val="left"/>
      <w:pPr>
        <w:ind w:left="425" w:hanging="425"/>
      </w:pPr>
      <w:rPr>
        <w:b w:val="0"/>
        <w:i w:val="0"/>
        <w:color w:val="auto"/>
        <w:sz w:val="24"/>
        <w:szCs w:val="24"/>
      </w:rPr>
    </w:lvl>
    <w:lvl w:ilvl="1" w:tentative="0">
      <w:start w:val="1"/>
      <w:numFmt w:val="chineseCountingThousand"/>
      <w:lvlText w:val="(%2)"/>
      <w:lvlJc w:val="left"/>
      <w:pPr>
        <w:ind w:left="567" w:hanging="567"/>
      </w:pPr>
      <w:rPr>
        <w:rFonts w:ascii="宋体" w:hAnsi="宋体" w:eastAsia="宋体"/>
        <w:b w:val="0"/>
        <w:i w:val="0"/>
        <w:strike w:val="0"/>
        <w:dstrike w:val="0"/>
        <w:color w:val="auto"/>
        <w:sz w:val="24"/>
        <w:szCs w:val="24"/>
        <w:u w:val="none"/>
      </w:rPr>
    </w:lvl>
    <w:lvl w:ilvl="2" w:tentative="0">
      <w:start w:val="1"/>
      <w:numFmt w:val="decimal"/>
      <w:lvlText w:val="%3."/>
      <w:lvlJc w:val="left"/>
      <w:pPr>
        <w:ind w:left="709" w:hanging="709"/>
      </w:pPr>
      <w:rPr>
        <w:rFonts w:ascii="宋体" w:hAnsi="宋体" w:eastAsia="宋体"/>
        <w:b w:val="0"/>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0F2361DD"/>
    <w:multiLevelType w:val="multilevel"/>
    <w:tmpl w:val="0F2361DD"/>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2478586B"/>
    <w:multiLevelType w:val="multilevel"/>
    <w:tmpl w:val="247858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7843FAB"/>
    <w:multiLevelType w:val="multilevel"/>
    <w:tmpl w:val="27843FAB"/>
    <w:lvl w:ilvl="0" w:tentative="0">
      <w:start w:val="1"/>
      <w:numFmt w:val="decimal"/>
      <w:lvlText w:val="%1)"/>
      <w:lvlJc w:val="left"/>
      <w:pPr>
        <w:ind w:left="845" w:hanging="425"/>
      </w:pPr>
      <w:rPr>
        <w:rFonts w:hint="eastAsia"/>
        <w:b w:val="0"/>
      </w:rPr>
    </w:lvl>
    <w:lvl w:ilvl="1" w:tentative="0">
      <w:start w:val="1"/>
      <w:numFmt w:val="decimal"/>
      <w:lvlText w:val="%1.%2."/>
      <w:lvlJc w:val="left"/>
      <w:pPr>
        <w:ind w:left="987" w:hanging="567"/>
      </w:pPr>
      <w:rPr>
        <w:rFonts w:ascii="宋体" w:hAnsi="宋体" w:eastAsia="宋体"/>
      </w:rPr>
    </w:lvl>
    <w:lvl w:ilvl="2" w:tentative="0">
      <w:start w:val="1"/>
      <w:numFmt w:val="decimal"/>
      <w:lvlText w:val="%1.%2.%3."/>
      <w:lvlJc w:val="left"/>
      <w:pPr>
        <w:ind w:left="1129" w:hanging="709"/>
      </w:pPr>
      <w:rPr>
        <w:rFonts w:ascii="宋体" w:hAnsi="宋体" w:eastAsia="宋体"/>
      </w:rPr>
    </w:lvl>
    <w:lvl w:ilvl="3" w:tentative="0">
      <w:start w:val="1"/>
      <w:numFmt w:val="decimal"/>
      <w:lvlText w:val="%1.%2.%3.%4."/>
      <w:lvlJc w:val="left"/>
      <w:pPr>
        <w:ind w:left="1271" w:hanging="851"/>
      </w:pPr>
    </w:lvl>
    <w:lvl w:ilvl="4" w:tentative="0">
      <w:start w:val="1"/>
      <w:numFmt w:val="decimal"/>
      <w:lvlText w:val="%1.%2.%3.%4.%5."/>
      <w:lvlJc w:val="left"/>
      <w:pPr>
        <w:ind w:left="1412" w:hanging="992"/>
      </w:pPr>
    </w:lvl>
    <w:lvl w:ilvl="5" w:tentative="0">
      <w:start w:val="1"/>
      <w:numFmt w:val="decimal"/>
      <w:lvlText w:val="%1.%2.%3.%4.%5.%6."/>
      <w:lvlJc w:val="left"/>
      <w:pPr>
        <w:ind w:left="1554" w:hanging="1134"/>
      </w:pPr>
    </w:lvl>
    <w:lvl w:ilvl="6" w:tentative="0">
      <w:start w:val="1"/>
      <w:numFmt w:val="decimal"/>
      <w:lvlText w:val="%1.%2.%3.%4.%5.%6.%7."/>
      <w:lvlJc w:val="left"/>
      <w:pPr>
        <w:ind w:left="1696" w:hanging="1276"/>
      </w:pPr>
    </w:lvl>
    <w:lvl w:ilvl="7" w:tentative="0">
      <w:start w:val="1"/>
      <w:numFmt w:val="decimal"/>
      <w:lvlText w:val="%1.%2.%3.%4.%5.%6.%7.%8."/>
      <w:lvlJc w:val="left"/>
      <w:pPr>
        <w:ind w:left="1838" w:hanging="1418"/>
      </w:pPr>
    </w:lvl>
    <w:lvl w:ilvl="8" w:tentative="0">
      <w:start w:val="1"/>
      <w:numFmt w:val="decimal"/>
      <w:lvlText w:val="%1.%2.%3.%4.%5.%6.%7.%8.%9."/>
      <w:lvlJc w:val="left"/>
      <w:pPr>
        <w:ind w:left="1979" w:hanging="1559"/>
      </w:pPr>
    </w:lvl>
  </w:abstractNum>
  <w:abstractNum w:abstractNumId="7">
    <w:nsid w:val="295E43D2"/>
    <w:multiLevelType w:val="multilevel"/>
    <w:tmpl w:val="295E43D2"/>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CD1BAA8"/>
    <w:multiLevelType w:val="singleLevel"/>
    <w:tmpl w:val="2CD1BAA8"/>
    <w:lvl w:ilvl="0" w:tentative="0">
      <w:start w:val="2"/>
      <w:numFmt w:val="decimal"/>
      <w:lvlText w:val="(%1)"/>
      <w:lvlJc w:val="left"/>
    </w:lvl>
  </w:abstractNum>
  <w:abstractNum w:abstractNumId="9">
    <w:nsid w:val="2D23426E"/>
    <w:multiLevelType w:val="multilevel"/>
    <w:tmpl w:val="2D23426E"/>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0">
    <w:nsid w:val="36D724EB"/>
    <w:multiLevelType w:val="multilevel"/>
    <w:tmpl w:val="36D724EB"/>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1">
    <w:nsid w:val="39287919"/>
    <w:multiLevelType w:val="multilevel"/>
    <w:tmpl w:val="3928791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13">
    <w:nsid w:val="41F51FC8"/>
    <w:multiLevelType w:val="multilevel"/>
    <w:tmpl w:val="41F51FC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51C043A"/>
    <w:multiLevelType w:val="multilevel"/>
    <w:tmpl w:val="451C043A"/>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8800F0F"/>
    <w:multiLevelType w:val="multilevel"/>
    <w:tmpl w:val="48800F0F"/>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27"/>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7">
    <w:nsid w:val="4DA86E80"/>
    <w:multiLevelType w:val="multilevel"/>
    <w:tmpl w:val="4DA86E80"/>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18">
    <w:nsid w:val="50675357"/>
    <w:multiLevelType w:val="multilevel"/>
    <w:tmpl w:val="50675357"/>
    <w:lvl w:ilvl="0" w:tentative="0">
      <w:start w:val="1"/>
      <w:numFmt w:val="decimal"/>
      <w:lvlText w:val="%1."/>
      <w:lvlJc w:val="left"/>
      <w:pPr>
        <w:ind w:left="425" w:hanging="425"/>
      </w:pPr>
      <w:rPr>
        <w:rFonts w:hint="eastAsia" w:ascii="宋体" w:hAnsi="宋体" w:eastAsia="宋体"/>
        <w:b w:val="0"/>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rPr>
        <w:rFonts w:ascii="宋体" w:hAnsi="宋体" w:eastAsia="宋体"/>
      </w:r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9">
    <w:nsid w:val="52F42418"/>
    <w:multiLevelType w:val="multilevel"/>
    <w:tmpl w:val="52F4241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0">
    <w:nsid w:val="56BB1B21"/>
    <w:multiLevelType w:val="multilevel"/>
    <w:tmpl w:val="56BB1B21"/>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dstrike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2">
    <w:nsid w:val="59EC7344"/>
    <w:multiLevelType w:val="multilevel"/>
    <w:tmpl w:val="59EC734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3">
    <w:nsid w:val="600914E3"/>
    <w:multiLevelType w:val="multilevel"/>
    <w:tmpl w:val="600914E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61247931"/>
    <w:multiLevelType w:val="multilevel"/>
    <w:tmpl w:val="61247931"/>
    <w:lvl w:ilvl="0" w:tentative="0">
      <w:start w:val="1"/>
      <w:numFmt w:val="decimal"/>
      <w:lvlText w:val="%1."/>
      <w:lvlJc w:val="left"/>
      <w:pPr>
        <w:ind w:left="735" w:hanging="420"/>
      </w:pPr>
      <w:rPr>
        <w:b w:val="0"/>
        <w:color w:val="auto"/>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5">
    <w:nsid w:val="6F9217A7"/>
    <w:multiLevelType w:val="multilevel"/>
    <w:tmpl w:val="6F9217A7"/>
    <w:lvl w:ilvl="0" w:tentative="0">
      <w:start w:val="1"/>
      <w:numFmt w:val="chineseCountingThousand"/>
      <w:lvlText w:val="%1、"/>
      <w:lvlJc w:val="left"/>
      <w:pPr>
        <w:ind w:left="425" w:hanging="425"/>
      </w:pPr>
      <w:rPr>
        <w:rFonts w:hint="eastAsia"/>
        <w:b w:val="0"/>
        <w:i w:val="0"/>
        <w:color w:val="auto"/>
        <w:sz w:val="24"/>
        <w:szCs w:val="24"/>
      </w:rPr>
    </w:lvl>
    <w:lvl w:ilvl="1" w:tentative="0">
      <w:start w:val="1"/>
      <w:numFmt w:val="chineseCountingThousand"/>
      <w:lvlText w:val="(%2)"/>
      <w:lvlJc w:val="left"/>
      <w:pPr>
        <w:ind w:left="567" w:hanging="567"/>
      </w:pPr>
      <w:rPr>
        <w:rFonts w:hint="eastAsia" w:ascii="宋体" w:hAnsi="宋体" w:eastAsia="宋体"/>
        <w:b w:val="0"/>
        <w:i w:val="0"/>
        <w:strike w:val="0"/>
        <w:dstrike w:val="0"/>
        <w:color w:val="auto"/>
        <w:sz w:val="24"/>
        <w:szCs w:val="24"/>
        <w:u w:val="none"/>
      </w:rPr>
    </w:lvl>
    <w:lvl w:ilvl="2" w:tentative="0">
      <w:start w:val="1"/>
      <w:numFmt w:val="decimal"/>
      <w:lvlText w:val="%3."/>
      <w:lvlJc w:val="left"/>
      <w:pPr>
        <w:ind w:left="709" w:hanging="709"/>
      </w:pPr>
      <w:rPr>
        <w:rFonts w:hint="eastAsia" w:ascii="宋体" w:hAnsi="宋体" w:eastAsia="宋体"/>
        <w:b w:val="0"/>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6">
    <w:nsid w:val="7296C0E2"/>
    <w:multiLevelType w:val="multilevel"/>
    <w:tmpl w:val="7296C0E2"/>
    <w:lvl w:ilvl="0" w:tentative="0">
      <w:start w:val="1"/>
      <w:numFmt w:val="chineseCountingThousand"/>
      <w:lvlText w:val="%1、"/>
      <w:lvlJc w:val="left"/>
      <w:pPr>
        <w:ind w:left="425" w:hanging="425"/>
      </w:pPr>
      <w:rPr>
        <w:rFonts w:hint="eastAsia"/>
        <w:b w:val="0"/>
        <w:i w:val="0"/>
        <w:color w:val="auto"/>
        <w:sz w:val="24"/>
        <w:szCs w:val="24"/>
      </w:rPr>
    </w:lvl>
    <w:lvl w:ilvl="1" w:tentative="0">
      <w:start w:val="1"/>
      <w:numFmt w:val="chineseCountingThousand"/>
      <w:lvlText w:val="(%2)"/>
      <w:lvlJc w:val="left"/>
      <w:pPr>
        <w:ind w:left="567" w:hanging="567"/>
      </w:pPr>
      <w:rPr>
        <w:rFonts w:hint="eastAsia" w:ascii="宋体" w:hAnsi="宋体" w:eastAsia="宋体"/>
        <w:b w:val="0"/>
        <w:i w:val="0"/>
        <w:strike w:val="0"/>
        <w:dstrike w:val="0"/>
        <w:color w:val="auto"/>
        <w:sz w:val="24"/>
        <w:szCs w:val="24"/>
        <w:u w:val="none"/>
      </w:rPr>
    </w:lvl>
    <w:lvl w:ilvl="2" w:tentative="0">
      <w:start w:val="1"/>
      <w:numFmt w:val="decimal"/>
      <w:lvlText w:val="%3."/>
      <w:lvlJc w:val="left"/>
      <w:pPr>
        <w:ind w:left="709" w:hanging="709"/>
      </w:pPr>
      <w:rPr>
        <w:rFonts w:hint="eastAsia" w:ascii="宋体" w:hAnsi="宋体" w:eastAsia="宋体"/>
        <w:b w:val="0"/>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7">
    <w:nsid w:val="78D54744"/>
    <w:multiLevelType w:val="multilevel"/>
    <w:tmpl w:val="78D54744"/>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7A851134"/>
    <w:multiLevelType w:val="multilevel"/>
    <w:tmpl w:val="7A85113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num w:numId="1">
    <w:abstractNumId w:val="16"/>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3"/>
  </w:num>
  <w:num w:numId="5">
    <w:abstractNumId w:val="7"/>
  </w:num>
  <w:num w:numId="6">
    <w:abstractNumId w:val="17"/>
  </w:num>
  <w:num w:numId="7">
    <w:abstractNumId w:val="14"/>
  </w:num>
  <w:num w:numId="8">
    <w:abstractNumId w:val="5"/>
  </w:num>
  <w:num w:numId="9">
    <w:abstractNumId w:val="11"/>
  </w:num>
  <w:num w:numId="10">
    <w:abstractNumId w:val="18"/>
  </w:num>
  <w:num w:numId="11">
    <w:abstractNumId w:val="6"/>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26"/>
  </w:num>
  <w:num w:numId="15">
    <w:abstractNumId w:val="25"/>
  </w:num>
  <w:num w:numId="16">
    <w:abstractNumId w:val="22"/>
  </w:num>
  <w:num w:numId="17">
    <w:abstractNumId w:val="10"/>
  </w:num>
  <w:num w:numId="18">
    <w:abstractNumId w:val="28"/>
  </w:num>
  <w:num w:numId="19">
    <w:abstractNumId w:val="9"/>
  </w:num>
  <w:num w:numId="20">
    <w:abstractNumId w:val="12"/>
  </w:num>
  <w:num w:numId="21">
    <w:abstractNumId w:val="27"/>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4"/>
  </w:num>
  <w:num w:numId="24">
    <w:abstractNumId w:val="20"/>
  </w:num>
  <w:num w:numId="25">
    <w:abstractNumId w:val="4"/>
  </w:num>
  <w:num w:numId="26">
    <w:abstractNumId w:val="23"/>
  </w:num>
  <w:num w:numId="27">
    <w:abstractNumId w:val="21"/>
  </w:num>
  <w:num w:numId="28">
    <w:abstractNumId w:val="8"/>
  </w:num>
  <w:num w:numId="2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20759"/>
    <w:rsid w:val="00053F1D"/>
    <w:rsid w:val="000809FA"/>
    <w:rsid w:val="000D5B1D"/>
    <w:rsid w:val="000F33E4"/>
    <w:rsid w:val="00107439"/>
    <w:rsid w:val="00111351"/>
    <w:rsid w:val="0012180D"/>
    <w:rsid w:val="0014646B"/>
    <w:rsid w:val="00220759"/>
    <w:rsid w:val="0024761F"/>
    <w:rsid w:val="002E3CFA"/>
    <w:rsid w:val="00373922"/>
    <w:rsid w:val="003763E5"/>
    <w:rsid w:val="0038138A"/>
    <w:rsid w:val="00397AB2"/>
    <w:rsid w:val="003A662A"/>
    <w:rsid w:val="003B2DD3"/>
    <w:rsid w:val="004154B6"/>
    <w:rsid w:val="00446C15"/>
    <w:rsid w:val="0050099C"/>
    <w:rsid w:val="0052325B"/>
    <w:rsid w:val="00537EA8"/>
    <w:rsid w:val="005C5A7F"/>
    <w:rsid w:val="005F146C"/>
    <w:rsid w:val="00603374"/>
    <w:rsid w:val="00616B8E"/>
    <w:rsid w:val="0062088E"/>
    <w:rsid w:val="00650291"/>
    <w:rsid w:val="0067792F"/>
    <w:rsid w:val="00693825"/>
    <w:rsid w:val="006B1FB3"/>
    <w:rsid w:val="006B5DE0"/>
    <w:rsid w:val="006E789D"/>
    <w:rsid w:val="006F29FD"/>
    <w:rsid w:val="007010CD"/>
    <w:rsid w:val="007027DC"/>
    <w:rsid w:val="007036BF"/>
    <w:rsid w:val="00755DCC"/>
    <w:rsid w:val="007E1F5B"/>
    <w:rsid w:val="00800827"/>
    <w:rsid w:val="00803180"/>
    <w:rsid w:val="00815D98"/>
    <w:rsid w:val="0084517A"/>
    <w:rsid w:val="00895D82"/>
    <w:rsid w:val="008B7A88"/>
    <w:rsid w:val="008D4028"/>
    <w:rsid w:val="008E0F27"/>
    <w:rsid w:val="0091698C"/>
    <w:rsid w:val="00960182"/>
    <w:rsid w:val="009713FA"/>
    <w:rsid w:val="00987E4D"/>
    <w:rsid w:val="009B097A"/>
    <w:rsid w:val="00A41C84"/>
    <w:rsid w:val="00A44054"/>
    <w:rsid w:val="00A518DB"/>
    <w:rsid w:val="00A61108"/>
    <w:rsid w:val="00A714CD"/>
    <w:rsid w:val="00AB647A"/>
    <w:rsid w:val="00B178F4"/>
    <w:rsid w:val="00B45D29"/>
    <w:rsid w:val="00B936C2"/>
    <w:rsid w:val="00C22F78"/>
    <w:rsid w:val="00C343A3"/>
    <w:rsid w:val="00C663EE"/>
    <w:rsid w:val="00CA70B5"/>
    <w:rsid w:val="00CD0622"/>
    <w:rsid w:val="00CE1F05"/>
    <w:rsid w:val="00D03D82"/>
    <w:rsid w:val="00D14864"/>
    <w:rsid w:val="00D73EAA"/>
    <w:rsid w:val="00DB03A3"/>
    <w:rsid w:val="00DF72CC"/>
    <w:rsid w:val="00E44955"/>
    <w:rsid w:val="00E85DCC"/>
    <w:rsid w:val="00EA3441"/>
    <w:rsid w:val="00EC4661"/>
    <w:rsid w:val="00EC4D8B"/>
    <w:rsid w:val="00EE6351"/>
    <w:rsid w:val="00EE71D4"/>
    <w:rsid w:val="00F21BAD"/>
    <w:rsid w:val="00F36428"/>
    <w:rsid w:val="00F90625"/>
    <w:rsid w:val="00FA6B7E"/>
    <w:rsid w:val="00FE0B1C"/>
    <w:rsid w:val="01076FD7"/>
    <w:rsid w:val="010D45D7"/>
    <w:rsid w:val="01100146"/>
    <w:rsid w:val="01177C71"/>
    <w:rsid w:val="011E610E"/>
    <w:rsid w:val="01233CB9"/>
    <w:rsid w:val="01255D48"/>
    <w:rsid w:val="012D6130"/>
    <w:rsid w:val="013446F5"/>
    <w:rsid w:val="013924F5"/>
    <w:rsid w:val="013D7117"/>
    <w:rsid w:val="013F3987"/>
    <w:rsid w:val="01456C0A"/>
    <w:rsid w:val="01460851"/>
    <w:rsid w:val="014A2C98"/>
    <w:rsid w:val="014A752A"/>
    <w:rsid w:val="01543ABB"/>
    <w:rsid w:val="01692646"/>
    <w:rsid w:val="016A0798"/>
    <w:rsid w:val="016B1954"/>
    <w:rsid w:val="01863C37"/>
    <w:rsid w:val="01A023BB"/>
    <w:rsid w:val="01AB3259"/>
    <w:rsid w:val="01AB439B"/>
    <w:rsid w:val="01B66F67"/>
    <w:rsid w:val="01B864DF"/>
    <w:rsid w:val="01BA3379"/>
    <w:rsid w:val="01BD240D"/>
    <w:rsid w:val="01BE2DA5"/>
    <w:rsid w:val="01C0060E"/>
    <w:rsid w:val="01CC04BD"/>
    <w:rsid w:val="01CE6F13"/>
    <w:rsid w:val="01CF5629"/>
    <w:rsid w:val="01D55BD9"/>
    <w:rsid w:val="01D829F2"/>
    <w:rsid w:val="01E4177E"/>
    <w:rsid w:val="01E44E37"/>
    <w:rsid w:val="01E76F96"/>
    <w:rsid w:val="01EE06D9"/>
    <w:rsid w:val="01F25280"/>
    <w:rsid w:val="01F40FA5"/>
    <w:rsid w:val="01FE472A"/>
    <w:rsid w:val="020739DD"/>
    <w:rsid w:val="020D4CB8"/>
    <w:rsid w:val="02206911"/>
    <w:rsid w:val="02235477"/>
    <w:rsid w:val="02246E58"/>
    <w:rsid w:val="022D2B4F"/>
    <w:rsid w:val="02342AF7"/>
    <w:rsid w:val="0237773C"/>
    <w:rsid w:val="02427C6A"/>
    <w:rsid w:val="024545E6"/>
    <w:rsid w:val="02485AE1"/>
    <w:rsid w:val="024910A2"/>
    <w:rsid w:val="02496491"/>
    <w:rsid w:val="02516405"/>
    <w:rsid w:val="02571DE8"/>
    <w:rsid w:val="025B1A52"/>
    <w:rsid w:val="025B3DAF"/>
    <w:rsid w:val="025C408B"/>
    <w:rsid w:val="02606DE0"/>
    <w:rsid w:val="02616F3B"/>
    <w:rsid w:val="02764D92"/>
    <w:rsid w:val="0284238E"/>
    <w:rsid w:val="0285293B"/>
    <w:rsid w:val="028F2637"/>
    <w:rsid w:val="028F5FC3"/>
    <w:rsid w:val="029022D1"/>
    <w:rsid w:val="029B0320"/>
    <w:rsid w:val="029C6632"/>
    <w:rsid w:val="02A02BEF"/>
    <w:rsid w:val="02A114C6"/>
    <w:rsid w:val="02B30F4C"/>
    <w:rsid w:val="02B6787A"/>
    <w:rsid w:val="02C103D8"/>
    <w:rsid w:val="02C85C4D"/>
    <w:rsid w:val="02D013D9"/>
    <w:rsid w:val="02D04232"/>
    <w:rsid w:val="02D9087F"/>
    <w:rsid w:val="02DF7AD4"/>
    <w:rsid w:val="02EC00C4"/>
    <w:rsid w:val="02EC4A73"/>
    <w:rsid w:val="02ED1E35"/>
    <w:rsid w:val="02F00104"/>
    <w:rsid w:val="02FF6296"/>
    <w:rsid w:val="030179D7"/>
    <w:rsid w:val="03022A39"/>
    <w:rsid w:val="03205778"/>
    <w:rsid w:val="03236AC2"/>
    <w:rsid w:val="03256779"/>
    <w:rsid w:val="03331E67"/>
    <w:rsid w:val="033F22DD"/>
    <w:rsid w:val="03525BB4"/>
    <w:rsid w:val="03672518"/>
    <w:rsid w:val="03687111"/>
    <w:rsid w:val="037E27E8"/>
    <w:rsid w:val="037F7BA2"/>
    <w:rsid w:val="03845F0D"/>
    <w:rsid w:val="03861EEE"/>
    <w:rsid w:val="038E075C"/>
    <w:rsid w:val="039879F7"/>
    <w:rsid w:val="03B56F97"/>
    <w:rsid w:val="03BA4D34"/>
    <w:rsid w:val="03CC74A6"/>
    <w:rsid w:val="03D11AFF"/>
    <w:rsid w:val="03DE1AAF"/>
    <w:rsid w:val="03E12C23"/>
    <w:rsid w:val="03E145CE"/>
    <w:rsid w:val="03EB5EA0"/>
    <w:rsid w:val="03F94376"/>
    <w:rsid w:val="040075A3"/>
    <w:rsid w:val="040258F9"/>
    <w:rsid w:val="040635BC"/>
    <w:rsid w:val="04202074"/>
    <w:rsid w:val="042B32BA"/>
    <w:rsid w:val="042C421D"/>
    <w:rsid w:val="042C45F3"/>
    <w:rsid w:val="0435791D"/>
    <w:rsid w:val="043D32A2"/>
    <w:rsid w:val="044279CF"/>
    <w:rsid w:val="04494474"/>
    <w:rsid w:val="044D7F7C"/>
    <w:rsid w:val="04507948"/>
    <w:rsid w:val="04605644"/>
    <w:rsid w:val="04643FB1"/>
    <w:rsid w:val="0467026B"/>
    <w:rsid w:val="046766D3"/>
    <w:rsid w:val="047F5C61"/>
    <w:rsid w:val="04835712"/>
    <w:rsid w:val="04856217"/>
    <w:rsid w:val="048D2B18"/>
    <w:rsid w:val="048E69FE"/>
    <w:rsid w:val="04A53FE1"/>
    <w:rsid w:val="04B02EDC"/>
    <w:rsid w:val="04B45049"/>
    <w:rsid w:val="04BC3200"/>
    <w:rsid w:val="04C5482A"/>
    <w:rsid w:val="04CA5CA6"/>
    <w:rsid w:val="04CF7C8B"/>
    <w:rsid w:val="04D06007"/>
    <w:rsid w:val="04D40624"/>
    <w:rsid w:val="04D4516F"/>
    <w:rsid w:val="04DF3D66"/>
    <w:rsid w:val="04E6270B"/>
    <w:rsid w:val="04E80ED9"/>
    <w:rsid w:val="04F2702F"/>
    <w:rsid w:val="04F663E2"/>
    <w:rsid w:val="04F75E4C"/>
    <w:rsid w:val="05061569"/>
    <w:rsid w:val="05075E5F"/>
    <w:rsid w:val="050E15AE"/>
    <w:rsid w:val="051154FD"/>
    <w:rsid w:val="051D5098"/>
    <w:rsid w:val="05237F8E"/>
    <w:rsid w:val="053A443A"/>
    <w:rsid w:val="053B6477"/>
    <w:rsid w:val="05433EC5"/>
    <w:rsid w:val="0550338B"/>
    <w:rsid w:val="05512A36"/>
    <w:rsid w:val="05552592"/>
    <w:rsid w:val="055C1DDF"/>
    <w:rsid w:val="055E6D0B"/>
    <w:rsid w:val="0562684B"/>
    <w:rsid w:val="05640F83"/>
    <w:rsid w:val="056A51FD"/>
    <w:rsid w:val="056D0EEA"/>
    <w:rsid w:val="056E2362"/>
    <w:rsid w:val="057640AD"/>
    <w:rsid w:val="05777728"/>
    <w:rsid w:val="05861571"/>
    <w:rsid w:val="05983E54"/>
    <w:rsid w:val="05994730"/>
    <w:rsid w:val="059959FF"/>
    <w:rsid w:val="059979B6"/>
    <w:rsid w:val="059C7058"/>
    <w:rsid w:val="059D0DCC"/>
    <w:rsid w:val="05A4072B"/>
    <w:rsid w:val="05A66373"/>
    <w:rsid w:val="05AB339D"/>
    <w:rsid w:val="05B13918"/>
    <w:rsid w:val="05B30505"/>
    <w:rsid w:val="05B601C1"/>
    <w:rsid w:val="05BD281A"/>
    <w:rsid w:val="05C3500F"/>
    <w:rsid w:val="05C5601A"/>
    <w:rsid w:val="05C66CFE"/>
    <w:rsid w:val="05CF48E7"/>
    <w:rsid w:val="05D46C1C"/>
    <w:rsid w:val="05D561DA"/>
    <w:rsid w:val="05D56952"/>
    <w:rsid w:val="05D71877"/>
    <w:rsid w:val="05D81EDD"/>
    <w:rsid w:val="05D92701"/>
    <w:rsid w:val="05DA060F"/>
    <w:rsid w:val="05DF719E"/>
    <w:rsid w:val="05EC7AC4"/>
    <w:rsid w:val="05F2736F"/>
    <w:rsid w:val="05F84CB5"/>
    <w:rsid w:val="06024576"/>
    <w:rsid w:val="060471A6"/>
    <w:rsid w:val="060F5578"/>
    <w:rsid w:val="061A3572"/>
    <w:rsid w:val="06210E90"/>
    <w:rsid w:val="06247FCB"/>
    <w:rsid w:val="062509E9"/>
    <w:rsid w:val="0625397B"/>
    <w:rsid w:val="06296351"/>
    <w:rsid w:val="06326464"/>
    <w:rsid w:val="0637367A"/>
    <w:rsid w:val="063C742D"/>
    <w:rsid w:val="064B263C"/>
    <w:rsid w:val="064C65B4"/>
    <w:rsid w:val="064F4318"/>
    <w:rsid w:val="0654452D"/>
    <w:rsid w:val="06575B22"/>
    <w:rsid w:val="06622738"/>
    <w:rsid w:val="06683F90"/>
    <w:rsid w:val="06751F36"/>
    <w:rsid w:val="068A729F"/>
    <w:rsid w:val="068B51FF"/>
    <w:rsid w:val="068E350E"/>
    <w:rsid w:val="06915C39"/>
    <w:rsid w:val="069D4ABD"/>
    <w:rsid w:val="06A00F45"/>
    <w:rsid w:val="06A911AE"/>
    <w:rsid w:val="06A94E70"/>
    <w:rsid w:val="06C51603"/>
    <w:rsid w:val="06C670A8"/>
    <w:rsid w:val="06CA744A"/>
    <w:rsid w:val="06CD1A1D"/>
    <w:rsid w:val="06D17F81"/>
    <w:rsid w:val="06DD4E3D"/>
    <w:rsid w:val="06E7141C"/>
    <w:rsid w:val="06ED59AB"/>
    <w:rsid w:val="06F17DC5"/>
    <w:rsid w:val="06F5637C"/>
    <w:rsid w:val="06F63A05"/>
    <w:rsid w:val="06FB5BEA"/>
    <w:rsid w:val="06FB6328"/>
    <w:rsid w:val="06FD6F5A"/>
    <w:rsid w:val="07050E9A"/>
    <w:rsid w:val="0713372E"/>
    <w:rsid w:val="07136744"/>
    <w:rsid w:val="071873BB"/>
    <w:rsid w:val="071C0EA5"/>
    <w:rsid w:val="071C2B9F"/>
    <w:rsid w:val="071D7C41"/>
    <w:rsid w:val="07445122"/>
    <w:rsid w:val="07455AC0"/>
    <w:rsid w:val="07507F25"/>
    <w:rsid w:val="075B3CA9"/>
    <w:rsid w:val="075E7DA5"/>
    <w:rsid w:val="076273A3"/>
    <w:rsid w:val="07633D59"/>
    <w:rsid w:val="07656A09"/>
    <w:rsid w:val="07677110"/>
    <w:rsid w:val="076E0425"/>
    <w:rsid w:val="077D78AE"/>
    <w:rsid w:val="079040AE"/>
    <w:rsid w:val="079B0CE1"/>
    <w:rsid w:val="07A17C1D"/>
    <w:rsid w:val="07A56326"/>
    <w:rsid w:val="07AD12CC"/>
    <w:rsid w:val="07B25005"/>
    <w:rsid w:val="07B35C3A"/>
    <w:rsid w:val="07B60CF4"/>
    <w:rsid w:val="07BB4BC8"/>
    <w:rsid w:val="07C44F01"/>
    <w:rsid w:val="07D9391A"/>
    <w:rsid w:val="07EA56E7"/>
    <w:rsid w:val="07EB12A0"/>
    <w:rsid w:val="07EC4DBF"/>
    <w:rsid w:val="07ED23C3"/>
    <w:rsid w:val="07F27638"/>
    <w:rsid w:val="07F77B97"/>
    <w:rsid w:val="07FC12FC"/>
    <w:rsid w:val="08032138"/>
    <w:rsid w:val="080C259C"/>
    <w:rsid w:val="080E2CF5"/>
    <w:rsid w:val="081E6D03"/>
    <w:rsid w:val="082549C0"/>
    <w:rsid w:val="08287FB4"/>
    <w:rsid w:val="083927F2"/>
    <w:rsid w:val="083930D1"/>
    <w:rsid w:val="083948C1"/>
    <w:rsid w:val="083A63CB"/>
    <w:rsid w:val="083E2CC9"/>
    <w:rsid w:val="084629C6"/>
    <w:rsid w:val="084A0F9B"/>
    <w:rsid w:val="084C0087"/>
    <w:rsid w:val="086037D3"/>
    <w:rsid w:val="086B4787"/>
    <w:rsid w:val="086D265C"/>
    <w:rsid w:val="086E7719"/>
    <w:rsid w:val="08707530"/>
    <w:rsid w:val="08714199"/>
    <w:rsid w:val="08846250"/>
    <w:rsid w:val="088844B2"/>
    <w:rsid w:val="088B0A0F"/>
    <w:rsid w:val="08997715"/>
    <w:rsid w:val="089E1D6F"/>
    <w:rsid w:val="08A108BB"/>
    <w:rsid w:val="08A52F21"/>
    <w:rsid w:val="08A55AE2"/>
    <w:rsid w:val="08A62C11"/>
    <w:rsid w:val="08A84B0A"/>
    <w:rsid w:val="08AF4250"/>
    <w:rsid w:val="08B96FD1"/>
    <w:rsid w:val="08BA1528"/>
    <w:rsid w:val="08BA6A2E"/>
    <w:rsid w:val="08BF45A4"/>
    <w:rsid w:val="08C12249"/>
    <w:rsid w:val="08C273DC"/>
    <w:rsid w:val="08C576B2"/>
    <w:rsid w:val="08CF4D50"/>
    <w:rsid w:val="08D27BF6"/>
    <w:rsid w:val="08E5218B"/>
    <w:rsid w:val="08E91AA1"/>
    <w:rsid w:val="08F1760E"/>
    <w:rsid w:val="08FB28D6"/>
    <w:rsid w:val="08FB6DB0"/>
    <w:rsid w:val="08FB76E9"/>
    <w:rsid w:val="08FF6F1E"/>
    <w:rsid w:val="0904163D"/>
    <w:rsid w:val="090F0BF1"/>
    <w:rsid w:val="091451D1"/>
    <w:rsid w:val="091C599B"/>
    <w:rsid w:val="092007AC"/>
    <w:rsid w:val="09224D8F"/>
    <w:rsid w:val="092330E0"/>
    <w:rsid w:val="0925477F"/>
    <w:rsid w:val="092D1BB8"/>
    <w:rsid w:val="092F6AFE"/>
    <w:rsid w:val="09320FB5"/>
    <w:rsid w:val="09322F0D"/>
    <w:rsid w:val="093341BD"/>
    <w:rsid w:val="09375999"/>
    <w:rsid w:val="094671CE"/>
    <w:rsid w:val="094E68C4"/>
    <w:rsid w:val="09597B04"/>
    <w:rsid w:val="096C6C46"/>
    <w:rsid w:val="096D6BA1"/>
    <w:rsid w:val="097B5D16"/>
    <w:rsid w:val="098D2EB2"/>
    <w:rsid w:val="09917D73"/>
    <w:rsid w:val="09A0309E"/>
    <w:rsid w:val="09A631F6"/>
    <w:rsid w:val="09AC43EE"/>
    <w:rsid w:val="09B13C74"/>
    <w:rsid w:val="09B40FB4"/>
    <w:rsid w:val="09B86002"/>
    <w:rsid w:val="09BC73C1"/>
    <w:rsid w:val="09CD3AC3"/>
    <w:rsid w:val="09D2755D"/>
    <w:rsid w:val="09D417B2"/>
    <w:rsid w:val="09DC0410"/>
    <w:rsid w:val="09DF3FB6"/>
    <w:rsid w:val="09FC691A"/>
    <w:rsid w:val="0A0A04D3"/>
    <w:rsid w:val="0A0E0055"/>
    <w:rsid w:val="0A193412"/>
    <w:rsid w:val="0A331DF5"/>
    <w:rsid w:val="0A394CA9"/>
    <w:rsid w:val="0A397648"/>
    <w:rsid w:val="0A3C10C1"/>
    <w:rsid w:val="0A4F3643"/>
    <w:rsid w:val="0A5715D9"/>
    <w:rsid w:val="0A5E4838"/>
    <w:rsid w:val="0A5E69CE"/>
    <w:rsid w:val="0A6104A3"/>
    <w:rsid w:val="0A620FC9"/>
    <w:rsid w:val="0A6C66BA"/>
    <w:rsid w:val="0A6D44BD"/>
    <w:rsid w:val="0A782910"/>
    <w:rsid w:val="0A7A5ECF"/>
    <w:rsid w:val="0A7B00FA"/>
    <w:rsid w:val="0A7D5705"/>
    <w:rsid w:val="0A7E1E5F"/>
    <w:rsid w:val="0A8008E1"/>
    <w:rsid w:val="0A8648ED"/>
    <w:rsid w:val="0A921582"/>
    <w:rsid w:val="0A942906"/>
    <w:rsid w:val="0A9F5AA3"/>
    <w:rsid w:val="0AA40BD4"/>
    <w:rsid w:val="0AB14A71"/>
    <w:rsid w:val="0AC321EE"/>
    <w:rsid w:val="0AC558E6"/>
    <w:rsid w:val="0AC601BD"/>
    <w:rsid w:val="0AC732DE"/>
    <w:rsid w:val="0ACD4604"/>
    <w:rsid w:val="0ACF0DFB"/>
    <w:rsid w:val="0AD20000"/>
    <w:rsid w:val="0AD82858"/>
    <w:rsid w:val="0AD91E36"/>
    <w:rsid w:val="0ADB2BA6"/>
    <w:rsid w:val="0ADE554D"/>
    <w:rsid w:val="0AE36C4D"/>
    <w:rsid w:val="0AE47994"/>
    <w:rsid w:val="0AE75D12"/>
    <w:rsid w:val="0AEA52A2"/>
    <w:rsid w:val="0AF00EFE"/>
    <w:rsid w:val="0AF14212"/>
    <w:rsid w:val="0AF210F7"/>
    <w:rsid w:val="0B01368C"/>
    <w:rsid w:val="0B057F4F"/>
    <w:rsid w:val="0B0B542D"/>
    <w:rsid w:val="0B1C567B"/>
    <w:rsid w:val="0B215037"/>
    <w:rsid w:val="0B222495"/>
    <w:rsid w:val="0B2A7363"/>
    <w:rsid w:val="0B2D0D88"/>
    <w:rsid w:val="0B303411"/>
    <w:rsid w:val="0B306BDB"/>
    <w:rsid w:val="0B35589D"/>
    <w:rsid w:val="0B3B46C7"/>
    <w:rsid w:val="0B435D1A"/>
    <w:rsid w:val="0B477723"/>
    <w:rsid w:val="0B4B77A4"/>
    <w:rsid w:val="0B5233A1"/>
    <w:rsid w:val="0B5727D8"/>
    <w:rsid w:val="0B584682"/>
    <w:rsid w:val="0B592B8D"/>
    <w:rsid w:val="0B5C6DF4"/>
    <w:rsid w:val="0B6B23F0"/>
    <w:rsid w:val="0B6D1BA0"/>
    <w:rsid w:val="0B6E29A5"/>
    <w:rsid w:val="0B7016BB"/>
    <w:rsid w:val="0B7F51DF"/>
    <w:rsid w:val="0B813C27"/>
    <w:rsid w:val="0B840A57"/>
    <w:rsid w:val="0B864C0C"/>
    <w:rsid w:val="0B8C64D5"/>
    <w:rsid w:val="0B920A32"/>
    <w:rsid w:val="0B963BF8"/>
    <w:rsid w:val="0B9A48A9"/>
    <w:rsid w:val="0B9E5828"/>
    <w:rsid w:val="0BA64C51"/>
    <w:rsid w:val="0BA760D0"/>
    <w:rsid w:val="0BA96727"/>
    <w:rsid w:val="0BB47B20"/>
    <w:rsid w:val="0BB5246C"/>
    <w:rsid w:val="0BB535CA"/>
    <w:rsid w:val="0BD067E6"/>
    <w:rsid w:val="0BDC5D3C"/>
    <w:rsid w:val="0BE05230"/>
    <w:rsid w:val="0BE11970"/>
    <w:rsid w:val="0BE3559C"/>
    <w:rsid w:val="0BEB5A39"/>
    <w:rsid w:val="0BF53982"/>
    <w:rsid w:val="0C037046"/>
    <w:rsid w:val="0C0716CC"/>
    <w:rsid w:val="0C082284"/>
    <w:rsid w:val="0C11077B"/>
    <w:rsid w:val="0C131DC7"/>
    <w:rsid w:val="0C145CE4"/>
    <w:rsid w:val="0C1F425A"/>
    <w:rsid w:val="0C2631BC"/>
    <w:rsid w:val="0C2C2891"/>
    <w:rsid w:val="0C324EA6"/>
    <w:rsid w:val="0C40688D"/>
    <w:rsid w:val="0C513FEB"/>
    <w:rsid w:val="0C54299D"/>
    <w:rsid w:val="0C5C7DBC"/>
    <w:rsid w:val="0C5E6115"/>
    <w:rsid w:val="0C656979"/>
    <w:rsid w:val="0C662B4A"/>
    <w:rsid w:val="0C756652"/>
    <w:rsid w:val="0C76664C"/>
    <w:rsid w:val="0C7C0554"/>
    <w:rsid w:val="0C804D22"/>
    <w:rsid w:val="0C8F0B14"/>
    <w:rsid w:val="0C964645"/>
    <w:rsid w:val="0C9C4F63"/>
    <w:rsid w:val="0C9F3B5A"/>
    <w:rsid w:val="0CAC5A8E"/>
    <w:rsid w:val="0CD90F45"/>
    <w:rsid w:val="0CD91AD0"/>
    <w:rsid w:val="0CE527A4"/>
    <w:rsid w:val="0CEA4585"/>
    <w:rsid w:val="0CF30A60"/>
    <w:rsid w:val="0D0272E1"/>
    <w:rsid w:val="0D07371E"/>
    <w:rsid w:val="0D085CD5"/>
    <w:rsid w:val="0D0A3AC5"/>
    <w:rsid w:val="0D29549F"/>
    <w:rsid w:val="0D3668A7"/>
    <w:rsid w:val="0D392327"/>
    <w:rsid w:val="0D3E0AB0"/>
    <w:rsid w:val="0D4125FF"/>
    <w:rsid w:val="0D465059"/>
    <w:rsid w:val="0D48448C"/>
    <w:rsid w:val="0D586F7E"/>
    <w:rsid w:val="0D6642B2"/>
    <w:rsid w:val="0D690BEB"/>
    <w:rsid w:val="0D6A04F7"/>
    <w:rsid w:val="0D7F3BB3"/>
    <w:rsid w:val="0D815A20"/>
    <w:rsid w:val="0D8241DA"/>
    <w:rsid w:val="0D91734B"/>
    <w:rsid w:val="0D9E69A8"/>
    <w:rsid w:val="0DA40C88"/>
    <w:rsid w:val="0DAB0F99"/>
    <w:rsid w:val="0DAB1B56"/>
    <w:rsid w:val="0DB1138B"/>
    <w:rsid w:val="0DB14954"/>
    <w:rsid w:val="0DB514C0"/>
    <w:rsid w:val="0DBD165B"/>
    <w:rsid w:val="0DC346B8"/>
    <w:rsid w:val="0DC71864"/>
    <w:rsid w:val="0DC76181"/>
    <w:rsid w:val="0DCA7491"/>
    <w:rsid w:val="0DDA7F38"/>
    <w:rsid w:val="0DDB0986"/>
    <w:rsid w:val="0DDD06BB"/>
    <w:rsid w:val="0DDE4713"/>
    <w:rsid w:val="0DE17245"/>
    <w:rsid w:val="0DE74469"/>
    <w:rsid w:val="0DEE4374"/>
    <w:rsid w:val="0DEF3C94"/>
    <w:rsid w:val="0DF52AAA"/>
    <w:rsid w:val="0DF86DCB"/>
    <w:rsid w:val="0DFB1953"/>
    <w:rsid w:val="0DFF2D63"/>
    <w:rsid w:val="0E0E08B7"/>
    <w:rsid w:val="0E143ECF"/>
    <w:rsid w:val="0E1B51E4"/>
    <w:rsid w:val="0E282319"/>
    <w:rsid w:val="0E3A4805"/>
    <w:rsid w:val="0E4A6F1D"/>
    <w:rsid w:val="0E537A1E"/>
    <w:rsid w:val="0E5B58B9"/>
    <w:rsid w:val="0E62130E"/>
    <w:rsid w:val="0E650473"/>
    <w:rsid w:val="0E681100"/>
    <w:rsid w:val="0E6B31D8"/>
    <w:rsid w:val="0E73215E"/>
    <w:rsid w:val="0E813F40"/>
    <w:rsid w:val="0E820509"/>
    <w:rsid w:val="0E896FFE"/>
    <w:rsid w:val="0E8F652D"/>
    <w:rsid w:val="0E9341BB"/>
    <w:rsid w:val="0E9C5605"/>
    <w:rsid w:val="0E9E0984"/>
    <w:rsid w:val="0E9E1330"/>
    <w:rsid w:val="0E9E4DC0"/>
    <w:rsid w:val="0EA70EC3"/>
    <w:rsid w:val="0EAF6F74"/>
    <w:rsid w:val="0EB57A21"/>
    <w:rsid w:val="0EB63B6A"/>
    <w:rsid w:val="0EBB3ECC"/>
    <w:rsid w:val="0EC109B9"/>
    <w:rsid w:val="0EDA5675"/>
    <w:rsid w:val="0EE04776"/>
    <w:rsid w:val="0EEA3D8E"/>
    <w:rsid w:val="0EF24883"/>
    <w:rsid w:val="0EF408C9"/>
    <w:rsid w:val="0F09758C"/>
    <w:rsid w:val="0F1C36D3"/>
    <w:rsid w:val="0F237C9A"/>
    <w:rsid w:val="0F330170"/>
    <w:rsid w:val="0F393457"/>
    <w:rsid w:val="0F411FE7"/>
    <w:rsid w:val="0F5109C9"/>
    <w:rsid w:val="0F566D59"/>
    <w:rsid w:val="0F5C3DBD"/>
    <w:rsid w:val="0F6064A8"/>
    <w:rsid w:val="0F6F66F8"/>
    <w:rsid w:val="0F752C30"/>
    <w:rsid w:val="0F827398"/>
    <w:rsid w:val="0F877AE7"/>
    <w:rsid w:val="0F8C27C0"/>
    <w:rsid w:val="0F9261BA"/>
    <w:rsid w:val="0F934178"/>
    <w:rsid w:val="0F972A29"/>
    <w:rsid w:val="0F997E52"/>
    <w:rsid w:val="0F9E1CE2"/>
    <w:rsid w:val="0FAD2C02"/>
    <w:rsid w:val="0FB85E4B"/>
    <w:rsid w:val="0FBD61C4"/>
    <w:rsid w:val="0FC57A5F"/>
    <w:rsid w:val="0FCB1C3D"/>
    <w:rsid w:val="0FD161C4"/>
    <w:rsid w:val="0FD6699C"/>
    <w:rsid w:val="0FE72674"/>
    <w:rsid w:val="0FEB7E0D"/>
    <w:rsid w:val="0FF63D67"/>
    <w:rsid w:val="0FF8224E"/>
    <w:rsid w:val="100866C9"/>
    <w:rsid w:val="101375D5"/>
    <w:rsid w:val="10200C88"/>
    <w:rsid w:val="10216F3E"/>
    <w:rsid w:val="10281CAB"/>
    <w:rsid w:val="102A2CD2"/>
    <w:rsid w:val="102B762A"/>
    <w:rsid w:val="1039482C"/>
    <w:rsid w:val="1045085E"/>
    <w:rsid w:val="10464D9F"/>
    <w:rsid w:val="104C0CCB"/>
    <w:rsid w:val="105B31EF"/>
    <w:rsid w:val="105F59D9"/>
    <w:rsid w:val="106845BA"/>
    <w:rsid w:val="106B16E5"/>
    <w:rsid w:val="108037BD"/>
    <w:rsid w:val="10805D57"/>
    <w:rsid w:val="10830267"/>
    <w:rsid w:val="108F770C"/>
    <w:rsid w:val="10903BB8"/>
    <w:rsid w:val="10951E9E"/>
    <w:rsid w:val="109E4DDE"/>
    <w:rsid w:val="10A66BB5"/>
    <w:rsid w:val="10A90238"/>
    <w:rsid w:val="10AF0D25"/>
    <w:rsid w:val="10B72375"/>
    <w:rsid w:val="10B729A8"/>
    <w:rsid w:val="10B937F6"/>
    <w:rsid w:val="10BF066C"/>
    <w:rsid w:val="10C36F86"/>
    <w:rsid w:val="10C554CE"/>
    <w:rsid w:val="10CD27F2"/>
    <w:rsid w:val="10CF2502"/>
    <w:rsid w:val="10DC0B43"/>
    <w:rsid w:val="10DD5695"/>
    <w:rsid w:val="10DE1A89"/>
    <w:rsid w:val="10DE628A"/>
    <w:rsid w:val="10E84633"/>
    <w:rsid w:val="10F63A48"/>
    <w:rsid w:val="11053D8F"/>
    <w:rsid w:val="1108553C"/>
    <w:rsid w:val="11092752"/>
    <w:rsid w:val="11110886"/>
    <w:rsid w:val="11156B5F"/>
    <w:rsid w:val="112213FC"/>
    <w:rsid w:val="11262C6A"/>
    <w:rsid w:val="112A0E5B"/>
    <w:rsid w:val="112C5325"/>
    <w:rsid w:val="112F1AE5"/>
    <w:rsid w:val="113334A9"/>
    <w:rsid w:val="113D0BD7"/>
    <w:rsid w:val="11415019"/>
    <w:rsid w:val="114657CA"/>
    <w:rsid w:val="11471DEC"/>
    <w:rsid w:val="11494296"/>
    <w:rsid w:val="11510737"/>
    <w:rsid w:val="115D0895"/>
    <w:rsid w:val="11647640"/>
    <w:rsid w:val="11744F0C"/>
    <w:rsid w:val="1184410A"/>
    <w:rsid w:val="118603A6"/>
    <w:rsid w:val="1187161B"/>
    <w:rsid w:val="11A13830"/>
    <w:rsid w:val="11A55C03"/>
    <w:rsid w:val="11B036C7"/>
    <w:rsid w:val="11B50AAB"/>
    <w:rsid w:val="11BE738E"/>
    <w:rsid w:val="11C63C86"/>
    <w:rsid w:val="11CE6E93"/>
    <w:rsid w:val="11D371FD"/>
    <w:rsid w:val="11DF7B3A"/>
    <w:rsid w:val="11EA25D5"/>
    <w:rsid w:val="11EE6DCA"/>
    <w:rsid w:val="11EF0378"/>
    <w:rsid w:val="11F128D4"/>
    <w:rsid w:val="11F3526B"/>
    <w:rsid w:val="11F702EF"/>
    <w:rsid w:val="11F86AFE"/>
    <w:rsid w:val="11FF2CAD"/>
    <w:rsid w:val="1206407A"/>
    <w:rsid w:val="120A0329"/>
    <w:rsid w:val="12120705"/>
    <w:rsid w:val="12274679"/>
    <w:rsid w:val="122B667F"/>
    <w:rsid w:val="12307737"/>
    <w:rsid w:val="123B714B"/>
    <w:rsid w:val="123D1C01"/>
    <w:rsid w:val="12431197"/>
    <w:rsid w:val="124654AF"/>
    <w:rsid w:val="12480DE3"/>
    <w:rsid w:val="124D3BE6"/>
    <w:rsid w:val="125245BE"/>
    <w:rsid w:val="12654091"/>
    <w:rsid w:val="12684E43"/>
    <w:rsid w:val="126B41F6"/>
    <w:rsid w:val="126C6635"/>
    <w:rsid w:val="128240B1"/>
    <w:rsid w:val="128E200F"/>
    <w:rsid w:val="12905F0B"/>
    <w:rsid w:val="1298260B"/>
    <w:rsid w:val="129D50AA"/>
    <w:rsid w:val="12A01EC8"/>
    <w:rsid w:val="12A37F6B"/>
    <w:rsid w:val="12A85EC5"/>
    <w:rsid w:val="12A93F60"/>
    <w:rsid w:val="12B0212D"/>
    <w:rsid w:val="12B20D6A"/>
    <w:rsid w:val="12B322E9"/>
    <w:rsid w:val="12BB2356"/>
    <w:rsid w:val="12BE5707"/>
    <w:rsid w:val="12C44259"/>
    <w:rsid w:val="12CB752C"/>
    <w:rsid w:val="12CD54BA"/>
    <w:rsid w:val="12D1493E"/>
    <w:rsid w:val="12DA4151"/>
    <w:rsid w:val="12DE5AA3"/>
    <w:rsid w:val="12E12EDF"/>
    <w:rsid w:val="12EC16B3"/>
    <w:rsid w:val="12EE3831"/>
    <w:rsid w:val="12EF39F1"/>
    <w:rsid w:val="12FC2777"/>
    <w:rsid w:val="12FC3DC2"/>
    <w:rsid w:val="13077776"/>
    <w:rsid w:val="130969F4"/>
    <w:rsid w:val="13096C1B"/>
    <w:rsid w:val="130B5931"/>
    <w:rsid w:val="130D399B"/>
    <w:rsid w:val="130E5589"/>
    <w:rsid w:val="131C61D5"/>
    <w:rsid w:val="131C6844"/>
    <w:rsid w:val="131D7918"/>
    <w:rsid w:val="1323777A"/>
    <w:rsid w:val="13254FDA"/>
    <w:rsid w:val="132E1516"/>
    <w:rsid w:val="1331725B"/>
    <w:rsid w:val="13362A82"/>
    <w:rsid w:val="133F4332"/>
    <w:rsid w:val="13421F12"/>
    <w:rsid w:val="13445761"/>
    <w:rsid w:val="13464D8A"/>
    <w:rsid w:val="134B3396"/>
    <w:rsid w:val="134C3392"/>
    <w:rsid w:val="136B2BD9"/>
    <w:rsid w:val="13702E67"/>
    <w:rsid w:val="13710D11"/>
    <w:rsid w:val="13755F24"/>
    <w:rsid w:val="137778F1"/>
    <w:rsid w:val="137C7919"/>
    <w:rsid w:val="1388177F"/>
    <w:rsid w:val="13926679"/>
    <w:rsid w:val="139B7900"/>
    <w:rsid w:val="13AB10C3"/>
    <w:rsid w:val="13B66AE6"/>
    <w:rsid w:val="13B94ADF"/>
    <w:rsid w:val="13BE37A7"/>
    <w:rsid w:val="13BF1E66"/>
    <w:rsid w:val="13C92A31"/>
    <w:rsid w:val="13CC3968"/>
    <w:rsid w:val="13D31DF6"/>
    <w:rsid w:val="13DD428B"/>
    <w:rsid w:val="13DF3B41"/>
    <w:rsid w:val="13EB4D36"/>
    <w:rsid w:val="13EF305E"/>
    <w:rsid w:val="13F40833"/>
    <w:rsid w:val="13FC25C4"/>
    <w:rsid w:val="14005C22"/>
    <w:rsid w:val="14041B5B"/>
    <w:rsid w:val="14086309"/>
    <w:rsid w:val="1413722A"/>
    <w:rsid w:val="141E453A"/>
    <w:rsid w:val="141F5AFE"/>
    <w:rsid w:val="142719F6"/>
    <w:rsid w:val="142F1F6D"/>
    <w:rsid w:val="14397000"/>
    <w:rsid w:val="143B6C9F"/>
    <w:rsid w:val="143C1B5C"/>
    <w:rsid w:val="143C67C3"/>
    <w:rsid w:val="143E42F5"/>
    <w:rsid w:val="14612821"/>
    <w:rsid w:val="146B05E1"/>
    <w:rsid w:val="146B31C5"/>
    <w:rsid w:val="146C0821"/>
    <w:rsid w:val="14853944"/>
    <w:rsid w:val="148C1B36"/>
    <w:rsid w:val="14901548"/>
    <w:rsid w:val="14991348"/>
    <w:rsid w:val="149F3E4D"/>
    <w:rsid w:val="14B15D22"/>
    <w:rsid w:val="14B97A92"/>
    <w:rsid w:val="14C655E5"/>
    <w:rsid w:val="14C861FB"/>
    <w:rsid w:val="14CD1FF7"/>
    <w:rsid w:val="14D36B81"/>
    <w:rsid w:val="14DC30F3"/>
    <w:rsid w:val="14E562E0"/>
    <w:rsid w:val="14E845CC"/>
    <w:rsid w:val="14EA3BE1"/>
    <w:rsid w:val="14EF601F"/>
    <w:rsid w:val="14F33418"/>
    <w:rsid w:val="14FA0013"/>
    <w:rsid w:val="14FA5E80"/>
    <w:rsid w:val="14FF183D"/>
    <w:rsid w:val="14FF23E5"/>
    <w:rsid w:val="14FF6E26"/>
    <w:rsid w:val="150022D1"/>
    <w:rsid w:val="15050672"/>
    <w:rsid w:val="15074E61"/>
    <w:rsid w:val="150D4E1E"/>
    <w:rsid w:val="150F1ED6"/>
    <w:rsid w:val="15142668"/>
    <w:rsid w:val="151D206E"/>
    <w:rsid w:val="15286794"/>
    <w:rsid w:val="152C765F"/>
    <w:rsid w:val="15401471"/>
    <w:rsid w:val="154B1366"/>
    <w:rsid w:val="155520BD"/>
    <w:rsid w:val="15557385"/>
    <w:rsid w:val="155F033A"/>
    <w:rsid w:val="156E03F6"/>
    <w:rsid w:val="15710A67"/>
    <w:rsid w:val="15753EFF"/>
    <w:rsid w:val="15786EBF"/>
    <w:rsid w:val="157924C7"/>
    <w:rsid w:val="157F44A7"/>
    <w:rsid w:val="15823112"/>
    <w:rsid w:val="15831A68"/>
    <w:rsid w:val="158E7CA3"/>
    <w:rsid w:val="158F7009"/>
    <w:rsid w:val="15907E04"/>
    <w:rsid w:val="159A5DC2"/>
    <w:rsid w:val="159B2DD6"/>
    <w:rsid w:val="159D06A1"/>
    <w:rsid w:val="159D726A"/>
    <w:rsid w:val="159F33A9"/>
    <w:rsid w:val="15A313AC"/>
    <w:rsid w:val="15AC5474"/>
    <w:rsid w:val="15BD36C0"/>
    <w:rsid w:val="15BF6870"/>
    <w:rsid w:val="15C51ED2"/>
    <w:rsid w:val="15D103CA"/>
    <w:rsid w:val="15D10DCA"/>
    <w:rsid w:val="15DC7DEF"/>
    <w:rsid w:val="15DF306C"/>
    <w:rsid w:val="15EB220D"/>
    <w:rsid w:val="15EF7E12"/>
    <w:rsid w:val="15F20A86"/>
    <w:rsid w:val="1603237C"/>
    <w:rsid w:val="1607459A"/>
    <w:rsid w:val="160D3373"/>
    <w:rsid w:val="16147D16"/>
    <w:rsid w:val="161C2BC7"/>
    <w:rsid w:val="163367B4"/>
    <w:rsid w:val="16373386"/>
    <w:rsid w:val="16374A54"/>
    <w:rsid w:val="163E35B0"/>
    <w:rsid w:val="16426B8B"/>
    <w:rsid w:val="16481886"/>
    <w:rsid w:val="164E59E7"/>
    <w:rsid w:val="165266E7"/>
    <w:rsid w:val="16542547"/>
    <w:rsid w:val="16554F76"/>
    <w:rsid w:val="165811A6"/>
    <w:rsid w:val="165D528E"/>
    <w:rsid w:val="166313A7"/>
    <w:rsid w:val="166D7AEE"/>
    <w:rsid w:val="167006B3"/>
    <w:rsid w:val="16713684"/>
    <w:rsid w:val="16765CF9"/>
    <w:rsid w:val="167B0CE8"/>
    <w:rsid w:val="16844690"/>
    <w:rsid w:val="168618B8"/>
    <w:rsid w:val="16886F66"/>
    <w:rsid w:val="16932C4F"/>
    <w:rsid w:val="16952D61"/>
    <w:rsid w:val="16961D80"/>
    <w:rsid w:val="169C5B4A"/>
    <w:rsid w:val="169E43BB"/>
    <w:rsid w:val="16A1248C"/>
    <w:rsid w:val="16A71D6A"/>
    <w:rsid w:val="16AC1D7E"/>
    <w:rsid w:val="16AE2AD6"/>
    <w:rsid w:val="16BD2C63"/>
    <w:rsid w:val="16C03FA8"/>
    <w:rsid w:val="16C20D93"/>
    <w:rsid w:val="16C908C1"/>
    <w:rsid w:val="16C941AB"/>
    <w:rsid w:val="16CE431A"/>
    <w:rsid w:val="16D37FC1"/>
    <w:rsid w:val="16D436D3"/>
    <w:rsid w:val="16D55A26"/>
    <w:rsid w:val="16D66519"/>
    <w:rsid w:val="16DF1B6A"/>
    <w:rsid w:val="16DF490F"/>
    <w:rsid w:val="16F1047C"/>
    <w:rsid w:val="16F27B2F"/>
    <w:rsid w:val="16F34581"/>
    <w:rsid w:val="16FB0EAA"/>
    <w:rsid w:val="17080B36"/>
    <w:rsid w:val="170B1411"/>
    <w:rsid w:val="171A632D"/>
    <w:rsid w:val="17251228"/>
    <w:rsid w:val="172C190E"/>
    <w:rsid w:val="17313DBB"/>
    <w:rsid w:val="173642F1"/>
    <w:rsid w:val="173B2CBB"/>
    <w:rsid w:val="1746166A"/>
    <w:rsid w:val="174C0B25"/>
    <w:rsid w:val="17515D17"/>
    <w:rsid w:val="175225A9"/>
    <w:rsid w:val="175E7109"/>
    <w:rsid w:val="175F762D"/>
    <w:rsid w:val="17605E59"/>
    <w:rsid w:val="176D2223"/>
    <w:rsid w:val="176E5AAD"/>
    <w:rsid w:val="17716C8E"/>
    <w:rsid w:val="17733879"/>
    <w:rsid w:val="177B580E"/>
    <w:rsid w:val="17830166"/>
    <w:rsid w:val="178B5941"/>
    <w:rsid w:val="179A1BF1"/>
    <w:rsid w:val="179B3199"/>
    <w:rsid w:val="17A025E4"/>
    <w:rsid w:val="17A54224"/>
    <w:rsid w:val="17A55683"/>
    <w:rsid w:val="17B152CC"/>
    <w:rsid w:val="17B45059"/>
    <w:rsid w:val="17BE238F"/>
    <w:rsid w:val="17CC1FE4"/>
    <w:rsid w:val="17D65AF0"/>
    <w:rsid w:val="17DD3C4A"/>
    <w:rsid w:val="17DE2C4B"/>
    <w:rsid w:val="17F62CAF"/>
    <w:rsid w:val="17FA0107"/>
    <w:rsid w:val="180A5128"/>
    <w:rsid w:val="180C16C3"/>
    <w:rsid w:val="181227BC"/>
    <w:rsid w:val="18144B2E"/>
    <w:rsid w:val="1816449B"/>
    <w:rsid w:val="181C5707"/>
    <w:rsid w:val="18216B8A"/>
    <w:rsid w:val="18271570"/>
    <w:rsid w:val="182A77A3"/>
    <w:rsid w:val="18301DAA"/>
    <w:rsid w:val="183D5BC2"/>
    <w:rsid w:val="18406503"/>
    <w:rsid w:val="18457E93"/>
    <w:rsid w:val="184E4896"/>
    <w:rsid w:val="18544A4F"/>
    <w:rsid w:val="1855371E"/>
    <w:rsid w:val="18560CAD"/>
    <w:rsid w:val="18602A26"/>
    <w:rsid w:val="186D2EF5"/>
    <w:rsid w:val="187362C4"/>
    <w:rsid w:val="187545CF"/>
    <w:rsid w:val="187A16E0"/>
    <w:rsid w:val="187D0D0A"/>
    <w:rsid w:val="187D43CE"/>
    <w:rsid w:val="188327CB"/>
    <w:rsid w:val="18836D5B"/>
    <w:rsid w:val="188B6184"/>
    <w:rsid w:val="18A31B7F"/>
    <w:rsid w:val="18AF00FC"/>
    <w:rsid w:val="18B57A11"/>
    <w:rsid w:val="18B70484"/>
    <w:rsid w:val="18B83042"/>
    <w:rsid w:val="18C120BC"/>
    <w:rsid w:val="18C1482D"/>
    <w:rsid w:val="18CA6615"/>
    <w:rsid w:val="18DF25A4"/>
    <w:rsid w:val="18E4078D"/>
    <w:rsid w:val="18EF4C22"/>
    <w:rsid w:val="18F009F7"/>
    <w:rsid w:val="18F21B8A"/>
    <w:rsid w:val="18F53D88"/>
    <w:rsid w:val="18FA37F2"/>
    <w:rsid w:val="18FC2B99"/>
    <w:rsid w:val="19010BA7"/>
    <w:rsid w:val="19076E72"/>
    <w:rsid w:val="19077523"/>
    <w:rsid w:val="190F6C58"/>
    <w:rsid w:val="191344EC"/>
    <w:rsid w:val="19161B88"/>
    <w:rsid w:val="19164014"/>
    <w:rsid w:val="19234D10"/>
    <w:rsid w:val="1925244E"/>
    <w:rsid w:val="19294D1D"/>
    <w:rsid w:val="19304F5E"/>
    <w:rsid w:val="193B58FE"/>
    <w:rsid w:val="193D5B8D"/>
    <w:rsid w:val="194F199E"/>
    <w:rsid w:val="19587032"/>
    <w:rsid w:val="195A3EF5"/>
    <w:rsid w:val="195C5F46"/>
    <w:rsid w:val="196B1356"/>
    <w:rsid w:val="19724549"/>
    <w:rsid w:val="197431E8"/>
    <w:rsid w:val="1974743A"/>
    <w:rsid w:val="1975458D"/>
    <w:rsid w:val="197B0865"/>
    <w:rsid w:val="19831D76"/>
    <w:rsid w:val="19875DC6"/>
    <w:rsid w:val="19884618"/>
    <w:rsid w:val="198C7715"/>
    <w:rsid w:val="198E350E"/>
    <w:rsid w:val="19900EA4"/>
    <w:rsid w:val="1998232D"/>
    <w:rsid w:val="199A2DDB"/>
    <w:rsid w:val="199B6AB7"/>
    <w:rsid w:val="199D6A85"/>
    <w:rsid w:val="19A606F4"/>
    <w:rsid w:val="19B50EB0"/>
    <w:rsid w:val="19C50385"/>
    <w:rsid w:val="19CC61D4"/>
    <w:rsid w:val="19CF2CD4"/>
    <w:rsid w:val="19D104CD"/>
    <w:rsid w:val="19D42DBF"/>
    <w:rsid w:val="19D97E24"/>
    <w:rsid w:val="19E44EFF"/>
    <w:rsid w:val="19EB0279"/>
    <w:rsid w:val="19F7674A"/>
    <w:rsid w:val="19FC0C40"/>
    <w:rsid w:val="19FF2A68"/>
    <w:rsid w:val="1A055CE3"/>
    <w:rsid w:val="1A063C69"/>
    <w:rsid w:val="1A065B0A"/>
    <w:rsid w:val="1A200EBD"/>
    <w:rsid w:val="1A2519F7"/>
    <w:rsid w:val="1A2D2C6A"/>
    <w:rsid w:val="1A2E565B"/>
    <w:rsid w:val="1A3129A2"/>
    <w:rsid w:val="1A3168F5"/>
    <w:rsid w:val="1A332F12"/>
    <w:rsid w:val="1A381347"/>
    <w:rsid w:val="1A3A0BE6"/>
    <w:rsid w:val="1A3B3FC5"/>
    <w:rsid w:val="1A3B753C"/>
    <w:rsid w:val="1A3B7C41"/>
    <w:rsid w:val="1A3D4271"/>
    <w:rsid w:val="1A3E1DA3"/>
    <w:rsid w:val="1A413FFF"/>
    <w:rsid w:val="1A4243BB"/>
    <w:rsid w:val="1A437302"/>
    <w:rsid w:val="1A471FA2"/>
    <w:rsid w:val="1A4951D6"/>
    <w:rsid w:val="1A537FE8"/>
    <w:rsid w:val="1A547060"/>
    <w:rsid w:val="1A551D7A"/>
    <w:rsid w:val="1A591588"/>
    <w:rsid w:val="1A673513"/>
    <w:rsid w:val="1A6B1D7F"/>
    <w:rsid w:val="1A785DD9"/>
    <w:rsid w:val="1A7C2A99"/>
    <w:rsid w:val="1A872451"/>
    <w:rsid w:val="1A93317C"/>
    <w:rsid w:val="1AA20573"/>
    <w:rsid w:val="1AAA1233"/>
    <w:rsid w:val="1AAA75F2"/>
    <w:rsid w:val="1AC031C9"/>
    <w:rsid w:val="1AC462AB"/>
    <w:rsid w:val="1AC84BC7"/>
    <w:rsid w:val="1ACE4AD7"/>
    <w:rsid w:val="1ADC4E7D"/>
    <w:rsid w:val="1AE156E8"/>
    <w:rsid w:val="1AE33CF4"/>
    <w:rsid w:val="1AED3C74"/>
    <w:rsid w:val="1AF4060B"/>
    <w:rsid w:val="1AFB485C"/>
    <w:rsid w:val="1AFE7E88"/>
    <w:rsid w:val="1B09577A"/>
    <w:rsid w:val="1B0C1569"/>
    <w:rsid w:val="1B0E177B"/>
    <w:rsid w:val="1B1612B6"/>
    <w:rsid w:val="1B1B46BD"/>
    <w:rsid w:val="1B2B6878"/>
    <w:rsid w:val="1B320CED"/>
    <w:rsid w:val="1B375393"/>
    <w:rsid w:val="1B3B5530"/>
    <w:rsid w:val="1B4368FA"/>
    <w:rsid w:val="1B4542E3"/>
    <w:rsid w:val="1B4668E5"/>
    <w:rsid w:val="1B4A664B"/>
    <w:rsid w:val="1B4B0E3A"/>
    <w:rsid w:val="1B572293"/>
    <w:rsid w:val="1B586C82"/>
    <w:rsid w:val="1B5B71A3"/>
    <w:rsid w:val="1B5F0ECC"/>
    <w:rsid w:val="1B65563D"/>
    <w:rsid w:val="1B6E70A2"/>
    <w:rsid w:val="1B895E2D"/>
    <w:rsid w:val="1B99573B"/>
    <w:rsid w:val="1BA52C65"/>
    <w:rsid w:val="1BAC5BFB"/>
    <w:rsid w:val="1BB03CEA"/>
    <w:rsid w:val="1BBD16A3"/>
    <w:rsid w:val="1BBD78EF"/>
    <w:rsid w:val="1BC01F49"/>
    <w:rsid w:val="1BC944CA"/>
    <w:rsid w:val="1BDA3373"/>
    <w:rsid w:val="1BDA6BCF"/>
    <w:rsid w:val="1BE97D47"/>
    <w:rsid w:val="1BF07F0D"/>
    <w:rsid w:val="1BFE40D3"/>
    <w:rsid w:val="1BFF6E19"/>
    <w:rsid w:val="1C0A2CDF"/>
    <w:rsid w:val="1C0A3A2D"/>
    <w:rsid w:val="1C0C46AE"/>
    <w:rsid w:val="1C175818"/>
    <w:rsid w:val="1C19604A"/>
    <w:rsid w:val="1C1A5E23"/>
    <w:rsid w:val="1C25026D"/>
    <w:rsid w:val="1C2A5F1F"/>
    <w:rsid w:val="1C2D0830"/>
    <w:rsid w:val="1C311EC8"/>
    <w:rsid w:val="1C393F7F"/>
    <w:rsid w:val="1C3D6B63"/>
    <w:rsid w:val="1C453B8A"/>
    <w:rsid w:val="1C4D24E6"/>
    <w:rsid w:val="1C4F4B73"/>
    <w:rsid w:val="1C534CC0"/>
    <w:rsid w:val="1C562F08"/>
    <w:rsid w:val="1C7872F8"/>
    <w:rsid w:val="1C856E3E"/>
    <w:rsid w:val="1C8D7615"/>
    <w:rsid w:val="1C913CA3"/>
    <w:rsid w:val="1C937D88"/>
    <w:rsid w:val="1C946292"/>
    <w:rsid w:val="1CAA7BAF"/>
    <w:rsid w:val="1CB6203D"/>
    <w:rsid w:val="1CC41DE5"/>
    <w:rsid w:val="1CC45194"/>
    <w:rsid w:val="1CD121FE"/>
    <w:rsid w:val="1CD60AC2"/>
    <w:rsid w:val="1CD62583"/>
    <w:rsid w:val="1CD824EF"/>
    <w:rsid w:val="1CDB2883"/>
    <w:rsid w:val="1CE11909"/>
    <w:rsid w:val="1CE50BAF"/>
    <w:rsid w:val="1CE53F61"/>
    <w:rsid w:val="1CE719E7"/>
    <w:rsid w:val="1CE9015E"/>
    <w:rsid w:val="1CEB100A"/>
    <w:rsid w:val="1D037DF0"/>
    <w:rsid w:val="1D1241CC"/>
    <w:rsid w:val="1D151B49"/>
    <w:rsid w:val="1D1A61C7"/>
    <w:rsid w:val="1D1C63EE"/>
    <w:rsid w:val="1D1D310C"/>
    <w:rsid w:val="1D1F1BCA"/>
    <w:rsid w:val="1D216171"/>
    <w:rsid w:val="1D255157"/>
    <w:rsid w:val="1D2B2847"/>
    <w:rsid w:val="1D2B4BDB"/>
    <w:rsid w:val="1D31038F"/>
    <w:rsid w:val="1D3339E6"/>
    <w:rsid w:val="1D3645D7"/>
    <w:rsid w:val="1D3836AD"/>
    <w:rsid w:val="1D3A6AAF"/>
    <w:rsid w:val="1D490CFC"/>
    <w:rsid w:val="1D494834"/>
    <w:rsid w:val="1D5140B4"/>
    <w:rsid w:val="1D543505"/>
    <w:rsid w:val="1D5A22B2"/>
    <w:rsid w:val="1D6F2115"/>
    <w:rsid w:val="1D717800"/>
    <w:rsid w:val="1D722A11"/>
    <w:rsid w:val="1D73437F"/>
    <w:rsid w:val="1D7B731D"/>
    <w:rsid w:val="1D8612F4"/>
    <w:rsid w:val="1D95191E"/>
    <w:rsid w:val="1DA05543"/>
    <w:rsid w:val="1DA36DB0"/>
    <w:rsid w:val="1DA70405"/>
    <w:rsid w:val="1DA7671B"/>
    <w:rsid w:val="1DAD467B"/>
    <w:rsid w:val="1DBC4C99"/>
    <w:rsid w:val="1DBE402F"/>
    <w:rsid w:val="1DC440DC"/>
    <w:rsid w:val="1DC44B42"/>
    <w:rsid w:val="1DCA27AD"/>
    <w:rsid w:val="1DCA598A"/>
    <w:rsid w:val="1DD22E92"/>
    <w:rsid w:val="1DD52E51"/>
    <w:rsid w:val="1DDF50C5"/>
    <w:rsid w:val="1DE33AED"/>
    <w:rsid w:val="1DE85A1C"/>
    <w:rsid w:val="1DF548F1"/>
    <w:rsid w:val="1DFD6276"/>
    <w:rsid w:val="1DFF24FD"/>
    <w:rsid w:val="1E035B0C"/>
    <w:rsid w:val="1E0D6AC0"/>
    <w:rsid w:val="1E0E5C41"/>
    <w:rsid w:val="1E106F71"/>
    <w:rsid w:val="1E14276A"/>
    <w:rsid w:val="1E184A44"/>
    <w:rsid w:val="1E2B0555"/>
    <w:rsid w:val="1E2B5075"/>
    <w:rsid w:val="1E2E10EA"/>
    <w:rsid w:val="1E3320D1"/>
    <w:rsid w:val="1E3A1BC8"/>
    <w:rsid w:val="1E42337D"/>
    <w:rsid w:val="1E4473B7"/>
    <w:rsid w:val="1E474640"/>
    <w:rsid w:val="1E4B3DCC"/>
    <w:rsid w:val="1E4D0DE6"/>
    <w:rsid w:val="1E5833F9"/>
    <w:rsid w:val="1E5E5C25"/>
    <w:rsid w:val="1E635478"/>
    <w:rsid w:val="1E651F92"/>
    <w:rsid w:val="1E684069"/>
    <w:rsid w:val="1E6912CF"/>
    <w:rsid w:val="1E691D5F"/>
    <w:rsid w:val="1E821B6B"/>
    <w:rsid w:val="1E8645D2"/>
    <w:rsid w:val="1E9027B4"/>
    <w:rsid w:val="1E9A5B08"/>
    <w:rsid w:val="1E9A5D49"/>
    <w:rsid w:val="1EA22DB2"/>
    <w:rsid w:val="1EAA0F84"/>
    <w:rsid w:val="1EB72233"/>
    <w:rsid w:val="1EBA3082"/>
    <w:rsid w:val="1EBE5C51"/>
    <w:rsid w:val="1EC27D37"/>
    <w:rsid w:val="1ECD04A6"/>
    <w:rsid w:val="1ECD0713"/>
    <w:rsid w:val="1ED422F9"/>
    <w:rsid w:val="1EDD28D0"/>
    <w:rsid w:val="1EDE7E55"/>
    <w:rsid w:val="1EDF4E49"/>
    <w:rsid w:val="1EE14B15"/>
    <w:rsid w:val="1EE500D2"/>
    <w:rsid w:val="1EE852F2"/>
    <w:rsid w:val="1EE935B0"/>
    <w:rsid w:val="1EEF6BF1"/>
    <w:rsid w:val="1EF739A4"/>
    <w:rsid w:val="1F0E5910"/>
    <w:rsid w:val="1F176A0C"/>
    <w:rsid w:val="1F254183"/>
    <w:rsid w:val="1F262716"/>
    <w:rsid w:val="1F3B649C"/>
    <w:rsid w:val="1F3E1E3C"/>
    <w:rsid w:val="1F401A4C"/>
    <w:rsid w:val="1F42633F"/>
    <w:rsid w:val="1F453002"/>
    <w:rsid w:val="1F463769"/>
    <w:rsid w:val="1F4B2E82"/>
    <w:rsid w:val="1F54672C"/>
    <w:rsid w:val="1F5C1132"/>
    <w:rsid w:val="1F5E455B"/>
    <w:rsid w:val="1F613B6F"/>
    <w:rsid w:val="1F641E59"/>
    <w:rsid w:val="1F686726"/>
    <w:rsid w:val="1F79272A"/>
    <w:rsid w:val="1F7F40BC"/>
    <w:rsid w:val="1F837E86"/>
    <w:rsid w:val="1F9008C7"/>
    <w:rsid w:val="1F913CCE"/>
    <w:rsid w:val="1F984549"/>
    <w:rsid w:val="1F9E4FAC"/>
    <w:rsid w:val="1F9F1506"/>
    <w:rsid w:val="1F9F3DD7"/>
    <w:rsid w:val="1FA303D2"/>
    <w:rsid w:val="1FA87A7C"/>
    <w:rsid w:val="1FAF7572"/>
    <w:rsid w:val="1FB5719D"/>
    <w:rsid w:val="1FB64867"/>
    <w:rsid w:val="1FB64B58"/>
    <w:rsid w:val="1FB95506"/>
    <w:rsid w:val="1FC0516E"/>
    <w:rsid w:val="1FC43D3D"/>
    <w:rsid w:val="1FCA5891"/>
    <w:rsid w:val="1FCC3EC3"/>
    <w:rsid w:val="1FD06938"/>
    <w:rsid w:val="1FD52781"/>
    <w:rsid w:val="1FDE0DD5"/>
    <w:rsid w:val="1FDF12CA"/>
    <w:rsid w:val="1FE41A6F"/>
    <w:rsid w:val="1FEF407A"/>
    <w:rsid w:val="1FF64103"/>
    <w:rsid w:val="1FF904FF"/>
    <w:rsid w:val="20000A88"/>
    <w:rsid w:val="200229D7"/>
    <w:rsid w:val="201D0606"/>
    <w:rsid w:val="2025262A"/>
    <w:rsid w:val="202674E0"/>
    <w:rsid w:val="20286D41"/>
    <w:rsid w:val="202D3CDB"/>
    <w:rsid w:val="2035450A"/>
    <w:rsid w:val="204216B7"/>
    <w:rsid w:val="205F243C"/>
    <w:rsid w:val="20612065"/>
    <w:rsid w:val="20695741"/>
    <w:rsid w:val="206F3BA5"/>
    <w:rsid w:val="20771C9C"/>
    <w:rsid w:val="20776D72"/>
    <w:rsid w:val="207B5526"/>
    <w:rsid w:val="208C709E"/>
    <w:rsid w:val="2093368B"/>
    <w:rsid w:val="20A80165"/>
    <w:rsid w:val="20AA45D9"/>
    <w:rsid w:val="20AB4430"/>
    <w:rsid w:val="20AC0A19"/>
    <w:rsid w:val="20B21721"/>
    <w:rsid w:val="20BE4B78"/>
    <w:rsid w:val="20C04B03"/>
    <w:rsid w:val="20C26108"/>
    <w:rsid w:val="20C73D28"/>
    <w:rsid w:val="20CC198F"/>
    <w:rsid w:val="20D03709"/>
    <w:rsid w:val="20D141E6"/>
    <w:rsid w:val="20D502B5"/>
    <w:rsid w:val="20D8148B"/>
    <w:rsid w:val="20D8469D"/>
    <w:rsid w:val="20DD6D05"/>
    <w:rsid w:val="20E94561"/>
    <w:rsid w:val="20ED6F48"/>
    <w:rsid w:val="20F03951"/>
    <w:rsid w:val="20F066AA"/>
    <w:rsid w:val="20F13673"/>
    <w:rsid w:val="20F35D3A"/>
    <w:rsid w:val="20FC4C02"/>
    <w:rsid w:val="20FE49D2"/>
    <w:rsid w:val="2102385C"/>
    <w:rsid w:val="2104291D"/>
    <w:rsid w:val="210E11B1"/>
    <w:rsid w:val="21224DFC"/>
    <w:rsid w:val="21260482"/>
    <w:rsid w:val="212A0A23"/>
    <w:rsid w:val="213759BD"/>
    <w:rsid w:val="213765BD"/>
    <w:rsid w:val="213A18C0"/>
    <w:rsid w:val="213B7211"/>
    <w:rsid w:val="21406BA5"/>
    <w:rsid w:val="21430E98"/>
    <w:rsid w:val="2145170C"/>
    <w:rsid w:val="214D33D3"/>
    <w:rsid w:val="21555F6F"/>
    <w:rsid w:val="215B04E6"/>
    <w:rsid w:val="21643CDF"/>
    <w:rsid w:val="216E2B4D"/>
    <w:rsid w:val="217400F5"/>
    <w:rsid w:val="21742526"/>
    <w:rsid w:val="217666E8"/>
    <w:rsid w:val="2177156C"/>
    <w:rsid w:val="2187085A"/>
    <w:rsid w:val="21887E60"/>
    <w:rsid w:val="218C0698"/>
    <w:rsid w:val="21935DF5"/>
    <w:rsid w:val="219F55B8"/>
    <w:rsid w:val="21A15907"/>
    <w:rsid w:val="21A72709"/>
    <w:rsid w:val="21A83508"/>
    <w:rsid w:val="21AD5C84"/>
    <w:rsid w:val="21B32404"/>
    <w:rsid w:val="21BF6973"/>
    <w:rsid w:val="21C645A3"/>
    <w:rsid w:val="21C7631E"/>
    <w:rsid w:val="21CC3855"/>
    <w:rsid w:val="21CE2CE8"/>
    <w:rsid w:val="21D13DA9"/>
    <w:rsid w:val="21D575C7"/>
    <w:rsid w:val="21D64DEF"/>
    <w:rsid w:val="21D65308"/>
    <w:rsid w:val="21DA417D"/>
    <w:rsid w:val="21E10A35"/>
    <w:rsid w:val="21EB5344"/>
    <w:rsid w:val="21EC32B3"/>
    <w:rsid w:val="21EF1233"/>
    <w:rsid w:val="21F558EA"/>
    <w:rsid w:val="21F717EA"/>
    <w:rsid w:val="220009B9"/>
    <w:rsid w:val="22024694"/>
    <w:rsid w:val="220C363D"/>
    <w:rsid w:val="221C734E"/>
    <w:rsid w:val="221E3217"/>
    <w:rsid w:val="222C0C2F"/>
    <w:rsid w:val="222E13BD"/>
    <w:rsid w:val="22321F70"/>
    <w:rsid w:val="223936E3"/>
    <w:rsid w:val="223C5A50"/>
    <w:rsid w:val="223E64A5"/>
    <w:rsid w:val="223E7D91"/>
    <w:rsid w:val="223F7FF0"/>
    <w:rsid w:val="224A7D89"/>
    <w:rsid w:val="22536A17"/>
    <w:rsid w:val="2261131F"/>
    <w:rsid w:val="226250E7"/>
    <w:rsid w:val="226F3FF1"/>
    <w:rsid w:val="227441FD"/>
    <w:rsid w:val="227606F7"/>
    <w:rsid w:val="22793D81"/>
    <w:rsid w:val="227E166C"/>
    <w:rsid w:val="22853E7D"/>
    <w:rsid w:val="22860C3B"/>
    <w:rsid w:val="229A65A0"/>
    <w:rsid w:val="22A80A6F"/>
    <w:rsid w:val="22AF7551"/>
    <w:rsid w:val="22B619B9"/>
    <w:rsid w:val="22B774B7"/>
    <w:rsid w:val="22C43B6A"/>
    <w:rsid w:val="22C87481"/>
    <w:rsid w:val="22CA66D9"/>
    <w:rsid w:val="22D33D77"/>
    <w:rsid w:val="22E01C4A"/>
    <w:rsid w:val="22E0563C"/>
    <w:rsid w:val="22E06246"/>
    <w:rsid w:val="22E30FDA"/>
    <w:rsid w:val="22EA1A1C"/>
    <w:rsid w:val="22F35ED0"/>
    <w:rsid w:val="22F40325"/>
    <w:rsid w:val="22F707ED"/>
    <w:rsid w:val="22FC1BE8"/>
    <w:rsid w:val="2301032C"/>
    <w:rsid w:val="230118FC"/>
    <w:rsid w:val="23011A41"/>
    <w:rsid w:val="23012ED8"/>
    <w:rsid w:val="230570F4"/>
    <w:rsid w:val="23086B36"/>
    <w:rsid w:val="23097103"/>
    <w:rsid w:val="230E5A39"/>
    <w:rsid w:val="23110081"/>
    <w:rsid w:val="231742F7"/>
    <w:rsid w:val="231C353B"/>
    <w:rsid w:val="232F27BC"/>
    <w:rsid w:val="233444B0"/>
    <w:rsid w:val="233F1560"/>
    <w:rsid w:val="234206CF"/>
    <w:rsid w:val="2342266F"/>
    <w:rsid w:val="23453A6C"/>
    <w:rsid w:val="23544C74"/>
    <w:rsid w:val="23650AA9"/>
    <w:rsid w:val="23651F0A"/>
    <w:rsid w:val="23667DB0"/>
    <w:rsid w:val="23753C96"/>
    <w:rsid w:val="237A64BB"/>
    <w:rsid w:val="2386084A"/>
    <w:rsid w:val="23875708"/>
    <w:rsid w:val="238E53E2"/>
    <w:rsid w:val="238F076D"/>
    <w:rsid w:val="238F6217"/>
    <w:rsid w:val="23986020"/>
    <w:rsid w:val="239E30FB"/>
    <w:rsid w:val="239E53CD"/>
    <w:rsid w:val="23A42E49"/>
    <w:rsid w:val="23AA1F31"/>
    <w:rsid w:val="23AD51E3"/>
    <w:rsid w:val="23B72747"/>
    <w:rsid w:val="23BA6729"/>
    <w:rsid w:val="23BD0C21"/>
    <w:rsid w:val="23C140C7"/>
    <w:rsid w:val="23CA3793"/>
    <w:rsid w:val="23E81DFF"/>
    <w:rsid w:val="23E9382E"/>
    <w:rsid w:val="23E94E10"/>
    <w:rsid w:val="23EC75A8"/>
    <w:rsid w:val="23EE01FE"/>
    <w:rsid w:val="24013F40"/>
    <w:rsid w:val="241E7B09"/>
    <w:rsid w:val="24230374"/>
    <w:rsid w:val="2424431C"/>
    <w:rsid w:val="242550C6"/>
    <w:rsid w:val="24346493"/>
    <w:rsid w:val="243720F7"/>
    <w:rsid w:val="243879F5"/>
    <w:rsid w:val="244A2A19"/>
    <w:rsid w:val="244C4F41"/>
    <w:rsid w:val="245A5AFD"/>
    <w:rsid w:val="245D64D2"/>
    <w:rsid w:val="245E11B6"/>
    <w:rsid w:val="246048C9"/>
    <w:rsid w:val="246127DE"/>
    <w:rsid w:val="2464434D"/>
    <w:rsid w:val="24664C5E"/>
    <w:rsid w:val="24664D43"/>
    <w:rsid w:val="247F38A4"/>
    <w:rsid w:val="248F0548"/>
    <w:rsid w:val="24913D04"/>
    <w:rsid w:val="24A425A4"/>
    <w:rsid w:val="24A658B5"/>
    <w:rsid w:val="24AB01DF"/>
    <w:rsid w:val="24AB6A99"/>
    <w:rsid w:val="24B51FCD"/>
    <w:rsid w:val="24B849F2"/>
    <w:rsid w:val="24BC6B56"/>
    <w:rsid w:val="24C51BB3"/>
    <w:rsid w:val="24C822F1"/>
    <w:rsid w:val="24CA1DE2"/>
    <w:rsid w:val="24CB03F3"/>
    <w:rsid w:val="24CC031F"/>
    <w:rsid w:val="24DC15C5"/>
    <w:rsid w:val="24DC41B9"/>
    <w:rsid w:val="24DC6462"/>
    <w:rsid w:val="24DF14C8"/>
    <w:rsid w:val="24DF3759"/>
    <w:rsid w:val="24E46DA4"/>
    <w:rsid w:val="24EB05A3"/>
    <w:rsid w:val="24F239C2"/>
    <w:rsid w:val="25135AE0"/>
    <w:rsid w:val="252E4D73"/>
    <w:rsid w:val="253464F0"/>
    <w:rsid w:val="253854C9"/>
    <w:rsid w:val="253C575F"/>
    <w:rsid w:val="2541192A"/>
    <w:rsid w:val="25540AD8"/>
    <w:rsid w:val="2559616C"/>
    <w:rsid w:val="255A3DCC"/>
    <w:rsid w:val="25636515"/>
    <w:rsid w:val="256445D0"/>
    <w:rsid w:val="256B3641"/>
    <w:rsid w:val="256D47A1"/>
    <w:rsid w:val="257B2563"/>
    <w:rsid w:val="257C674E"/>
    <w:rsid w:val="25852F1A"/>
    <w:rsid w:val="258C1137"/>
    <w:rsid w:val="258D1F5D"/>
    <w:rsid w:val="258F2D0C"/>
    <w:rsid w:val="259D1D20"/>
    <w:rsid w:val="259D4978"/>
    <w:rsid w:val="25A4422E"/>
    <w:rsid w:val="25B457F5"/>
    <w:rsid w:val="25BC277D"/>
    <w:rsid w:val="25C012CF"/>
    <w:rsid w:val="25C05349"/>
    <w:rsid w:val="25C3495D"/>
    <w:rsid w:val="25CF4F3E"/>
    <w:rsid w:val="25D067DE"/>
    <w:rsid w:val="25D53721"/>
    <w:rsid w:val="25D62DCA"/>
    <w:rsid w:val="25E8340C"/>
    <w:rsid w:val="25EA14D2"/>
    <w:rsid w:val="25ED1812"/>
    <w:rsid w:val="25F07155"/>
    <w:rsid w:val="26004B08"/>
    <w:rsid w:val="260735C4"/>
    <w:rsid w:val="2617413D"/>
    <w:rsid w:val="261C7C2F"/>
    <w:rsid w:val="261E04EC"/>
    <w:rsid w:val="262824A1"/>
    <w:rsid w:val="262D1B8D"/>
    <w:rsid w:val="262D7300"/>
    <w:rsid w:val="26386355"/>
    <w:rsid w:val="26525BA6"/>
    <w:rsid w:val="265924F7"/>
    <w:rsid w:val="265F6258"/>
    <w:rsid w:val="266D6216"/>
    <w:rsid w:val="267277FD"/>
    <w:rsid w:val="26734F59"/>
    <w:rsid w:val="267833BD"/>
    <w:rsid w:val="267A700A"/>
    <w:rsid w:val="26890087"/>
    <w:rsid w:val="268A4EA5"/>
    <w:rsid w:val="268F391F"/>
    <w:rsid w:val="26917709"/>
    <w:rsid w:val="2692086C"/>
    <w:rsid w:val="2696018B"/>
    <w:rsid w:val="269D15F5"/>
    <w:rsid w:val="26A20122"/>
    <w:rsid w:val="26A55682"/>
    <w:rsid w:val="26A649C4"/>
    <w:rsid w:val="26AC45D7"/>
    <w:rsid w:val="26BA11E9"/>
    <w:rsid w:val="26BD2AC6"/>
    <w:rsid w:val="26C423C5"/>
    <w:rsid w:val="26D55208"/>
    <w:rsid w:val="26D6440F"/>
    <w:rsid w:val="26DC2861"/>
    <w:rsid w:val="26E035B3"/>
    <w:rsid w:val="26E35F01"/>
    <w:rsid w:val="26EA3EBD"/>
    <w:rsid w:val="26EA66F8"/>
    <w:rsid w:val="26EA6C05"/>
    <w:rsid w:val="26F71023"/>
    <w:rsid w:val="26F84F6E"/>
    <w:rsid w:val="26FE1B3E"/>
    <w:rsid w:val="272048E8"/>
    <w:rsid w:val="27304EA0"/>
    <w:rsid w:val="273554ED"/>
    <w:rsid w:val="273D285F"/>
    <w:rsid w:val="273F21C5"/>
    <w:rsid w:val="2749537C"/>
    <w:rsid w:val="275236A0"/>
    <w:rsid w:val="27554C49"/>
    <w:rsid w:val="27557969"/>
    <w:rsid w:val="275B15D2"/>
    <w:rsid w:val="276A1519"/>
    <w:rsid w:val="276F7DD7"/>
    <w:rsid w:val="277E2092"/>
    <w:rsid w:val="27827416"/>
    <w:rsid w:val="278378EC"/>
    <w:rsid w:val="27922E98"/>
    <w:rsid w:val="27990CD3"/>
    <w:rsid w:val="279C5FC5"/>
    <w:rsid w:val="279E1AD0"/>
    <w:rsid w:val="27A33307"/>
    <w:rsid w:val="27A35122"/>
    <w:rsid w:val="27A45927"/>
    <w:rsid w:val="27A6094B"/>
    <w:rsid w:val="27B061AE"/>
    <w:rsid w:val="27BD52AC"/>
    <w:rsid w:val="27C17151"/>
    <w:rsid w:val="27CB205F"/>
    <w:rsid w:val="27DE182B"/>
    <w:rsid w:val="27E27F6B"/>
    <w:rsid w:val="27E673FB"/>
    <w:rsid w:val="27E80F2E"/>
    <w:rsid w:val="27E97314"/>
    <w:rsid w:val="27FA5F0A"/>
    <w:rsid w:val="27FC5672"/>
    <w:rsid w:val="27FE0ECF"/>
    <w:rsid w:val="27FE2719"/>
    <w:rsid w:val="28040FB8"/>
    <w:rsid w:val="280E18FD"/>
    <w:rsid w:val="28113320"/>
    <w:rsid w:val="28156A14"/>
    <w:rsid w:val="281771B9"/>
    <w:rsid w:val="28420B04"/>
    <w:rsid w:val="284A491C"/>
    <w:rsid w:val="284C3C44"/>
    <w:rsid w:val="285963AC"/>
    <w:rsid w:val="28615204"/>
    <w:rsid w:val="28644F63"/>
    <w:rsid w:val="28667612"/>
    <w:rsid w:val="286C7375"/>
    <w:rsid w:val="286D7FD0"/>
    <w:rsid w:val="2875007A"/>
    <w:rsid w:val="287514C3"/>
    <w:rsid w:val="28762075"/>
    <w:rsid w:val="287E1A1F"/>
    <w:rsid w:val="28915383"/>
    <w:rsid w:val="289E499F"/>
    <w:rsid w:val="28AA6AAF"/>
    <w:rsid w:val="28B52245"/>
    <w:rsid w:val="28B52B9B"/>
    <w:rsid w:val="28BE7876"/>
    <w:rsid w:val="28C159B6"/>
    <w:rsid w:val="28C23162"/>
    <w:rsid w:val="28C63BB0"/>
    <w:rsid w:val="28D15BA8"/>
    <w:rsid w:val="28E07DBD"/>
    <w:rsid w:val="28E24EAF"/>
    <w:rsid w:val="28E83A37"/>
    <w:rsid w:val="28E91743"/>
    <w:rsid w:val="28E97A66"/>
    <w:rsid w:val="28EA30D6"/>
    <w:rsid w:val="28EF2F3E"/>
    <w:rsid w:val="28F0211B"/>
    <w:rsid w:val="2907663E"/>
    <w:rsid w:val="291E60A2"/>
    <w:rsid w:val="29200184"/>
    <w:rsid w:val="292763F7"/>
    <w:rsid w:val="292A7911"/>
    <w:rsid w:val="292C6EE3"/>
    <w:rsid w:val="29302117"/>
    <w:rsid w:val="293456EF"/>
    <w:rsid w:val="29350F17"/>
    <w:rsid w:val="294503C2"/>
    <w:rsid w:val="294B7412"/>
    <w:rsid w:val="294D4875"/>
    <w:rsid w:val="2953583E"/>
    <w:rsid w:val="295C1F8A"/>
    <w:rsid w:val="2968160A"/>
    <w:rsid w:val="29687041"/>
    <w:rsid w:val="296E261B"/>
    <w:rsid w:val="296E5220"/>
    <w:rsid w:val="2983432E"/>
    <w:rsid w:val="29850B19"/>
    <w:rsid w:val="29862DCE"/>
    <w:rsid w:val="299D315A"/>
    <w:rsid w:val="29AB0A13"/>
    <w:rsid w:val="29B0603E"/>
    <w:rsid w:val="29B52B8B"/>
    <w:rsid w:val="29C81E06"/>
    <w:rsid w:val="29E05655"/>
    <w:rsid w:val="29EC111F"/>
    <w:rsid w:val="29EE10E9"/>
    <w:rsid w:val="2A05422A"/>
    <w:rsid w:val="2A096DBA"/>
    <w:rsid w:val="2A15648E"/>
    <w:rsid w:val="2A182C42"/>
    <w:rsid w:val="2A191F64"/>
    <w:rsid w:val="2A2A29FA"/>
    <w:rsid w:val="2A3508F0"/>
    <w:rsid w:val="2A39367F"/>
    <w:rsid w:val="2A467AD0"/>
    <w:rsid w:val="2A4D15D2"/>
    <w:rsid w:val="2A5230B5"/>
    <w:rsid w:val="2A6343B1"/>
    <w:rsid w:val="2A661808"/>
    <w:rsid w:val="2A66740E"/>
    <w:rsid w:val="2A6D5ABB"/>
    <w:rsid w:val="2A6F238A"/>
    <w:rsid w:val="2A76333C"/>
    <w:rsid w:val="2A8F131A"/>
    <w:rsid w:val="2A9023B8"/>
    <w:rsid w:val="2A9A71B6"/>
    <w:rsid w:val="2AAA4630"/>
    <w:rsid w:val="2AAC37BD"/>
    <w:rsid w:val="2ABC05D0"/>
    <w:rsid w:val="2AC07AF8"/>
    <w:rsid w:val="2AC17847"/>
    <w:rsid w:val="2AC57AC5"/>
    <w:rsid w:val="2AC6433D"/>
    <w:rsid w:val="2AC9019E"/>
    <w:rsid w:val="2AD63F69"/>
    <w:rsid w:val="2ADE64A0"/>
    <w:rsid w:val="2AE06023"/>
    <w:rsid w:val="2AE30293"/>
    <w:rsid w:val="2AE35EF1"/>
    <w:rsid w:val="2AF658DD"/>
    <w:rsid w:val="2B080186"/>
    <w:rsid w:val="2B097A82"/>
    <w:rsid w:val="2B111BC2"/>
    <w:rsid w:val="2B12715D"/>
    <w:rsid w:val="2B180B49"/>
    <w:rsid w:val="2B181675"/>
    <w:rsid w:val="2B222B9A"/>
    <w:rsid w:val="2B25391D"/>
    <w:rsid w:val="2B277338"/>
    <w:rsid w:val="2B2A1FF9"/>
    <w:rsid w:val="2B32467C"/>
    <w:rsid w:val="2B352C03"/>
    <w:rsid w:val="2B3D6A4C"/>
    <w:rsid w:val="2B3E06C1"/>
    <w:rsid w:val="2B403DBE"/>
    <w:rsid w:val="2B430848"/>
    <w:rsid w:val="2B464ADB"/>
    <w:rsid w:val="2B465CAB"/>
    <w:rsid w:val="2B4A56C8"/>
    <w:rsid w:val="2B4D6EDD"/>
    <w:rsid w:val="2B4E5C8B"/>
    <w:rsid w:val="2B603C0A"/>
    <w:rsid w:val="2B700F79"/>
    <w:rsid w:val="2B7852D9"/>
    <w:rsid w:val="2B867208"/>
    <w:rsid w:val="2B880A01"/>
    <w:rsid w:val="2B936B61"/>
    <w:rsid w:val="2B9667B8"/>
    <w:rsid w:val="2B99302E"/>
    <w:rsid w:val="2BA51723"/>
    <w:rsid w:val="2BBC69E7"/>
    <w:rsid w:val="2BBE7124"/>
    <w:rsid w:val="2BC44A9D"/>
    <w:rsid w:val="2BCD455F"/>
    <w:rsid w:val="2BD56A9A"/>
    <w:rsid w:val="2BE3160B"/>
    <w:rsid w:val="2BEE1B84"/>
    <w:rsid w:val="2BF404A2"/>
    <w:rsid w:val="2BF64985"/>
    <w:rsid w:val="2BFB4885"/>
    <w:rsid w:val="2C032AB5"/>
    <w:rsid w:val="2C0B5494"/>
    <w:rsid w:val="2C0B57D0"/>
    <w:rsid w:val="2C101493"/>
    <w:rsid w:val="2C1E3C70"/>
    <w:rsid w:val="2C270DFF"/>
    <w:rsid w:val="2C3116AE"/>
    <w:rsid w:val="2C3D5F7D"/>
    <w:rsid w:val="2C437A60"/>
    <w:rsid w:val="2C4408FE"/>
    <w:rsid w:val="2C4469C5"/>
    <w:rsid w:val="2C473DB1"/>
    <w:rsid w:val="2C4B420E"/>
    <w:rsid w:val="2C4E60C6"/>
    <w:rsid w:val="2C66306C"/>
    <w:rsid w:val="2C7C7DFC"/>
    <w:rsid w:val="2C7D1E7E"/>
    <w:rsid w:val="2C822090"/>
    <w:rsid w:val="2C8A0E53"/>
    <w:rsid w:val="2C8C1B11"/>
    <w:rsid w:val="2C8C7708"/>
    <w:rsid w:val="2C9863C1"/>
    <w:rsid w:val="2C996A30"/>
    <w:rsid w:val="2C9C141F"/>
    <w:rsid w:val="2CA52CE7"/>
    <w:rsid w:val="2CAA27D0"/>
    <w:rsid w:val="2CC029C9"/>
    <w:rsid w:val="2CC32A3A"/>
    <w:rsid w:val="2CC32D54"/>
    <w:rsid w:val="2CC71902"/>
    <w:rsid w:val="2CCD1E4D"/>
    <w:rsid w:val="2CCF6792"/>
    <w:rsid w:val="2CD43E1A"/>
    <w:rsid w:val="2CDA6A99"/>
    <w:rsid w:val="2CE371C3"/>
    <w:rsid w:val="2CE633BB"/>
    <w:rsid w:val="2CEF3FEC"/>
    <w:rsid w:val="2CF62289"/>
    <w:rsid w:val="2CFC31F5"/>
    <w:rsid w:val="2CFF08AE"/>
    <w:rsid w:val="2CFF50AA"/>
    <w:rsid w:val="2D112A5E"/>
    <w:rsid w:val="2D141BAC"/>
    <w:rsid w:val="2D1936EE"/>
    <w:rsid w:val="2D1D39B7"/>
    <w:rsid w:val="2D254B45"/>
    <w:rsid w:val="2D3340EB"/>
    <w:rsid w:val="2D3844A2"/>
    <w:rsid w:val="2D415B95"/>
    <w:rsid w:val="2D436353"/>
    <w:rsid w:val="2D4878E2"/>
    <w:rsid w:val="2D5A1664"/>
    <w:rsid w:val="2D5F0BD4"/>
    <w:rsid w:val="2D616996"/>
    <w:rsid w:val="2D6D7E92"/>
    <w:rsid w:val="2D6F73AA"/>
    <w:rsid w:val="2D7370A3"/>
    <w:rsid w:val="2D747D9C"/>
    <w:rsid w:val="2D793988"/>
    <w:rsid w:val="2D871DDA"/>
    <w:rsid w:val="2D8761F7"/>
    <w:rsid w:val="2D8A057B"/>
    <w:rsid w:val="2D8A676C"/>
    <w:rsid w:val="2D9B29F2"/>
    <w:rsid w:val="2D9C2F9A"/>
    <w:rsid w:val="2DB022C3"/>
    <w:rsid w:val="2DB240A4"/>
    <w:rsid w:val="2DBA5C7F"/>
    <w:rsid w:val="2DC11E02"/>
    <w:rsid w:val="2DD40EFF"/>
    <w:rsid w:val="2DD66B87"/>
    <w:rsid w:val="2DD7560C"/>
    <w:rsid w:val="2DDA689D"/>
    <w:rsid w:val="2DE67D12"/>
    <w:rsid w:val="2DE91597"/>
    <w:rsid w:val="2DEE110C"/>
    <w:rsid w:val="2DEE1FB5"/>
    <w:rsid w:val="2DF533FA"/>
    <w:rsid w:val="2DFA596E"/>
    <w:rsid w:val="2E044389"/>
    <w:rsid w:val="2E0C7022"/>
    <w:rsid w:val="2E0F2818"/>
    <w:rsid w:val="2E1100DC"/>
    <w:rsid w:val="2E140964"/>
    <w:rsid w:val="2E1C61FD"/>
    <w:rsid w:val="2E1E4596"/>
    <w:rsid w:val="2E3D789C"/>
    <w:rsid w:val="2E481797"/>
    <w:rsid w:val="2E4C5497"/>
    <w:rsid w:val="2E526984"/>
    <w:rsid w:val="2E594A91"/>
    <w:rsid w:val="2E5D5D84"/>
    <w:rsid w:val="2E5E578C"/>
    <w:rsid w:val="2E5F4BFA"/>
    <w:rsid w:val="2E657BA1"/>
    <w:rsid w:val="2E69489B"/>
    <w:rsid w:val="2E6978C1"/>
    <w:rsid w:val="2E6A798A"/>
    <w:rsid w:val="2E793B4B"/>
    <w:rsid w:val="2E7B76A0"/>
    <w:rsid w:val="2E7D2AEF"/>
    <w:rsid w:val="2E876D0F"/>
    <w:rsid w:val="2E8976BE"/>
    <w:rsid w:val="2E8D25CA"/>
    <w:rsid w:val="2E991A74"/>
    <w:rsid w:val="2E9B7AC3"/>
    <w:rsid w:val="2E9D7479"/>
    <w:rsid w:val="2EA2680E"/>
    <w:rsid w:val="2EAF7A45"/>
    <w:rsid w:val="2EB236FA"/>
    <w:rsid w:val="2EC3080B"/>
    <w:rsid w:val="2EC4073F"/>
    <w:rsid w:val="2EC72B66"/>
    <w:rsid w:val="2ECB29E0"/>
    <w:rsid w:val="2ECB684F"/>
    <w:rsid w:val="2ED22020"/>
    <w:rsid w:val="2EE2010F"/>
    <w:rsid w:val="2EE52E7A"/>
    <w:rsid w:val="2EE967CC"/>
    <w:rsid w:val="2EEC39DA"/>
    <w:rsid w:val="2EFD2D95"/>
    <w:rsid w:val="2F0E197A"/>
    <w:rsid w:val="2F1A5B77"/>
    <w:rsid w:val="2F2200D1"/>
    <w:rsid w:val="2F260BCD"/>
    <w:rsid w:val="2F2651F9"/>
    <w:rsid w:val="2F3522B8"/>
    <w:rsid w:val="2F367804"/>
    <w:rsid w:val="2F3777A2"/>
    <w:rsid w:val="2F3C4594"/>
    <w:rsid w:val="2F4A6576"/>
    <w:rsid w:val="2F501141"/>
    <w:rsid w:val="2F512CA1"/>
    <w:rsid w:val="2F5911EC"/>
    <w:rsid w:val="2F663F21"/>
    <w:rsid w:val="2F6E4DD1"/>
    <w:rsid w:val="2F7E578B"/>
    <w:rsid w:val="2F7F5816"/>
    <w:rsid w:val="2F9D6150"/>
    <w:rsid w:val="2FA9542F"/>
    <w:rsid w:val="2FAB077E"/>
    <w:rsid w:val="2FB20885"/>
    <w:rsid w:val="2FBA41F1"/>
    <w:rsid w:val="2FBB70F0"/>
    <w:rsid w:val="2FC07315"/>
    <w:rsid w:val="2FCC25E8"/>
    <w:rsid w:val="2FD60B28"/>
    <w:rsid w:val="2FD66FE4"/>
    <w:rsid w:val="2FDF2E92"/>
    <w:rsid w:val="2FDF75A1"/>
    <w:rsid w:val="2FF53A53"/>
    <w:rsid w:val="2FF754B6"/>
    <w:rsid w:val="2FF86CE1"/>
    <w:rsid w:val="2FFA2AC6"/>
    <w:rsid w:val="300027E1"/>
    <w:rsid w:val="301228F5"/>
    <w:rsid w:val="30160883"/>
    <w:rsid w:val="301B42CD"/>
    <w:rsid w:val="301D0F52"/>
    <w:rsid w:val="301D13AA"/>
    <w:rsid w:val="30214554"/>
    <w:rsid w:val="302C018D"/>
    <w:rsid w:val="302D1551"/>
    <w:rsid w:val="302D4DBE"/>
    <w:rsid w:val="30341D03"/>
    <w:rsid w:val="30397F2A"/>
    <w:rsid w:val="30413874"/>
    <w:rsid w:val="30471F01"/>
    <w:rsid w:val="304D0844"/>
    <w:rsid w:val="304F0C6D"/>
    <w:rsid w:val="3052188E"/>
    <w:rsid w:val="30526B66"/>
    <w:rsid w:val="305F4B6C"/>
    <w:rsid w:val="30700DB3"/>
    <w:rsid w:val="3071406C"/>
    <w:rsid w:val="307F31C1"/>
    <w:rsid w:val="308049D5"/>
    <w:rsid w:val="308F2E2D"/>
    <w:rsid w:val="309713E7"/>
    <w:rsid w:val="30985121"/>
    <w:rsid w:val="309B6C76"/>
    <w:rsid w:val="30B54A3C"/>
    <w:rsid w:val="30C05643"/>
    <w:rsid w:val="30CB7BAF"/>
    <w:rsid w:val="30CF4321"/>
    <w:rsid w:val="30DE3B39"/>
    <w:rsid w:val="30DE6902"/>
    <w:rsid w:val="30F3210E"/>
    <w:rsid w:val="30F3258F"/>
    <w:rsid w:val="30F95331"/>
    <w:rsid w:val="30F958CD"/>
    <w:rsid w:val="30FB3737"/>
    <w:rsid w:val="31015E9B"/>
    <w:rsid w:val="3102157F"/>
    <w:rsid w:val="3105096D"/>
    <w:rsid w:val="310B29E8"/>
    <w:rsid w:val="3114696A"/>
    <w:rsid w:val="31152233"/>
    <w:rsid w:val="31185F87"/>
    <w:rsid w:val="311E15CF"/>
    <w:rsid w:val="311F34C4"/>
    <w:rsid w:val="31287E99"/>
    <w:rsid w:val="31297ED4"/>
    <w:rsid w:val="31377C5B"/>
    <w:rsid w:val="313B0890"/>
    <w:rsid w:val="313E6FAC"/>
    <w:rsid w:val="313F6535"/>
    <w:rsid w:val="31425D39"/>
    <w:rsid w:val="31442DAD"/>
    <w:rsid w:val="31456675"/>
    <w:rsid w:val="314D5BC5"/>
    <w:rsid w:val="31547E55"/>
    <w:rsid w:val="3159398D"/>
    <w:rsid w:val="31686DEF"/>
    <w:rsid w:val="316B0BE0"/>
    <w:rsid w:val="316B5930"/>
    <w:rsid w:val="316F5599"/>
    <w:rsid w:val="31722577"/>
    <w:rsid w:val="3176767E"/>
    <w:rsid w:val="317B3226"/>
    <w:rsid w:val="317C76E8"/>
    <w:rsid w:val="318E49C4"/>
    <w:rsid w:val="319B4325"/>
    <w:rsid w:val="319E38E6"/>
    <w:rsid w:val="319F18FA"/>
    <w:rsid w:val="31A822C6"/>
    <w:rsid w:val="31B23571"/>
    <w:rsid w:val="31BF7E6F"/>
    <w:rsid w:val="31BF7FA9"/>
    <w:rsid w:val="31C27DF6"/>
    <w:rsid w:val="31C33A63"/>
    <w:rsid w:val="31C36609"/>
    <w:rsid w:val="31CB729F"/>
    <w:rsid w:val="31CF026E"/>
    <w:rsid w:val="31D35C35"/>
    <w:rsid w:val="31D969BB"/>
    <w:rsid w:val="31DB640D"/>
    <w:rsid w:val="31E2726A"/>
    <w:rsid w:val="31E31A66"/>
    <w:rsid w:val="31E83339"/>
    <w:rsid w:val="31EA5372"/>
    <w:rsid w:val="31F139CC"/>
    <w:rsid w:val="31F9572A"/>
    <w:rsid w:val="31FD44AD"/>
    <w:rsid w:val="320015FF"/>
    <w:rsid w:val="32012DCD"/>
    <w:rsid w:val="32040940"/>
    <w:rsid w:val="320846FC"/>
    <w:rsid w:val="320B0966"/>
    <w:rsid w:val="320C4458"/>
    <w:rsid w:val="32197E14"/>
    <w:rsid w:val="321C3752"/>
    <w:rsid w:val="3221335A"/>
    <w:rsid w:val="32235C15"/>
    <w:rsid w:val="32260C39"/>
    <w:rsid w:val="322B01D6"/>
    <w:rsid w:val="322B24E6"/>
    <w:rsid w:val="322E5D4F"/>
    <w:rsid w:val="32376659"/>
    <w:rsid w:val="323D5104"/>
    <w:rsid w:val="323F16B2"/>
    <w:rsid w:val="324A02CD"/>
    <w:rsid w:val="325C782C"/>
    <w:rsid w:val="3265649B"/>
    <w:rsid w:val="326C49CB"/>
    <w:rsid w:val="327524C7"/>
    <w:rsid w:val="32781CC3"/>
    <w:rsid w:val="32794ADC"/>
    <w:rsid w:val="328A40FE"/>
    <w:rsid w:val="328D15BA"/>
    <w:rsid w:val="328F22A1"/>
    <w:rsid w:val="32977C77"/>
    <w:rsid w:val="329840D0"/>
    <w:rsid w:val="329B2555"/>
    <w:rsid w:val="32A24832"/>
    <w:rsid w:val="32A96648"/>
    <w:rsid w:val="32AD62C1"/>
    <w:rsid w:val="32AF0C88"/>
    <w:rsid w:val="32B92B1F"/>
    <w:rsid w:val="32BB2A65"/>
    <w:rsid w:val="32CB53A3"/>
    <w:rsid w:val="32CB5F46"/>
    <w:rsid w:val="32CC0321"/>
    <w:rsid w:val="32D05126"/>
    <w:rsid w:val="32D612B8"/>
    <w:rsid w:val="32DB5FE2"/>
    <w:rsid w:val="32DC1884"/>
    <w:rsid w:val="32E56661"/>
    <w:rsid w:val="32E91504"/>
    <w:rsid w:val="32EB72A4"/>
    <w:rsid w:val="32F3740F"/>
    <w:rsid w:val="32FA214B"/>
    <w:rsid w:val="32FB192B"/>
    <w:rsid w:val="32FC65D9"/>
    <w:rsid w:val="32FE7A85"/>
    <w:rsid w:val="330E138F"/>
    <w:rsid w:val="331306F6"/>
    <w:rsid w:val="33165AD1"/>
    <w:rsid w:val="33173DF0"/>
    <w:rsid w:val="331C6C97"/>
    <w:rsid w:val="33325244"/>
    <w:rsid w:val="333308E2"/>
    <w:rsid w:val="33337675"/>
    <w:rsid w:val="33417D52"/>
    <w:rsid w:val="334350DD"/>
    <w:rsid w:val="33461FC4"/>
    <w:rsid w:val="33491C41"/>
    <w:rsid w:val="33492444"/>
    <w:rsid w:val="334B65B8"/>
    <w:rsid w:val="3358507C"/>
    <w:rsid w:val="335B786E"/>
    <w:rsid w:val="33665CF5"/>
    <w:rsid w:val="33711EAC"/>
    <w:rsid w:val="33744C89"/>
    <w:rsid w:val="337723B7"/>
    <w:rsid w:val="33780F46"/>
    <w:rsid w:val="33820DF1"/>
    <w:rsid w:val="33841CA4"/>
    <w:rsid w:val="3386671F"/>
    <w:rsid w:val="338B5D97"/>
    <w:rsid w:val="338D1597"/>
    <w:rsid w:val="33973FAA"/>
    <w:rsid w:val="339A4918"/>
    <w:rsid w:val="33A56DAF"/>
    <w:rsid w:val="33AC69A6"/>
    <w:rsid w:val="33B53522"/>
    <w:rsid w:val="33C459D3"/>
    <w:rsid w:val="33C87FC3"/>
    <w:rsid w:val="33CD688F"/>
    <w:rsid w:val="33CF1F91"/>
    <w:rsid w:val="33DA6B7D"/>
    <w:rsid w:val="33DD69CB"/>
    <w:rsid w:val="33F225C8"/>
    <w:rsid w:val="33F33DE9"/>
    <w:rsid w:val="33F42391"/>
    <w:rsid w:val="3402521F"/>
    <w:rsid w:val="340B4474"/>
    <w:rsid w:val="340E172D"/>
    <w:rsid w:val="3424620C"/>
    <w:rsid w:val="34271E21"/>
    <w:rsid w:val="3437217D"/>
    <w:rsid w:val="34450011"/>
    <w:rsid w:val="34451F15"/>
    <w:rsid w:val="344D0963"/>
    <w:rsid w:val="34552EAA"/>
    <w:rsid w:val="345669E7"/>
    <w:rsid w:val="345A7BD9"/>
    <w:rsid w:val="3463005F"/>
    <w:rsid w:val="34650620"/>
    <w:rsid w:val="346A737D"/>
    <w:rsid w:val="346E4A63"/>
    <w:rsid w:val="34845DAA"/>
    <w:rsid w:val="3496715F"/>
    <w:rsid w:val="349D6D6F"/>
    <w:rsid w:val="34A17DC6"/>
    <w:rsid w:val="34AA7088"/>
    <w:rsid w:val="34B42DD9"/>
    <w:rsid w:val="34D37DF5"/>
    <w:rsid w:val="34D40E4C"/>
    <w:rsid w:val="34D713CC"/>
    <w:rsid w:val="34D91B12"/>
    <w:rsid w:val="34D92306"/>
    <w:rsid w:val="35114FCA"/>
    <w:rsid w:val="35116F72"/>
    <w:rsid w:val="35117E8A"/>
    <w:rsid w:val="35120070"/>
    <w:rsid w:val="35142A05"/>
    <w:rsid w:val="351933DD"/>
    <w:rsid w:val="351C3B08"/>
    <w:rsid w:val="35261501"/>
    <w:rsid w:val="35322102"/>
    <w:rsid w:val="354112A0"/>
    <w:rsid w:val="35434E54"/>
    <w:rsid w:val="354B021C"/>
    <w:rsid w:val="354C0942"/>
    <w:rsid w:val="35560CE7"/>
    <w:rsid w:val="35574CCB"/>
    <w:rsid w:val="355A34FD"/>
    <w:rsid w:val="355F4704"/>
    <w:rsid w:val="35654C6E"/>
    <w:rsid w:val="356F1599"/>
    <w:rsid w:val="357B730B"/>
    <w:rsid w:val="358071CF"/>
    <w:rsid w:val="35807E8D"/>
    <w:rsid w:val="3583402F"/>
    <w:rsid w:val="3589384B"/>
    <w:rsid w:val="358B5E9B"/>
    <w:rsid w:val="3595370D"/>
    <w:rsid w:val="359B3FD1"/>
    <w:rsid w:val="35A00AB6"/>
    <w:rsid w:val="35A05D04"/>
    <w:rsid w:val="35B11EE8"/>
    <w:rsid w:val="35B322DB"/>
    <w:rsid w:val="35B60C78"/>
    <w:rsid w:val="35B97173"/>
    <w:rsid w:val="35BC4127"/>
    <w:rsid w:val="35C501CC"/>
    <w:rsid w:val="35C52E9D"/>
    <w:rsid w:val="35CC2608"/>
    <w:rsid w:val="35DD3ADA"/>
    <w:rsid w:val="35F20D74"/>
    <w:rsid w:val="35F4027C"/>
    <w:rsid w:val="36020E80"/>
    <w:rsid w:val="3605477E"/>
    <w:rsid w:val="360F7C99"/>
    <w:rsid w:val="36185EC4"/>
    <w:rsid w:val="361A1EA9"/>
    <w:rsid w:val="361A5C33"/>
    <w:rsid w:val="3626311A"/>
    <w:rsid w:val="36270F15"/>
    <w:rsid w:val="36286716"/>
    <w:rsid w:val="362A3C16"/>
    <w:rsid w:val="36334C83"/>
    <w:rsid w:val="365B24B1"/>
    <w:rsid w:val="36651C38"/>
    <w:rsid w:val="36686DFB"/>
    <w:rsid w:val="36757F9E"/>
    <w:rsid w:val="36776596"/>
    <w:rsid w:val="367C31A6"/>
    <w:rsid w:val="368F1A74"/>
    <w:rsid w:val="369275E2"/>
    <w:rsid w:val="369367DB"/>
    <w:rsid w:val="36944903"/>
    <w:rsid w:val="36962F17"/>
    <w:rsid w:val="36965924"/>
    <w:rsid w:val="36A026F4"/>
    <w:rsid w:val="36AC4D3C"/>
    <w:rsid w:val="36B3080C"/>
    <w:rsid w:val="36C906E2"/>
    <w:rsid w:val="36D5466E"/>
    <w:rsid w:val="36D75467"/>
    <w:rsid w:val="36DA5A9D"/>
    <w:rsid w:val="36E03B81"/>
    <w:rsid w:val="36E126B2"/>
    <w:rsid w:val="36E432CF"/>
    <w:rsid w:val="36F06F88"/>
    <w:rsid w:val="36FA5C24"/>
    <w:rsid w:val="36FC3404"/>
    <w:rsid w:val="36FE3930"/>
    <w:rsid w:val="370B6BBD"/>
    <w:rsid w:val="370E5E59"/>
    <w:rsid w:val="37103543"/>
    <w:rsid w:val="371A4CCE"/>
    <w:rsid w:val="371C7817"/>
    <w:rsid w:val="371D2610"/>
    <w:rsid w:val="37244B71"/>
    <w:rsid w:val="373A038D"/>
    <w:rsid w:val="373B0DD4"/>
    <w:rsid w:val="37444456"/>
    <w:rsid w:val="374F6BD6"/>
    <w:rsid w:val="376D4330"/>
    <w:rsid w:val="3779232F"/>
    <w:rsid w:val="37843DF9"/>
    <w:rsid w:val="378E02F2"/>
    <w:rsid w:val="37981FA0"/>
    <w:rsid w:val="37A61E6C"/>
    <w:rsid w:val="37B46271"/>
    <w:rsid w:val="37B66BE9"/>
    <w:rsid w:val="37C3062E"/>
    <w:rsid w:val="37C52C6D"/>
    <w:rsid w:val="37D05380"/>
    <w:rsid w:val="37D71178"/>
    <w:rsid w:val="37DD26D9"/>
    <w:rsid w:val="37E261BB"/>
    <w:rsid w:val="37E369F7"/>
    <w:rsid w:val="37E52D87"/>
    <w:rsid w:val="37E956B8"/>
    <w:rsid w:val="37EC1388"/>
    <w:rsid w:val="37F16953"/>
    <w:rsid w:val="37F21C9F"/>
    <w:rsid w:val="37F3056F"/>
    <w:rsid w:val="37FD135B"/>
    <w:rsid w:val="38090F60"/>
    <w:rsid w:val="38233BE0"/>
    <w:rsid w:val="382A1B29"/>
    <w:rsid w:val="382D0AB9"/>
    <w:rsid w:val="382F0FB3"/>
    <w:rsid w:val="383315F7"/>
    <w:rsid w:val="383D5DF2"/>
    <w:rsid w:val="383D767B"/>
    <w:rsid w:val="383F74F8"/>
    <w:rsid w:val="38487D19"/>
    <w:rsid w:val="384E2E58"/>
    <w:rsid w:val="3851076E"/>
    <w:rsid w:val="38537DA2"/>
    <w:rsid w:val="38553124"/>
    <w:rsid w:val="38557066"/>
    <w:rsid w:val="38562292"/>
    <w:rsid w:val="38616AEB"/>
    <w:rsid w:val="38630259"/>
    <w:rsid w:val="38665C5E"/>
    <w:rsid w:val="3867704F"/>
    <w:rsid w:val="38683139"/>
    <w:rsid w:val="386A34F6"/>
    <w:rsid w:val="386C72A0"/>
    <w:rsid w:val="3872134D"/>
    <w:rsid w:val="387A70D9"/>
    <w:rsid w:val="388A00D1"/>
    <w:rsid w:val="388B382C"/>
    <w:rsid w:val="389C3A5F"/>
    <w:rsid w:val="38A17A1B"/>
    <w:rsid w:val="38A57578"/>
    <w:rsid w:val="38A6468E"/>
    <w:rsid w:val="38B05CB9"/>
    <w:rsid w:val="38B31DD0"/>
    <w:rsid w:val="38BA1F3F"/>
    <w:rsid w:val="38BC5DAE"/>
    <w:rsid w:val="38BD15BF"/>
    <w:rsid w:val="38C1453E"/>
    <w:rsid w:val="38C26BC5"/>
    <w:rsid w:val="38C31B56"/>
    <w:rsid w:val="38C67EE1"/>
    <w:rsid w:val="38C93DBD"/>
    <w:rsid w:val="38CC1313"/>
    <w:rsid w:val="38CC283F"/>
    <w:rsid w:val="38D754AF"/>
    <w:rsid w:val="38DA6338"/>
    <w:rsid w:val="38DB4C2A"/>
    <w:rsid w:val="38E42C1F"/>
    <w:rsid w:val="38E84D2E"/>
    <w:rsid w:val="38F12E40"/>
    <w:rsid w:val="38FA05FE"/>
    <w:rsid w:val="3900087B"/>
    <w:rsid w:val="3908788E"/>
    <w:rsid w:val="390C3A72"/>
    <w:rsid w:val="390F08FA"/>
    <w:rsid w:val="390F2EDB"/>
    <w:rsid w:val="39103812"/>
    <w:rsid w:val="39103E8A"/>
    <w:rsid w:val="39132F0F"/>
    <w:rsid w:val="39140253"/>
    <w:rsid w:val="391C19FF"/>
    <w:rsid w:val="391E4DC6"/>
    <w:rsid w:val="39234319"/>
    <w:rsid w:val="39234C5A"/>
    <w:rsid w:val="392422F3"/>
    <w:rsid w:val="39245314"/>
    <w:rsid w:val="39387F88"/>
    <w:rsid w:val="393A3F4D"/>
    <w:rsid w:val="39424ECD"/>
    <w:rsid w:val="39491E1E"/>
    <w:rsid w:val="394D2426"/>
    <w:rsid w:val="394E38F4"/>
    <w:rsid w:val="39504F46"/>
    <w:rsid w:val="39521196"/>
    <w:rsid w:val="39535B3E"/>
    <w:rsid w:val="39567680"/>
    <w:rsid w:val="395954D0"/>
    <w:rsid w:val="397035AE"/>
    <w:rsid w:val="397113EA"/>
    <w:rsid w:val="39735BE3"/>
    <w:rsid w:val="3989360B"/>
    <w:rsid w:val="39953609"/>
    <w:rsid w:val="39957403"/>
    <w:rsid w:val="399B2ADB"/>
    <w:rsid w:val="399E2047"/>
    <w:rsid w:val="39A55B71"/>
    <w:rsid w:val="39C021F4"/>
    <w:rsid w:val="39C30A82"/>
    <w:rsid w:val="39C57800"/>
    <w:rsid w:val="39D25DF9"/>
    <w:rsid w:val="39D56468"/>
    <w:rsid w:val="39DE22CE"/>
    <w:rsid w:val="39DE68B6"/>
    <w:rsid w:val="39E31AC7"/>
    <w:rsid w:val="39EF3AE4"/>
    <w:rsid w:val="39F40FA2"/>
    <w:rsid w:val="39F42954"/>
    <w:rsid w:val="39F46D3B"/>
    <w:rsid w:val="39FE0BC6"/>
    <w:rsid w:val="39FF69F2"/>
    <w:rsid w:val="3A0D3AEB"/>
    <w:rsid w:val="3A135B82"/>
    <w:rsid w:val="3A1A4296"/>
    <w:rsid w:val="3A1E19EA"/>
    <w:rsid w:val="3A2424CB"/>
    <w:rsid w:val="3A290338"/>
    <w:rsid w:val="3A3306A7"/>
    <w:rsid w:val="3A3A1D9A"/>
    <w:rsid w:val="3A3B08A4"/>
    <w:rsid w:val="3A3E110A"/>
    <w:rsid w:val="3A4037CF"/>
    <w:rsid w:val="3A496805"/>
    <w:rsid w:val="3A595E0E"/>
    <w:rsid w:val="3A5D48A3"/>
    <w:rsid w:val="3A612389"/>
    <w:rsid w:val="3A6A32E7"/>
    <w:rsid w:val="3A6F2F27"/>
    <w:rsid w:val="3A75135C"/>
    <w:rsid w:val="3A7B4ED7"/>
    <w:rsid w:val="3A7C538A"/>
    <w:rsid w:val="3A82483A"/>
    <w:rsid w:val="3A8F7C91"/>
    <w:rsid w:val="3A950B7C"/>
    <w:rsid w:val="3AA069CF"/>
    <w:rsid w:val="3AA7293C"/>
    <w:rsid w:val="3AA92AFA"/>
    <w:rsid w:val="3AAF4827"/>
    <w:rsid w:val="3AB26CC5"/>
    <w:rsid w:val="3AB54018"/>
    <w:rsid w:val="3AB55C15"/>
    <w:rsid w:val="3ABD02F4"/>
    <w:rsid w:val="3ABF3981"/>
    <w:rsid w:val="3AC154CA"/>
    <w:rsid w:val="3AC505A2"/>
    <w:rsid w:val="3ACA18AD"/>
    <w:rsid w:val="3AD556A6"/>
    <w:rsid w:val="3AD93CF0"/>
    <w:rsid w:val="3AE112FF"/>
    <w:rsid w:val="3AEE367E"/>
    <w:rsid w:val="3AF73F8E"/>
    <w:rsid w:val="3AF83408"/>
    <w:rsid w:val="3AFA3AA5"/>
    <w:rsid w:val="3AFA6DC9"/>
    <w:rsid w:val="3AFD3322"/>
    <w:rsid w:val="3B002B9D"/>
    <w:rsid w:val="3B0C2497"/>
    <w:rsid w:val="3B0C4F93"/>
    <w:rsid w:val="3B16210F"/>
    <w:rsid w:val="3B1669C2"/>
    <w:rsid w:val="3B186FE9"/>
    <w:rsid w:val="3B1A392B"/>
    <w:rsid w:val="3B1C3234"/>
    <w:rsid w:val="3B2468B3"/>
    <w:rsid w:val="3B256536"/>
    <w:rsid w:val="3B3635AB"/>
    <w:rsid w:val="3B393D9F"/>
    <w:rsid w:val="3B452C50"/>
    <w:rsid w:val="3B4C53B1"/>
    <w:rsid w:val="3B4E14F1"/>
    <w:rsid w:val="3B505A1C"/>
    <w:rsid w:val="3B5865B2"/>
    <w:rsid w:val="3B59301C"/>
    <w:rsid w:val="3B5A25D6"/>
    <w:rsid w:val="3B5B3975"/>
    <w:rsid w:val="3B5E09D7"/>
    <w:rsid w:val="3B651DF0"/>
    <w:rsid w:val="3B731D7A"/>
    <w:rsid w:val="3B7451C0"/>
    <w:rsid w:val="3B791E90"/>
    <w:rsid w:val="3B7B74E1"/>
    <w:rsid w:val="3B837671"/>
    <w:rsid w:val="3B880A4A"/>
    <w:rsid w:val="3B89300D"/>
    <w:rsid w:val="3B8A6EC2"/>
    <w:rsid w:val="3B8C5732"/>
    <w:rsid w:val="3B8E4AB8"/>
    <w:rsid w:val="3B9440A1"/>
    <w:rsid w:val="3B94652B"/>
    <w:rsid w:val="3BA24786"/>
    <w:rsid w:val="3BB95194"/>
    <w:rsid w:val="3BBA1ACD"/>
    <w:rsid w:val="3BC26D55"/>
    <w:rsid w:val="3BC85F21"/>
    <w:rsid w:val="3BC93F63"/>
    <w:rsid w:val="3BD20A4B"/>
    <w:rsid w:val="3BD20BEC"/>
    <w:rsid w:val="3BE258F2"/>
    <w:rsid w:val="3BE932D3"/>
    <w:rsid w:val="3BF85EE4"/>
    <w:rsid w:val="3BFE0432"/>
    <w:rsid w:val="3C00317A"/>
    <w:rsid w:val="3C03300E"/>
    <w:rsid w:val="3C085888"/>
    <w:rsid w:val="3C0A656E"/>
    <w:rsid w:val="3C15066D"/>
    <w:rsid w:val="3C17107B"/>
    <w:rsid w:val="3C1A7707"/>
    <w:rsid w:val="3C205BC3"/>
    <w:rsid w:val="3C2201D1"/>
    <w:rsid w:val="3C28729F"/>
    <w:rsid w:val="3C2A741A"/>
    <w:rsid w:val="3C3710FF"/>
    <w:rsid w:val="3C411AB8"/>
    <w:rsid w:val="3C4353FE"/>
    <w:rsid w:val="3C4608AC"/>
    <w:rsid w:val="3C4E6265"/>
    <w:rsid w:val="3C54160F"/>
    <w:rsid w:val="3C577D4F"/>
    <w:rsid w:val="3C6127E8"/>
    <w:rsid w:val="3C624A28"/>
    <w:rsid w:val="3C773190"/>
    <w:rsid w:val="3C793E68"/>
    <w:rsid w:val="3C7B5ACE"/>
    <w:rsid w:val="3C7C7F0F"/>
    <w:rsid w:val="3C82043C"/>
    <w:rsid w:val="3C82216B"/>
    <w:rsid w:val="3C886F15"/>
    <w:rsid w:val="3C8B109E"/>
    <w:rsid w:val="3C8B67DD"/>
    <w:rsid w:val="3C8D7814"/>
    <w:rsid w:val="3C942A66"/>
    <w:rsid w:val="3C9A328E"/>
    <w:rsid w:val="3C9A4085"/>
    <w:rsid w:val="3C9B7D26"/>
    <w:rsid w:val="3CA3632E"/>
    <w:rsid w:val="3CA70778"/>
    <w:rsid w:val="3CB43F91"/>
    <w:rsid w:val="3CB77EFD"/>
    <w:rsid w:val="3CB80646"/>
    <w:rsid w:val="3CB95734"/>
    <w:rsid w:val="3CBC7F19"/>
    <w:rsid w:val="3CC20B2A"/>
    <w:rsid w:val="3CCA0EB2"/>
    <w:rsid w:val="3CCF05E4"/>
    <w:rsid w:val="3CD479FE"/>
    <w:rsid w:val="3CE2143C"/>
    <w:rsid w:val="3CE4052E"/>
    <w:rsid w:val="3CF0656E"/>
    <w:rsid w:val="3CF32F6E"/>
    <w:rsid w:val="3CF83B2E"/>
    <w:rsid w:val="3CF957C1"/>
    <w:rsid w:val="3CFA4C9E"/>
    <w:rsid w:val="3CFB2368"/>
    <w:rsid w:val="3D016024"/>
    <w:rsid w:val="3D0A066C"/>
    <w:rsid w:val="3D0E7775"/>
    <w:rsid w:val="3D103E71"/>
    <w:rsid w:val="3D142619"/>
    <w:rsid w:val="3D1850D7"/>
    <w:rsid w:val="3D200A5A"/>
    <w:rsid w:val="3D210EEF"/>
    <w:rsid w:val="3D224F2D"/>
    <w:rsid w:val="3D291937"/>
    <w:rsid w:val="3D294205"/>
    <w:rsid w:val="3D2B4034"/>
    <w:rsid w:val="3D363C80"/>
    <w:rsid w:val="3D3C7EB4"/>
    <w:rsid w:val="3D3D6946"/>
    <w:rsid w:val="3D3E7332"/>
    <w:rsid w:val="3D412A08"/>
    <w:rsid w:val="3D4C6FC6"/>
    <w:rsid w:val="3D5428F6"/>
    <w:rsid w:val="3D5B5C86"/>
    <w:rsid w:val="3D5D4E85"/>
    <w:rsid w:val="3D5F0D8C"/>
    <w:rsid w:val="3D620236"/>
    <w:rsid w:val="3D685FA3"/>
    <w:rsid w:val="3D770940"/>
    <w:rsid w:val="3D7E52BE"/>
    <w:rsid w:val="3D83315B"/>
    <w:rsid w:val="3D8812AE"/>
    <w:rsid w:val="3DA209BD"/>
    <w:rsid w:val="3DA66963"/>
    <w:rsid w:val="3DAA2A50"/>
    <w:rsid w:val="3DAE72B1"/>
    <w:rsid w:val="3DAF498D"/>
    <w:rsid w:val="3DB77267"/>
    <w:rsid w:val="3DBF046C"/>
    <w:rsid w:val="3DC13666"/>
    <w:rsid w:val="3DC86DB6"/>
    <w:rsid w:val="3DD37AE2"/>
    <w:rsid w:val="3DD6554A"/>
    <w:rsid w:val="3DDA4854"/>
    <w:rsid w:val="3DEF3562"/>
    <w:rsid w:val="3DF158A0"/>
    <w:rsid w:val="3DF20129"/>
    <w:rsid w:val="3DF33FCC"/>
    <w:rsid w:val="3DF67E14"/>
    <w:rsid w:val="3E03148D"/>
    <w:rsid w:val="3E0C5AC9"/>
    <w:rsid w:val="3E1019BB"/>
    <w:rsid w:val="3E1F38B2"/>
    <w:rsid w:val="3E2657D5"/>
    <w:rsid w:val="3E3647AA"/>
    <w:rsid w:val="3E3905F4"/>
    <w:rsid w:val="3E4F0283"/>
    <w:rsid w:val="3E4F243E"/>
    <w:rsid w:val="3E4F4E8E"/>
    <w:rsid w:val="3E5164BF"/>
    <w:rsid w:val="3E520CD7"/>
    <w:rsid w:val="3E527378"/>
    <w:rsid w:val="3E5B529D"/>
    <w:rsid w:val="3E7212ED"/>
    <w:rsid w:val="3E73685A"/>
    <w:rsid w:val="3E7E0091"/>
    <w:rsid w:val="3E8B26FE"/>
    <w:rsid w:val="3E922536"/>
    <w:rsid w:val="3E965270"/>
    <w:rsid w:val="3E9A4BB1"/>
    <w:rsid w:val="3E9C40D7"/>
    <w:rsid w:val="3EA3414C"/>
    <w:rsid w:val="3EA54914"/>
    <w:rsid w:val="3EB01AC7"/>
    <w:rsid w:val="3EB041C9"/>
    <w:rsid w:val="3EB1054C"/>
    <w:rsid w:val="3EB13C76"/>
    <w:rsid w:val="3EB14E3A"/>
    <w:rsid w:val="3EBD3F95"/>
    <w:rsid w:val="3EC25CA0"/>
    <w:rsid w:val="3EC7163A"/>
    <w:rsid w:val="3EC96566"/>
    <w:rsid w:val="3ECD16C8"/>
    <w:rsid w:val="3ED218A5"/>
    <w:rsid w:val="3EE27A1E"/>
    <w:rsid w:val="3EEE2BE8"/>
    <w:rsid w:val="3F023D3C"/>
    <w:rsid w:val="3F080204"/>
    <w:rsid w:val="3F0B2670"/>
    <w:rsid w:val="3F12278F"/>
    <w:rsid w:val="3F13251A"/>
    <w:rsid w:val="3F136010"/>
    <w:rsid w:val="3F1365F0"/>
    <w:rsid w:val="3F153FB9"/>
    <w:rsid w:val="3F161F42"/>
    <w:rsid w:val="3F1E3820"/>
    <w:rsid w:val="3F2C3DE7"/>
    <w:rsid w:val="3F2D0248"/>
    <w:rsid w:val="3F2F5872"/>
    <w:rsid w:val="3F411CE0"/>
    <w:rsid w:val="3F43603E"/>
    <w:rsid w:val="3F44276C"/>
    <w:rsid w:val="3F4A1C8B"/>
    <w:rsid w:val="3F4A6ABF"/>
    <w:rsid w:val="3F4C0C38"/>
    <w:rsid w:val="3F58403A"/>
    <w:rsid w:val="3F661102"/>
    <w:rsid w:val="3F666903"/>
    <w:rsid w:val="3F6D2629"/>
    <w:rsid w:val="3F720E02"/>
    <w:rsid w:val="3F722C41"/>
    <w:rsid w:val="3F892E15"/>
    <w:rsid w:val="3F8A5BAA"/>
    <w:rsid w:val="3F8B020A"/>
    <w:rsid w:val="3F92136C"/>
    <w:rsid w:val="3F9E1960"/>
    <w:rsid w:val="3F9E4CF2"/>
    <w:rsid w:val="3FA933A2"/>
    <w:rsid w:val="3FAD2022"/>
    <w:rsid w:val="3FAE3F57"/>
    <w:rsid w:val="3FAE4204"/>
    <w:rsid w:val="3FAF181F"/>
    <w:rsid w:val="3FB43FB9"/>
    <w:rsid w:val="3FB479A0"/>
    <w:rsid w:val="3FB77D6F"/>
    <w:rsid w:val="3FD27B6B"/>
    <w:rsid w:val="3FD404AB"/>
    <w:rsid w:val="3FD679D2"/>
    <w:rsid w:val="3FD97438"/>
    <w:rsid w:val="3FDA067E"/>
    <w:rsid w:val="3FDE72C9"/>
    <w:rsid w:val="3FE635F3"/>
    <w:rsid w:val="3FEE0241"/>
    <w:rsid w:val="3FF141E9"/>
    <w:rsid w:val="3FF46EAC"/>
    <w:rsid w:val="3FF53BC5"/>
    <w:rsid w:val="3FF54E76"/>
    <w:rsid w:val="3FF85BCF"/>
    <w:rsid w:val="3FFE5626"/>
    <w:rsid w:val="401F2835"/>
    <w:rsid w:val="40250F8B"/>
    <w:rsid w:val="40270AF7"/>
    <w:rsid w:val="40292CCE"/>
    <w:rsid w:val="40412C3B"/>
    <w:rsid w:val="404D6A5F"/>
    <w:rsid w:val="404E04A7"/>
    <w:rsid w:val="405668D4"/>
    <w:rsid w:val="4062348D"/>
    <w:rsid w:val="40653646"/>
    <w:rsid w:val="40681B0B"/>
    <w:rsid w:val="406E7CC6"/>
    <w:rsid w:val="406F602F"/>
    <w:rsid w:val="40712660"/>
    <w:rsid w:val="40797595"/>
    <w:rsid w:val="407E0656"/>
    <w:rsid w:val="40805F80"/>
    <w:rsid w:val="4084385D"/>
    <w:rsid w:val="40850AD3"/>
    <w:rsid w:val="408F6CEC"/>
    <w:rsid w:val="409232C7"/>
    <w:rsid w:val="40936F19"/>
    <w:rsid w:val="4094009F"/>
    <w:rsid w:val="4097140E"/>
    <w:rsid w:val="40A61EC4"/>
    <w:rsid w:val="40C55D36"/>
    <w:rsid w:val="40CF749B"/>
    <w:rsid w:val="40D03DBA"/>
    <w:rsid w:val="40D84655"/>
    <w:rsid w:val="40E727D9"/>
    <w:rsid w:val="40F435F1"/>
    <w:rsid w:val="40F75BC6"/>
    <w:rsid w:val="40FA6A18"/>
    <w:rsid w:val="40FD51AA"/>
    <w:rsid w:val="4102170A"/>
    <w:rsid w:val="41083CBA"/>
    <w:rsid w:val="41094141"/>
    <w:rsid w:val="4109443A"/>
    <w:rsid w:val="41194DCA"/>
    <w:rsid w:val="411A643C"/>
    <w:rsid w:val="411E1620"/>
    <w:rsid w:val="411F2B4B"/>
    <w:rsid w:val="41213BE8"/>
    <w:rsid w:val="41227067"/>
    <w:rsid w:val="41294129"/>
    <w:rsid w:val="41303E98"/>
    <w:rsid w:val="41333E97"/>
    <w:rsid w:val="41386742"/>
    <w:rsid w:val="41392B23"/>
    <w:rsid w:val="413C0CAB"/>
    <w:rsid w:val="4144054F"/>
    <w:rsid w:val="414733AD"/>
    <w:rsid w:val="41480D53"/>
    <w:rsid w:val="414B35E7"/>
    <w:rsid w:val="41506F12"/>
    <w:rsid w:val="415E67A5"/>
    <w:rsid w:val="41651D3A"/>
    <w:rsid w:val="416858EB"/>
    <w:rsid w:val="41694A56"/>
    <w:rsid w:val="416A76F6"/>
    <w:rsid w:val="41706740"/>
    <w:rsid w:val="417325E3"/>
    <w:rsid w:val="417742AC"/>
    <w:rsid w:val="4179238C"/>
    <w:rsid w:val="418249C7"/>
    <w:rsid w:val="41837D60"/>
    <w:rsid w:val="419433DE"/>
    <w:rsid w:val="41963A7A"/>
    <w:rsid w:val="419F1BE4"/>
    <w:rsid w:val="419F4083"/>
    <w:rsid w:val="41AF3F94"/>
    <w:rsid w:val="41AF6CA0"/>
    <w:rsid w:val="41B20C20"/>
    <w:rsid w:val="41BC6779"/>
    <w:rsid w:val="41BD2564"/>
    <w:rsid w:val="41C213BA"/>
    <w:rsid w:val="41C4063B"/>
    <w:rsid w:val="41C82ECA"/>
    <w:rsid w:val="41CB7430"/>
    <w:rsid w:val="41CC40FF"/>
    <w:rsid w:val="41CD3BB9"/>
    <w:rsid w:val="41D448DE"/>
    <w:rsid w:val="41DC6A82"/>
    <w:rsid w:val="41DE71D2"/>
    <w:rsid w:val="41E10958"/>
    <w:rsid w:val="41E33D30"/>
    <w:rsid w:val="41EE3FD1"/>
    <w:rsid w:val="41F1341F"/>
    <w:rsid w:val="41F54DD6"/>
    <w:rsid w:val="42067189"/>
    <w:rsid w:val="42086F41"/>
    <w:rsid w:val="420A22A0"/>
    <w:rsid w:val="420B609C"/>
    <w:rsid w:val="42112A44"/>
    <w:rsid w:val="421C258C"/>
    <w:rsid w:val="422851E6"/>
    <w:rsid w:val="422870D4"/>
    <w:rsid w:val="422C6C39"/>
    <w:rsid w:val="422E76A1"/>
    <w:rsid w:val="42433416"/>
    <w:rsid w:val="424963E9"/>
    <w:rsid w:val="42591948"/>
    <w:rsid w:val="425D181A"/>
    <w:rsid w:val="42661088"/>
    <w:rsid w:val="426806F4"/>
    <w:rsid w:val="42716473"/>
    <w:rsid w:val="42785B8C"/>
    <w:rsid w:val="427B1A08"/>
    <w:rsid w:val="427D2F21"/>
    <w:rsid w:val="4288614E"/>
    <w:rsid w:val="4288648A"/>
    <w:rsid w:val="428D045B"/>
    <w:rsid w:val="4292322F"/>
    <w:rsid w:val="429B2B21"/>
    <w:rsid w:val="429D17B5"/>
    <w:rsid w:val="42A62228"/>
    <w:rsid w:val="42B4050E"/>
    <w:rsid w:val="42BC7587"/>
    <w:rsid w:val="42C22E3B"/>
    <w:rsid w:val="42C36CD5"/>
    <w:rsid w:val="42C41FE4"/>
    <w:rsid w:val="42D77E08"/>
    <w:rsid w:val="42DD60FE"/>
    <w:rsid w:val="42DF3109"/>
    <w:rsid w:val="42E54ED7"/>
    <w:rsid w:val="42F009CC"/>
    <w:rsid w:val="42F05A7C"/>
    <w:rsid w:val="42F74456"/>
    <w:rsid w:val="42FA34CA"/>
    <w:rsid w:val="43061E6A"/>
    <w:rsid w:val="4312661B"/>
    <w:rsid w:val="43131AD8"/>
    <w:rsid w:val="43300A36"/>
    <w:rsid w:val="433959A6"/>
    <w:rsid w:val="433A791D"/>
    <w:rsid w:val="433D18C7"/>
    <w:rsid w:val="433F1262"/>
    <w:rsid w:val="43455BBB"/>
    <w:rsid w:val="434A3295"/>
    <w:rsid w:val="434A7154"/>
    <w:rsid w:val="43537F4B"/>
    <w:rsid w:val="435E03EB"/>
    <w:rsid w:val="43621F79"/>
    <w:rsid w:val="43676D85"/>
    <w:rsid w:val="43721FD6"/>
    <w:rsid w:val="4375205B"/>
    <w:rsid w:val="43815BC1"/>
    <w:rsid w:val="438666A4"/>
    <w:rsid w:val="4388205E"/>
    <w:rsid w:val="43897E42"/>
    <w:rsid w:val="43926D5E"/>
    <w:rsid w:val="43A04F14"/>
    <w:rsid w:val="43A21FD3"/>
    <w:rsid w:val="43B36449"/>
    <w:rsid w:val="43B52F2F"/>
    <w:rsid w:val="43B810FA"/>
    <w:rsid w:val="43BA7C71"/>
    <w:rsid w:val="43C00DA4"/>
    <w:rsid w:val="43CB318B"/>
    <w:rsid w:val="43D40D25"/>
    <w:rsid w:val="43EB0169"/>
    <w:rsid w:val="43EF4A13"/>
    <w:rsid w:val="43F763EA"/>
    <w:rsid w:val="43F95F54"/>
    <w:rsid w:val="43FE1B4F"/>
    <w:rsid w:val="440756DA"/>
    <w:rsid w:val="440B2872"/>
    <w:rsid w:val="4418484A"/>
    <w:rsid w:val="441D117C"/>
    <w:rsid w:val="441E0811"/>
    <w:rsid w:val="44287D15"/>
    <w:rsid w:val="443315B5"/>
    <w:rsid w:val="44367F55"/>
    <w:rsid w:val="44534EE3"/>
    <w:rsid w:val="445B013B"/>
    <w:rsid w:val="44602AA9"/>
    <w:rsid w:val="44623A64"/>
    <w:rsid w:val="44663932"/>
    <w:rsid w:val="446D7208"/>
    <w:rsid w:val="44747A4F"/>
    <w:rsid w:val="447E4F37"/>
    <w:rsid w:val="447E71AC"/>
    <w:rsid w:val="44813040"/>
    <w:rsid w:val="44846F5D"/>
    <w:rsid w:val="44850C92"/>
    <w:rsid w:val="44853513"/>
    <w:rsid w:val="44860D83"/>
    <w:rsid w:val="44897EE1"/>
    <w:rsid w:val="448A00DF"/>
    <w:rsid w:val="448B57D9"/>
    <w:rsid w:val="44954BB9"/>
    <w:rsid w:val="44995D36"/>
    <w:rsid w:val="449B220F"/>
    <w:rsid w:val="449F7087"/>
    <w:rsid w:val="44A71F1F"/>
    <w:rsid w:val="44B157B6"/>
    <w:rsid w:val="44B216CC"/>
    <w:rsid w:val="44C570D6"/>
    <w:rsid w:val="44C57A9D"/>
    <w:rsid w:val="44D00359"/>
    <w:rsid w:val="44D1062D"/>
    <w:rsid w:val="44D456EB"/>
    <w:rsid w:val="44D56356"/>
    <w:rsid w:val="44D72E8E"/>
    <w:rsid w:val="44DB61C5"/>
    <w:rsid w:val="44E637E8"/>
    <w:rsid w:val="44EE114C"/>
    <w:rsid w:val="44F17AC1"/>
    <w:rsid w:val="44F50B70"/>
    <w:rsid w:val="44F510CB"/>
    <w:rsid w:val="44F90F58"/>
    <w:rsid w:val="44FB1427"/>
    <w:rsid w:val="44FC530F"/>
    <w:rsid w:val="44FD49B4"/>
    <w:rsid w:val="450A16FF"/>
    <w:rsid w:val="450B6DD7"/>
    <w:rsid w:val="450C25DC"/>
    <w:rsid w:val="45122E52"/>
    <w:rsid w:val="451362FD"/>
    <w:rsid w:val="451A5CDD"/>
    <w:rsid w:val="451D6C73"/>
    <w:rsid w:val="452B4795"/>
    <w:rsid w:val="452C76AE"/>
    <w:rsid w:val="45391754"/>
    <w:rsid w:val="45391C5E"/>
    <w:rsid w:val="4540282F"/>
    <w:rsid w:val="45404374"/>
    <w:rsid w:val="45451C5A"/>
    <w:rsid w:val="45461FBC"/>
    <w:rsid w:val="4555591D"/>
    <w:rsid w:val="45567D79"/>
    <w:rsid w:val="455A6B7E"/>
    <w:rsid w:val="455C139D"/>
    <w:rsid w:val="4563661C"/>
    <w:rsid w:val="45664A59"/>
    <w:rsid w:val="45721926"/>
    <w:rsid w:val="45760E04"/>
    <w:rsid w:val="45765F5F"/>
    <w:rsid w:val="45781C39"/>
    <w:rsid w:val="45793699"/>
    <w:rsid w:val="457D2DE9"/>
    <w:rsid w:val="45992930"/>
    <w:rsid w:val="459E128F"/>
    <w:rsid w:val="45A33B0B"/>
    <w:rsid w:val="45A87F33"/>
    <w:rsid w:val="45AC7703"/>
    <w:rsid w:val="45B557E9"/>
    <w:rsid w:val="45B633EC"/>
    <w:rsid w:val="45BD5D17"/>
    <w:rsid w:val="45C00B79"/>
    <w:rsid w:val="45C8771A"/>
    <w:rsid w:val="45CB47A1"/>
    <w:rsid w:val="45CC2615"/>
    <w:rsid w:val="45D53351"/>
    <w:rsid w:val="45DF41B2"/>
    <w:rsid w:val="45F0737D"/>
    <w:rsid w:val="45FD3EBA"/>
    <w:rsid w:val="46020FCD"/>
    <w:rsid w:val="46050266"/>
    <w:rsid w:val="46050BD4"/>
    <w:rsid w:val="461341EB"/>
    <w:rsid w:val="461D09DE"/>
    <w:rsid w:val="462733C7"/>
    <w:rsid w:val="46276F1A"/>
    <w:rsid w:val="462C2D98"/>
    <w:rsid w:val="46300C97"/>
    <w:rsid w:val="463C2476"/>
    <w:rsid w:val="463E40DC"/>
    <w:rsid w:val="464D46BF"/>
    <w:rsid w:val="464E2853"/>
    <w:rsid w:val="46514E54"/>
    <w:rsid w:val="466064E6"/>
    <w:rsid w:val="46614F86"/>
    <w:rsid w:val="46692341"/>
    <w:rsid w:val="46747CC0"/>
    <w:rsid w:val="467629F6"/>
    <w:rsid w:val="46785B8E"/>
    <w:rsid w:val="46786CCD"/>
    <w:rsid w:val="46816807"/>
    <w:rsid w:val="468C1E1A"/>
    <w:rsid w:val="46952EF6"/>
    <w:rsid w:val="469954BA"/>
    <w:rsid w:val="469F30AC"/>
    <w:rsid w:val="46A03FA7"/>
    <w:rsid w:val="46A16AF3"/>
    <w:rsid w:val="46A4258B"/>
    <w:rsid w:val="46A61F3C"/>
    <w:rsid w:val="46A66917"/>
    <w:rsid w:val="46AD7C79"/>
    <w:rsid w:val="46B975B3"/>
    <w:rsid w:val="46C3645D"/>
    <w:rsid w:val="46D6756B"/>
    <w:rsid w:val="46D76DB1"/>
    <w:rsid w:val="46DE1B1F"/>
    <w:rsid w:val="46DE3D4F"/>
    <w:rsid w:val="46E07084"/>
    <w:rsid w:val="46E3679D"/>
    <w:rsid w:val="46E578CE"/>
    <w:rsid w:val="46E86E2E"/>
    <w:rsid w:val="46EE16EC"/>
    <w:rsid w:val="46EE19DD"/>
    <w:rsid w:val="46EF01DD"/>
    <w:rsid w:val="46F30D3B"/>
    <w:rsid w:val="46F32BB7"/>
    <w:rsid w:val="46F530C2"/>
    <w:rsid w:val="46FB2AD2"/>
    <w:rsid w:val="47027441"/>
    <w:rsid w:val="47076519"/>
    <w:rsid w:val="47081552"/>
    <w:rsid w:val="470A6E9A"/>
    <w:rsid w:val="471640D1"/>
    <w:rsid w:val="47192863"/>
    <w:rsid w:val="471A1505"/>
    <w:rsid w:val="471C62B9"/>
    <w:rsid w:val="47292D21"/>
    <w:rsid w:val="473123A3"/>
    <w:rsid w:val="47390859"/>
    <w:rsid w:val="47405EDE"/>
    <w:rsid w:val="47441A65"/>
    <w:rsid w:val="47491465"/>
    <w:rsid w:val="474A64BE"/>
    <w:rsid w:val="474D38BC"/>
    <w:rsid w:val="47533F0A"/>
    <w:rsid w:val="475444CC"/>
    <w:rsid w:val="476007AB"/>
    <w:rsid w:val="476055C2"/>
    <w:rsid w:val="476349C7"/>
    <w:rsid w:val="47673586"/>
    <w:rsid w:val="47692431"/>
    <w:rsid w:val="476E5E9C"/>
    <w:rsid w:val="477F25CC"/>
    <w:rsid w:val="47841526"/>
    <w:rsid w:val="47863087"/>
    <w:rsid w:val="478C68E9"/>
    <w:rsid w:val="478F4E9E"/>
    <w:rsid w:val="479C23CF"/>
    <w:rsid w:val="47A734B8"/>
    <w:rsid w:val="47AA428D"/>
    <w:rsid w:val="47AD44AD"/>
    <w:rsid w:val="47AE3E5F"/>
    <w:rsid w:val="47BD2AFD"/>
    <w:rsid w:val="47C64383"/>
    <w:rsid w:val="47C65442"/>
    <w:rsid w:val="47CA3977"/>
    <w:rsid w:val="47CE219D"/>
    <w:rsid w:val="47D4346A"/>
    <w:rsid w:val="47E007BE"/>
    <w:rsid w:val="47E706C8"/>
    <w:rsid w:val="47EB55C4"/>
    <w:rsid w:val="47F3693A"/>
    <w:rsid w:val="47F819D9"/>
    <w:rsid w:val="48072AAD"/>
    <w:rsid w:val="48084E26"/>
    <w:rsid w:val="48136E36"/>
    <w:rsid w:val="48194259"/>
    <w:rsid w:val="481F63D7"/>
    <w:rsid w:val="482043AB"/>
    <w:rsid w:val="482477FD"/>
    <w:rsid w:val="48300ADD"/>
    <w:rsid w:val="4836448F"/>
    <w:rsid w:val="483F03DA"/>
    <w:rsid w:val="484074F7"/>
    <w:rsid w:val="48492C81"/>
    <w:rsid w:val="4858093C"/>
    <w:rsid w:val="485F5D0A"/>
    <w:rsid w:val="48621E6E"/>
    <w:rsid w:val="48643CCC"/>
    <w:rsid w:val="487853E3"/>
    <w:rsid w:val="488D1FCA"/>
    <w:rsid w:val="48934E08"/>
    <w:rsid w:val="489B4AC8"/>
    <w:rsid w:val="48A05411"/>
    <w:rsid w:val="48A217F1"/>
    <w:rsid w:val="48AA5D88"/>
    <w:rsid w:val="48AD3A15"/>
    <w:rsid w:val="48B20A75"/>
    <w:rsid w:val="48BB32CA"/>
    <w:rsid w:val="48BD0E4E"/>
    <w:rsid w:val="48C801FD"/>
    <w:rsid w:val="48CB598C"/>
    <w:rsid w:val="48CF1C1A"/>
    <w:rsid w:val="48D801B3"/>
    <w:rsid w:val="48E43750"/>
    <w:rsid w:val="48E637E8"/>
    <w:rsid w:val="48EC5370"/>
    <w:rsid w:val="48F86CF9"/>
    <w:rsid w:val="48FE01EA"/>
    <w:rsid w:val="48FE34AA"/>
    <w:rsid w:val="49105D9B"/>
    <w:rsid w:val="491A1426"/>
    <w:rsid w:val="491A2FC0"/>
    <w:rsid w:val="492561FD"/>
    <w:rsid w:val="49312E4C"/>
    <w:rsid w:val="4931518F"/>
    <w:rsid w:val="49337132"/>
    <w:rsid w:val="49482465"/>
    <w:rsid w:val="49495815"/>
    <w:rsid w:val="494F7D0B"/>
    <w:rsid w:val="496332E8"/>
    <w:rsid w:val="49674BC9"/>
    <w:rsid w:val="49722044"/>
    <w:rsid w:val="49736F4E"/>
    <w:rsid w:val="497D55A1"/>
    <w:rsid w:val="498A095F"/>
    <w:rsid w:val="499004D9"/>
    <w:rsid w:val="49A7015D"/>
    <w:rsid w:val="49A94E13"/>
    <w:rsid w:val="49B108DF"/>
    <w:rsid w:val="49B461FE"/>
    <w:rsid w:val="49BD4B5D"/>
    <w:rsid w:val="49BD67AF"/>
    <w:rsid w:val="49CD06E7"/>
    <w:rsid w:val="49D1559F"/>
    <w:rsid w:val="49DF4FBB"/>
    <w:rsid w:val="49E63903"/>
    <w:rsid w:val="49F103CA"/>
    <w:rsid w:val="49F2328C"/>
    <w:rsid w:val="49F85431"/>
    <w:rsid w:val="49FB71AD"/>
    <w:rsid w:val="4A042828"/>
    <w:rsid w:val="4A113C53"/>
    <w:rsid w:val="4A117BE9"/>
    <w:rsid w:val="4A1E0E70"/>
    <w:rsid w:val="4A1F20A8"/>
    <w:rsid w:val="4A222D48"/>
    <w:rsid w:val="4A227D12"/>
    <w:rsid w:val="4A24691C"/>
    <w:rsid w:val="4A294A72"/>
    <w:rsid w:val="4A2A39F0"/>
    <w:rsid w:val="4A2A45CD"/>
    <w:rsid w:val="4A2B7F50"/>
    <w:rsid w:val="4A334EE3"/>
    <w:rsid w:val="4A347333"/>
    <w:rsid w:val="4A357539"/>
    <w:rsid w:val="4A360C07"/>
    <w:rsid w:val="4A36444B"/>
    <w:rsid w:val="4A450EB7"/>
    <w:rsid w:val="4A456689"/>
    <w:rsid w:val="4A5B6DC5"/>
    <w:rsid w:val="4A5D2A03"/>
    <w:rsid w:val="4A650664"/>
    <w:rsid w:val="4A6678FA"/>
    <w:rsid w:val="4A6746AB"/>
    <w:rsid w:val="4A6A792D"/>
    <w:rsid w:val="4A6C3E8D"/>
    <w:rsid w:val="4A720506"/>
    <w:rsid w:val="4A7625EF"/>
    <w:rsid w:val="4A762BBA"/>
    <w:rsid w:val="4A7D7D0C"/>
    <w:rsid w:val="4A8C27C3"/>
    <w:rsid w:val="4A8D04A3"/>
    <w:rsid w:val="4A901507"/>
    <w:rsid w:val="4AA25265"/>
    <w:rsid w:val="4AA36230"/>
    <w:rsid w:val="4AC31B50"/>
    <w:rsid w:val="4AC46E2F"/>
    <w:rsid w:val="4AC64A0A"/>
    <w:rsid w:val="4AC90C03"/>
    <w:rsid w:val="4ACA6CF5"/>
    <w:rsid w:val="4AD4423F"/>
    <w:rsid w:val="4ADD501A"/>
    <w:rsid w:val="4AE87BFB"/>
    <w:rsid w:val="4AEA6392"/>
    <w:rsid w:val="4AF0330D"/>
    <w:rsid w:val="4AF67B17"/>
    <w:rsid w:val="4B03091B"/>
    <w:rsid w:val="4B065404"/>
    <w:rsid w:val="4B0D402B"/>
    <w:rsid w:val="4B0F1454"/>
    <w:rsid w:val="4B14271E"/>
    <w:rsid w:val="4B363F8C"/>
    <w:rsid w:val="4B384E1A"/>
    <w:rsid w:val="4B385E4C"/>
    <w:rsid w:val="4B3E344D"/>
    <w:rsid w:val="4B4E248F"/>
    <w:rsid w:val="4B4F3D5F"/>
    <w:rsid w:val="4B536976"/>
    <w:rsid w:val="4B631836"/>
    <w:rsid w:val="4B6C2991"/>
    <w:rsid w:val="4B737E69"/>
    <w:rsid w:val="4B757CC4"/>
    <w:rsid w:val="4B76193C"/>
    <w:rsid w:val="4B785146"/>
    <w:rsid w:val="4B977AC9"/>
    <w:rsid w:val="4B995577"/>
    <w:rsid w:val="4BA57DE6"/>
    <w:rsid w:val="4BA84FE4"/>
    <w:rsid w:val="4BAE1201"/>
    <w:rsid w:val="4BB56469"/>
    <w:rsid w:val="4BBF3561"/>
    <w:rsid w:val="4BBF4D7C"/>
    <w:rsid w:val="4BCA42BD"/>
    <w:rsid w:val="4BDA642E"/>
    <w:rsid w:val="4BED0948"/>
    <w:rsid w:val="4BEE77F1"/>
    <w:rsid w:val="4BF87979"/>
    <w:rsid w:val="4BFA6898"/>
    <w:rsid w:val="4BFC303D"/>
    <w:rsid w:val="4BFD6717"/>
    <w:rsid w:val="4C0D045A"/>
    <w:rsid w:val="4C102783"/>
    <w:rsid w:val="4C1400F3"/>
    <w:rsid w:val="4C1432FB"/>
    <w:rsid w:val="4C1E1719"/>
    <w:rsid w:val="4C1E3988"/>
    <w:rsid w:val="4C27117E"/>
    <w:rsid w:val="4C294E52"/>
    <w:rsid w:val="4C2A0976"/>
    <w:rsid w:val="4C49528A"/>
    <w:rsid w:val="4C4E16F5"/>
    <w:rsid w:val="4C5C6EDD"/>
    <w:rsid w:val="4C5D0CF9"/>
    <w:rsid w:val="4C69273F"/>
    <w:rsid w:val="4C713868"/>
    <w:rsid w:val="4C732F5E"/>
    <w:rsid w:val="4C7D159E"/>
    <w:rsid w:val="4C92465C"/>
    <w:rsid w:val="4C931B63"/>
    <w:rsid w:val="4C933478"/>
    <w:rsid w:val="4C955857"/>
    <w:rsid w:val="4C965F85"/>
    <w:rsid w:val="4C9A3849"/>
    <w:rsid w:val="4CA322F1"/>
    <w:rsid w:val="4CB53B29"/>
    <w:rsid w:val="4CBA74DA"/>
    <w:rsid w:val="4CC96872"/>
    <w:rsid w:val="4CD866D9"/>
    <w:rsid w:val="4CD916F0"/>
    <w:rsid w:val="4CDB7CFA"/>
    <w:rsid w:val="4CE15FF3"/>
    <w:rsid w:val="4CEB6FA1"/>
    <w:rsid w:val="4CF71914"/>
    <w:rsid w:val="4CFA2F72"/>
    <w:rsid w:val="4D085F25"/>
    <w:rsid w:val="4D0A3177"/>
    <w:rsid w:val="4D0F48C4"/>
    <w:rsid w:val="4D181EFF"/>
    <w:rsid w:val="4D1C12F1"/>
    <w:rsid w:val="4D2B569B"/>
    <w:rsid w:val="4D2C7EEB"/>
    <w:rsid w:val="4D2D4B24"/>
    <w:rsid w:val="4D2F61DE"/>
    <w:rsid w:val="4D496F49"/>
    <w:rsid w:val="4D4B0D6F"/>
    <w:rsid w:val="4D575C85"/>
    <w:rsid w:val="4D592608"/>
    <w:rsid w:val="4D597EE0"/>
    <w:rsid w:val="4D5F04A8"/>
    <w:rsid w:val="4D6C438C"/>
    <w:rsid w:val="4D730873"/>
    <w:rsid w:val="4D737216"/>
    <w:rsid w:val="4D786349"/>
    <w:rsid w:val="4D932CCA"/>
    <w:rsid w:val="4D9448B9"/>
    <w:rsid w:val="4D9535C7"/>
    <w:rsid w:val="4D955FCC"/>
    <w:rsid w:val="4D9660D9"/>
    <w:rsid w:val="4D9A2320"/>
    <w:rsid w:val="4DAC5D8F"/>
    <w:rsid w:val="4DAD465D"/>
    <w:rsid w:val="4DB13EFE"/>
    <w:rsid w:val="4DB36946"/>
    <w:rsid w:val="4DBE7FAD"/>
    <w:rsid w:val="4DC00BC6"/>
    <w:rsid w:val="4DC034A1"/>
    <w:rsid w:val="4DCE0C9C"/>
    <w:rsid w:val="4DDA0452"/>
    <w:rsid w:val="4DDA674E"/>
    <w:rsid w:val="4DEF7B07"/>
    <w:rsid w:val="4DFA5D2E"/>
    <w:rsid w:val="4DFB5241"/>
    <w:rsid w:val="4E01603E"/>
    <w:rsid w:val="4E09745B"/>
    <w:rsid w:val="4E0A5145"/>
    <w:rsid w:val="4E0C3F5C"/>
    <w:rsid w:val="4E0D2463"/>
    <w:rsid w:val="4E0F7532"/>
    <w:rsid w:val="4E2423FB"/>
    <w:rsid w:val="4E2A0DA2"/>
    <w:rsid w:val="4E3118A2"/>
    <w:rsid w:val="4E326083"/>
    <w:rsid w:val="4E34529B"/>
    <w:rsid w:val="4E431A1C"/>
    <w:rsid w:val="4E4B1117"/>
    <w:rsid w:val="4E4C0581"/>
    <w:rsid w:val="4E4C4C04"/>
    <w:rsid w:val="4E4D15C5"/>
    <w:rsid w:val="4E5665B2"/>
    <w:rsid w:val="4E5767E1"/>
    <w:rsid w:val="4E5C19ED"/>
    <w:rsid w:val="4E690508"/>
    <w:rsid w:val="4E6E6ED6"/>
    <w:rsid w:val="4E7253CD"/>
    <w:rsid w:val="4E752B16"/>
    <w:rsid w:val="4E8B4E7F"/>
    <w:rsid w:val="4E914CCF"/>
    <w:rsid w:val="4E915B2A"/>
    <w:rsid w:val="4E923593"/>
    <w:rsid w:val="4E950BA1"/>
    <w:rsid w:val="4E9552D0"/>
    <w:rsid w:val="4E96777E"/>
    <w:rsid w:val="4E9E6D8C"/>
    <w:rsid w:val="4EA26ABF"/>
    <w:rsid w:val="4EA80992"/>
    <w:rsid w:val="4EA91CD2"/>
    <w:rsid w:val="4EAE7876"/>
    <w:rsid w:val="4EB929DF"/>
    <w:rsid w:val="4EC03DB9"/>
    <w:rsid w:val="4EE63509"/>
    <w:rsid w:val="4EE74154"/>
    <w:rsid w:val="4EEA695E"/>
    <w:rsid w:val="4EEC6B85"/>
    <w:rsid w:val="4EF5262F"/>
    <w:rsid w:val="4F0A4781"/>
    <w:rsid w:val="4F0B5BAD"/>
    <w:rsid w:val="4F152818"/>
    <w:rsid w:val="4F1C7EF0"/>
    <w:rsid w:val="4F241536"/>
    <w:rsid w:val="4F2861BC"/>
    <w:rsid w:val="4F2C7DC8"/>
    <w:rsid w:val="4F4D187E"/>
    <w:rsid w:val="4F4D3C5E"/>
    <w:rsid w:val="4F4D5F76"/>
    <w:rsid w:val="4F5F2E1B"/>
    <w:rsid w:val="4F5F6EE1"/>
    <w:rsid w:val="4F667E55"/>
    <w:rsid w:val="4F700EB6"/>
    <w:rsid w:val="4F7A53A2"/>
    <w:rsid w:val="4F8103E5"/>
    <w:rsid w:val="4F894EB8"/>
    <w:rsid w:val="4F8B3325"/>
    <w:rsid w:val="4F953B7B"/>
    <w:rsid w:val="4F9E716D"/>
    <w:rsid w:val="4FA519B3"/>
    <w:rsid w:val="4FA61710"/>
    <w:rsid w:val="4FA92BC7"/>
    <w:rsid w:val="4FC145DA"/>
    <w:rsid w:val="4FC457A9"/>
    <w:rsid w:val="4FCD2362"/>
    <w:rsid w:val="4FD67734"/>
    <w:rsid w:val="4FD830B6"/>
    <w:rsid w:val="4FD876AC"/>
    <w:rsid w:val="4FDF2D03"/>
    <w:rsid w:val="4FE3237D"/>
    <w:rsid w:val="4FE62190"/>
    <w:rsid w:val="4FE813DF"/>
    <w:rsid w:val="4FEC0D3F"/>
    <w:rsid w:val="4FED3160"/>
    <w:rsid w:val="4FF3099E"/>
    <w:rsid w:val="4FF602BE"/>
    <w:rsid w:val="4FF7129E"/>
    <w:rsid w:val="4FFD5EFF"/>
    <w:rsid w:val="50016317"/>
    <w:rsid w:val="50041757"/>
    <w:rsid w:val="50043685"/>
    <w:rsid w:val="50051B5E"/>
    <w:rsid w:val="501E5D33"/>
    <w:rsid w:val="50201442"/>
    <w:rsid w:val="50297503"/>
    <w:rsid w:val="502A1E70"/>
    <w:rsid w:val="503540C2"/>
    <w:rsid w:val="503B46AD"/>
    <w:rsid w:val="50434F83"/>
    <w:rsid w:val="504B2C3E"/>
    <w:rsid w:val="504C5F7E"/>
    <w:rsid w:val="504D275C"/>
    <w:rsid w:val="504D2CCD"/>
    <w:rsid w:val="50506DE6"/>
    <w:rsid w:val="505C5BA2"/>
    <w:rsid w:val="505F0F12"/>
    <w:rsid w:val="505F6E2D"/>
    <w:rsid w:val="506866AB"/>
    <w:rsid w:val="5069244F"/>
    <w:rsid w:val="506961B1"/>
    <w:rsid w:val="506C0C6C"/>
    <w:rsid w:val="506C7BB3"/>
    <w:rsid w:val="50783260"/>
    <w:rsid w:val="50875584"/>
    <w:rsid w:val="50880DB8"/>
    <w:rsid w:val="509543FE"/>
    <w:rsid w:val="50967EE6"/>
    <w:rsid w:val="509A2BC2"/>
    <w:rsid w:val="50A905B2"/>
    <w:rsid w:val="50B0015B"/>
    <w:rsid w:val="50B2666C"/>
    <w:rsid w:val="50B37CA4"/>
    <w:rsid w:val="50B57E06"/>
    <w:rsid w:val="50BB2DDB"/>
    <w:rsid w:val="50BD024F"/>
    <w:rsid w:val="50C13D72"/>
    <w:rsid w:val="50C41328"/>
    <w:rsid w:val="50D10219"/>
    <w:rsid w:val="50DA3166"/>
    <w:rsid w:val="50DA3269"/>
    <w:rsid w:val="50DC2CAA"/>
    <w:rsid w:val="50DE0B85"/>
    <w:rsid w:val="50E01DC1"/>
    <w:rsid w:val="50E16BE3"/>
    <w:rsid w:val="50E73064"/>
    <w:rsid w:val="50F07030"/>
    <w:rsid w:val="50F41B04"/>
    <w:rsid w:val="50F436C8"/>
    <w:rsid w:val="51026A07"/>
    <w:rsid w:val="510F1C3D"/>
    <w:rsid w:val="510F6214"/>
    <w:rsid w:val="51132039"/>
    <w:rsid w:val="5116587F"/>
    <w:rsid w:val="51187826"/>
    <w:rsid w:val="51280590"/>
    <w:rsid w:val="51315B0F"/>
    <w:rsid w:val="51365C91"/>
    <w:rsid w:val="51372FE5"/>
    <w:rsid w:val="51394E3F"/>
    <w:rsid w:val="513A0B65"/>
    <w:rsid w:val="5142016A"/>
    <w:rsid w:val="514A7B88"/>
    <w:rsid w:val="514C12B8"/>
    <w:rsid w:val="514C78C0"/>
    <w:rsid w:val="51536481"/>
    <w:rsid w:val="515552AA"/>
    <w:rsid w:val="515A43B1"/>
    <w:rsid w:val="51656088"/>
    <w:rsid w:val="516A60A2"/>
    <w:rsid w:val="51705D14"/>
    <w:rsid w:val="51722153"/>
    <w:rsid w:val="51793826"/>
    <w:rsid w:val="518274CB"/>
    <w:rsid w:val="51940769"/>
    <w:rsid w:val="519A5C79"/>
    <w:rsid w:val="51A5699E"/>
    <w:rsid w:val="51AA4D1F"/>
    <w:rsid w:val="51C7527F"/>
    <w:rsid w:val="51CF23D3"/>
    <w:rsid w:val="51D074EA"/>
    <w:rsid w:val="51DF1844"/>
    <w:rsid w:val="51E37040"/>
    <w:rsid w:val="51E82DF1"/>
    <w:rsid w:val="51EE14DA"/>
    <w:rsid w:val="51F6629E"/>
    <w:rsid w:val="52014BA7"/>
    <w:rsid w:val="52021F05"/>
    <w:rsid w:val="52022A4F"/>
    <w:rsid w:val="52045A95"/>
    <w:rsid w:val="520B4A8B"/>
    <w:rsid w:val="52112C10"/>
    <w:rsid w:val="521436D2"/>
    <w:rsid w:val="52194CE3"/>
    <w:rsid w:val="521C67BC"/>
    <w:rsid w:val="522179A9"/>
    <w:rsid w:val="52233220"/>
    <w:rsid w:val="522A5D95"/>
    <w:rsid w:val="522A64D2"/>
    <w:rsid w:val="523C386A"/>
    <w:rsid w:val="52477DD7"/>
    <w:rsid w:val="524A2225"/>
    <w:rsid w:val="524C1AD1"/>
    <w:rsid w:val="52541950"/>
    <w:rsid w:val="52606C59"/>
    <w:rsid w:val="526202FC"/>
    <w:rsid w:val="52642B78"/>
    <w:rsid w:val="52652E81"/>
    <w:rsid w:val="52654477"/>
    <w:rsid w:val="5271698F"/>
    <w:rsid w:val="5273545C"/>
    <w:rsid w:val="52753392"/>
    <w:rsid w:val="527725E7"/>
    <w:rsid w:val="527D5A39"/>
    <w:rsid w:val="52837FD3"/>
    <w:rsid w:val="528413E5"/>
    <w:rsid w:val="528F6C64"/>
    <w:rsid w:val="52915AF1"/>
    <w:rsid w:val="529A4A48"/>
    <w:rsid w:val="529E6965"/>
    <w:rsid w:val="52A00B02"/>
    <w:rsid w:val="52A73E7A"/>
    <w:rsid w:val="52AA38AE"/>
    <w:rsid w:val="52B21E57"/>
    <w:rsid w:val="52BD47EA"/>
    <w:rsid w:val="52CA397A"/>
    <w:rsid w:val="52CC095C"/>
    <w:rsid w:val="52CF7A97"/>
    <w:rsid w:val="52D30B75"/>
    <w:rsid w:val="52DB3440"/>
    <w:rsid w:val="52EC3000"/>
    <w:rsid w:val="52F366EE"/>
    <w:rsid w:val="52F402B7"/>
    <w:rsid w:val="52F95DBD"/>
    <w:rsid w:val="52FE161B"/>
    <w:rsid w:val="53026716"/>
    <w:rsid w:val="53084309"/>
    <w:rsid w:val="530A638A"/>
    <w:rsid w:val="531474F1"/>
    <w:rsid w:val="531C1071"/>
    <w:rsid w:val="531D610D"/>
    <w:rsid w:val="53200CCD"/>
    <w:rsid w:val="532053FA"/>
    <w:rsid w:val="53214E45"/>
    <w:rsid w:val="532F3B1A"/>
    <w:rsid w:val="53310CE6"/>
    <w:rsid w:val="53402D3D"/>
    <w:rsid w:val="53435358"/>
    <w:rsid w:val="53596B69"/>
    <w:rsid w:val="535A347D"/>
    <w:rsid w:val="535A3814"/>
    <w:rsid w:val="535D1384"/>
    <w:rsid w:val="535F448C"/>
    <w:rsid w:val="535F765E"/>
    <w:rsid w:val="53665399"/>
    <w:rsid w:val="5372386D"/>
    <w:rsid w:val="53730E73"/>
    <w:rsid w:val="53790CC5"/>
    <w:rsid w:val="538B6E18"/>
    <w:rsid w:val="5393457C"/>
    <w:rsid w:val="53A23027"/>
    <w:rsid w:val="53A238D5"/>
    <w:rsid w:val="53A57185"/>
    <w:rsid w:val="53A673B2"/>
    <w:rsid w:val="53AA0419"/>
    <w:rsid w:val="53AA147E"/>
    <w:rsid w:val="53AD7726"/>
    <w:rsid w:val="53AF14ED"/>
    <w:rsid w:val="53B20651"/>
    <w:rsid w:val="53B34C09"/>
    <w:rsid w:val="53B87A6C"/>
    <w:rsid w:val="53BE6AD2"/>
    <w:rsid w:val="53CA52EB"/>
    <w:rsid w:val="53D0566A"/>
    <w:rsid w:val="53D1048F"/>
    <w:rsid w:val="53DC256C"/>
    <w:rsid w:val="53E156E2"/>
    <w:rsid w:val="53E64FEA"/>
    <w:rsid w:val="53E81141"/>
    <w:rsid w:val="53EF073C"/>
    <w:rsid w:val="53F127DC"/>
    <w:rsid w:val="53F14250"/>
    <w:rsid w:val="53F329F2"/>
    <w:rsid w:val="54053D8D"/>
    <w:rsid w:val="54063DC4"/>
    <w:rsid w:val="54065179"/>
    <w:rsid w:val="54115408"/>
    <w:rsid w:val="541418FE"/>
    <w:rsid w:val="54157948"/>
    <w:rsid w:val="5419355E"/>
    <w:rsid w:val="541E3B0C"/>
    <w:rsid w:val="54210DAB"/>
    <w:rsid w:val="542752E1"/>
    <w:rsid w:val="54341A8C"/>
    <w:rsid w:val="54362787"/>
    <w:rsid w:val="543E20E3"/>
    <w:rsid w:val="54417D9F"/>
    <w:rsid w:val="54427183"/>
    <w:rsid w:val="545533E9"/>
    <w:rsid w:val="54592060"/>
    <w:rsid w:val="545B3419"/>
    <w:rsid w:val="545D7358"/>
    <w:rsid w:val="546A096A"/>
    <w:rsid w:val="547516C2"/>
    <w:rsid w:val="54765E5E"/>
    <w:rsid w:val="54823BE6"/>
    <w:rsid w:val="54850D2A"/>
    <w:rsid w:val="549668B7"/>
    <w:rsid w:val="54976BB7"/>
    <w:rsid w:val="549867E7"/>
    <w:rsid w:val="54A42193"/>
    <w:rsid w:val="54A740AD"/>
    <w:rsid w:val="54AB4151"/>
    <w:rsid w:val="54B378C5"/>
    <w:rsid w:val="54C73F2A"/>
    <w:rsid w:val="54D1645C"/>
    <w:rsid w:val="54D36609"/>
    <w:rsid w:val="54DD605F"/>
    <w:rsid w:val="54DF52F8"/>
    <w:rsid w:val="54E25C4F"/>
    <w:rsid w:val="54E36F00"/>
    <w:rsid w:val="54E5265B"/>
    <w:rsid w:val="54F074E9"/>
    <w:rsid w:val="54FB75D3"/>
    <w:rsid w:val="550A46DF"/>
    <w:rsid w:val="550D043D"/>
    <w:rsid w:val="550E5938"/>
    <w:rsid w:val="55165147"/>
    <w:rsid w:val="551951B8"/>
    <w:rsid w:val="551B4E45"/>
    <w:rsid w:val="551C14D8"/>
    <w:rsid w:val="552017EE"/>
    <w:rsid w:val="552375B5"/>
    <w:rsid w:val="55305626"/>
    <w:rsid w:val="55354AD8"/>
    <w:rsid w:val="55385031"/>
    <w:rsid w:val="553B3FB6"/>
    <w:rsid w:val="55567DCD"/>
    <w:rsid w:val="5557242E"/>
    <w:rsid w:val="555F5BF6"/>
    <w:rsid w:val="55671A8E"/>
    <w:rsid w:val="557E0E1F"/>
    <w:rsid w:val="557F07F3"/>
    <w:rsid w:val="55845AD9"/>
    <w:rsid w:val="558850A4"/>
    <w:rsid w:val="558C285B"/>
    <w:rsid w:val="5598586C"/>
    <w:rsid w:val="559D3020"/>
    <w:rsid w:val="55A24037"/>
    <w:rsid w:val="55A63A0A"/>
    <w:rsid w:val="55AC0E22"/>
    <w:rsid w:val="55B34996"/>
    <w:rsid w:val="55B86F8F"/>
    <w:rsid w:val="55C52628"/>
    <w:rsid w:val="55C75DF0"/>
    <w:rsid w:val="55CA7DDA"/>
    <w:rsid w:val="55D62B39"/>
    <w:rsid w:val="55D95C3B"/>
    <w:rsid w:val="55DE49AF"/>
    <w:rsid w:val="55E6047F"/>
    <w:rsid w:val="55E6414E"/>
    <w:rsid w:val="55EB30FF"/>
    <w:rsid w:val="55ED5AD1"/>
    <w:rsid w:val="55F50390"/>
    <w:rsid w:val="55FA35BE"/>
    <w:rsid w:val="56013350"/>
    <w:rsid w:val="56047DFD"/>
    <w:rsid w:val="560642DC"/>
    <w:rsid w:val="56102313"/>
    <w:rsid w:val="561227BA"/>
    <w:rsid w:val="561B7F6D"/>
    <w:rsid w:val="561C07B1"/>
    <w:rsid w:val="561E186F"/>
    <w:rsid w:val="561F04ED"/>
    <w:rsid w:val="56220D8B"/>
    <w:rsid w:val="562422E2"/>
    <w:rsid w:val="562631AE"/>
    <w:rsid w:val="562716F8"/>
    <w:rsid w:val="562D06D6"/>
    <w:rsid w:val="563479CB"/>
    <w:rsid w:val="5635150D"/>
    <w:rsid w:val="563F347A"/>
    <w:rsid w:val="56454091"/>
    <w:rsid w:val="564A62AC"/>
    <w:rsid w:val="566E646B"/>
    <w:rsid w:val="56704685"/>
    <w:rsid w:val="56770BAB"/>
    <w:rsid w:val="567C5764"/>
    <w:rsid w:val="567D6EFD"/>
    <w:rsid w:val="56895397"/>
    <w:rsid w:val="568B2E25"/>
    <w:rsid w:val="568D03DC"/>
    <w:rsid w:val="568F2493"/>
    <w:rsid w:val="56950CF7"/>
    <w:rsid w:val="56A31B7D"/>
    <w:rsid w:val="56A8580C"/>
    <w:rsid w:val="56A9256D"/>
    <w:rsid w:val="56AD3A99"/>
    <w:rsid w:val="56B34203"/>
    <w:rsid w:val="56B60D7E"/>
    <w:rsid w:val="56D40C89"/>
    <w:rsid w:val="56DC67AC"/>
    <w:rsid w:val="56E1733B"/>
    <w:rsid w:val="56E32A29"/>
    <w:rsid w:val="56E51616"/>
    <w:rsid w:val="56EA7C9F"/>
    <w:rsid w:val="56F658B0"/>
    <w:rsid w:val="56FA6625"/>
    <w:rsid w:val="56FF1198"/>
    <w:rsid w:val="57036028"/>
    <w:rsid w:val="570723C7"/>
    <w:rsid w:val="570753D6"/>
    <w:rsid w:val="5713012B"/>
    <w:rsid w:val="57141D34"/>
    <w:rsid w:val="57191164"/>
    <w:rsid w:val="571B0F73"/>
    <w:rsid w:val="571F4752"/>
    <w:rsid w:val="572326F5"/>
    <w:rsid w:val="57252922"/>
    <w:rsid w:val="57253800"/>
    <w:rsid w:val="572F2EA4"/>
    <w:rsid w:val="57322358"/>
    <w:rsid w:val="573246AC"/>
    <w:rsid w:val="5736004B"/>
    <w:rsid w:val="573D41A4"/>
    <w:rsid w:val="57414155"/>
    <w:rsid w:val="5743693A"/>
    <w:rsid w:val="574A34DB"/>
    <w:rsid w:val="5763047A"/>
    <w:rsid w:val="57707DDF"/>
    <w:rsid w:val="57784234"/>
    <w:rsid w:val="578D6DF6"/>
    <w:rsid w:val="57903868"/>
    <w:rsid w:val="57985CF5"/>
    <w:rsid w:val="57A25BB0"/>
    <w:rsid w:val="57A35E67"/>
    <w:rsid w:val="57A91DD2"/>
    <w:rsid w:val="57A97B34"/>
    <w:rsid w:val="57AA7A40"/>
    <w:rsid w:val="57B149F2"/>
    <w:rsid w:val="57B914C0"/>
    <w:rsid w:val="57C9748C"/>
    <w:rsid w:val="57D35157"/>
    <w:rsid w:val="57DB36EA"/>
    <w:rsid w:val="57E308D7"/>
    <w:rsid w:val="57E31582"/>
    <w:rsid w:val="57E62349"/>
    <w:rsid w:val="57E65309"/>
    <w:rsid w:val="57E75DE9"/>
    <w:rsid w:val="57EC7FBF"/>
    <w:rsid w:val="580C4C19"/>
    <w:rsid w:val="580F7103"/>
    <w:rsid w:val="5815740A"/>
    <w:rsid w:val="581F2CB2"/>
    <w:rsid w:val="58220FC0"/>
    <w:rsid w:val="582D171A"/>
    <w:rsid w:val="583B1D5A"/>
    <w:rsid w:val="583F5848"/>
    <w:rsid w:val="5846451F"/>
    <w:rsid w:val="584A5A23"/>
    <w:rsid w:val="584B18B4"/>
    <w:rsid w:val="584B52A2"/>
    <w:rsid w:val="58526178"/>
    <w:rsid w:val="58560C64"/>
    <w:rsid w:val="5858695C"/>
    <w:rsid w:val="5860194B"/>
    <w:rsid w:val="58622D30"/>
    <w:rsid w:val="586379EF"/>
    <w:rsid w:val="58656819"/>
    <w:rsid w:val="586D38E6"/>
    <w:rsid w:val="587119D8"/>
    <w:rsid w:val="58846E92"/>
    <w:rsid w:val="58863668"/>
    <w:rsid w:val="58867299"/>
    <w:rsid w:val="5888170E"/>
    <w:rsid w:val="588D40A6"/>
    <w:rsid w:val="58966D50"/>
    <w:rsid w:val="58AC4D57"/>
    <w:rsid w:val="58B31125"/>
    <w:rsid w:val="58B43BB9"/>
    <w:rsid w:val="58BD28F7"/>
    <w:rsid w:val="58BF6F8A"/>
    <w:rsid w:val="58C4100E"/>
    <w:rsid w:val="58C73A07"/>
    <w:rsid w:val="58C85B51"/>
    <w:rsid w:val="58C9049F"/>
    <w:rsid w:val="58C91045"/>
    <w:rsid w:val="58CB12C2"/>
    <w:rsid w:val="58D11054"/>
    <w:rsid w:val="58DE24E6"/>
    <w:rsid w:val="58E05392"/>
    <w:rsid w:val="58E22AF0"/>
    <w:rsid w:val="58E55E24"/>
    <w:rsid w:val="58E92BE5"/>
    <w:rsid w:val="58F421B0"/>
    <w:rsid w:val="58F4738C"/>
    <w:rsid w:val="58F62B4A"/>
    <w:rsid w:val="58FE6079"/>
    <w:rsid w:val="5912327A"/>
    <w:rsid w:val="591307E9"/>
    <w:rsid w:val="59154029"/>
    <w:rsid w:val="5917606C"/>
    <w:rsid w:val="591D4F68"/>
    <w:rsid w:val="5928575F"/>
    <w:rsid w:val="59354F9D"/>
    <w:rsid w:val="59447455"/>
    <w:rsid w:val="59485631"/>
    <w:rsid w:val="5948623B"/>
    <w:rsid w:val="594B5F00"/>
    <w:rsid w:val="594D2B4B"/>
    <w:rsid w:val="59500F20"/>
    <w:rsid w:val="595613E4"/>
    <w:rsid w:val="59641238"/>
    <w:rsid w:val="596915B6"/>
    <w:rsid w:val="596F1D0F"/>
    <w:rsid w:val="596F6EA2"/>
    <w:rsid w:val="59725151"/>
    <w:rsid w:val="597F00D0"/>
    <w:rsid w:val="598140A6"/>
    <w:rsid w:val="598246D9"/>
    <w:rsid w:val="59860E68"/>
    <w:rsid w:val="598678E1"/>
    <w:rsid w:val="5999775C"/>
    <w:rsid w:val="59A06C22"/>
    <w:rsid w:val="59A85888"/>
    <w:rsid w:val="59AD5B75"/>
    <w:rsid w:val="59AF245A"/>
    <w:rsid w:val="59B103E9"/>
    <w:rsid w:val="59B154EF"/>
    <w:rsid w:val="59B341F9"/>
    <w:rsid w:val="59B6006C"/>
    <w:rsid w:val="59B83276"/>
    <w:rsid w:val="59C90861"/>
    <w:rsid w:val="59D32A4B"/>
    <w:rsid w:val="59D663D3"/>
    <w:rsid w:val="59E22462"/>
    <w:rsid w:val="59EE0D48"/>
    <w:rsid w:val="59F009FC"/>
    <w:rsid w:val="59F41BAD"/>
    <w:rsid w:val="59FD3B0C"/>
    <w:rsid w:val="59FE009D"/>
    <w:rsid w:val="5A010BAC"/>
    <w:rsid w:val="5A02025E"/>
    <w:rsid w:val="5A052B0F"/>
    <w:rsid w:val="5A0A4376"/>
    <w:rsid w:val="5A17551B"/>
    <w:rsid w:val="5A18176B"/>
    <w:rsid w:val="5A196C3A"/>
    <w:rsid w:val="5A1A3FE5"/>
    <w:rsid w:val="5A1B75F4"/>
    <w:rsid w:val="5A27509D"/>
    <w:rsid w:val="5A281731"/>
    <w:rsid w:val="5A2C6F4F"/>
    <w:rsid w:val="5A33506A"/>
    <w:rsid w:val="5A3411BF"/>
    <w:rsid w:val="5A350F42"/>
    <w:rsid w:val="5A447649"/>
    <w:rsid w:val="5A483794"/>
    <w:rsid w:val="5A4E3DB2"/>
    <w:rsid w:val="5A5A5D18"/>
    <w:rsid w:val="5A5D1F26"/>
    <w:rsid w:val="5A5D4D4F"/>
    <w:rsid w:val="5A6130E8"/>
    <w:rsid w:val="5A6541FD"/>
    <w:rsid w:val="5A6547A3"/>
    <w:rsid w:val="5A73747C"/>
    <w:rsid w:val="5A784ABF"/>
    <w:rsid w:val="5A786ABC"/>
    <w:rsid w:val="5A7A1AD8"/>
    <w:rsid w:val="5A7A341E"/>
    <w:rsid w:val="5A7F6B37"/>
    <w:rsid w:val="5A823E2E"/>
    <w:rsid w:val="5A844F42"/>
    <w:rsid w:val="5A861A98"/>
    <w:rsid w:val="5A8F7A1D"/>
    <w:rsid w:val="5A93584F"/>
    <w:rsid w:val="5A963D92"/>
    <w:rsid w:val="5A9A71AE"/>
    <w:rsid w:val="5A9B2E21"/>
    <w:rsid w:val="5A9C5F6A"/>
    <w:rsid w:val="5AA15776"/>
    <w:rsid w:val="5AA41B7C"/>
    <w:rsid w:val="5AA75648"/>
    <w:rsid w:val="5AAA1DFA"/>
    <w:rsid w:val="5AB319D3"/>
    <w:rsid w:val="5AE3587C"/>
    <w:rsid w:val="5AE46875"/>
    <w:rsid w:val="5AF87D2A"/>
    <w:rsid w:val="5AFE1EE4"/>
    <w:rsid w:val="5AFE3A6A"/>
    <w:rsid w:val="5B0A4B14"/>
    <w:rsid w:val="5B0D1AC5"/>
    <w:rsid w:val="5B0E533D"/>
    <w:rsid w:val="5B1325F0"/>
    <w:rsid w:val="5B1474D3"/>
    <w:rsid w:val="5B172E21"/>
    <w:rsid w:val="5B1C76EE"/>
    <w:rsid w:val="5B2005FA"/>
    <w:rsid w:val="5B2D7FCA"/>
    <w:rsid w:val="5B31244E"/>
    <w:rsid w:val="5B396751"/>
    <w:rsid w:val="5B3B613A"/>
    <w:rsid w:val="5B3E09BA"/>
    <w:rsid w:val="5B432391"/>
    <w:rsid w:val="5B4355CC"/>
    <w:rsid w:val="5B5100D8"/>
    <w:rsid w:val="5B5C077C"/>
    <w:rsid w:val="5B6707C9"/>
    <w:rsid w:val="5B6B0B41"/>
    <w:rsid w:val="5B740FB5"/>
    <w:rsid w:val="5B7863A9"/>
    <w:rsid w:val="5B8918DE"/>
    <w:rsid w:val="5B8A542D"/>
    <w:rsid w:val="5B990415"/>
    <w:rsid w:val="5BBC2AA8"/>
    <w:rsid w:val="5BBE26DB"/>
    <w:rsid w:val="5BC23D02"/>
    <w:rsid w:val="5BC32CC0"/>
    <w:rsid w:val="5BC35EA3"/>
    <w:rsid w:val="5BC85B9D"/>
    <w:rsid w:val="5BCE1391"/>
    <w:rsid w:val="5BD501A7"/>
    <w:rsid w:val="5BE7263B"/>
    <w:rsid w:val="5BE75F7E"/>
    <w:rsid w:val="5BEB03CE"/>
    <w:rsid w:val="5BF17C07"/>
    <w:rsid w:val="5BF41E74"/>
    <w:rsid w:val="5BF4310E"/>
    <w:rsid w:val="5BF52194"/>
    <w:rsid w:val="5BFD6A3B"/>
    <w:rsid w:val="5C0C2F01"/>
    <w:rsid w:val="5C137293"/>
    <w:rsid w:val="5C3D3B22"/>
    <w:rsid w:val="5C465B9B"/>
    <w:rsid w:val="5C49380A"/>
    <w:rsid w:val="5C4C4925"/>
    <w:rsid w:val="5C4D2F94"/>
    <w:rsid w:val="5C580926"/>
    <w:rsid w:val="5C645F2C"/>
    <w:rsid w:val="5C6717DB"/>
    <w:rsid w:val="5C695C61"/>
    <w:rsid w:val="5C6E6DDA"/>
    <w:rsid w:val="5C702CBC"/>
    <w:rsid w:val="5C7C6F80"/>
    <w:rsid w:val="5C8E0952"/>
    <w:rsid w:val="5C9111C0"/>
    <w:rsid w:val="5C955CAC"/>
    <w:rsid w:val="5C990294"/>
    <w:rsid w:val="5CA174E1"/>
    <w:rsid w:val="5CA5402D"/>
    <w:rsid w:val="5CAD5632"/>
    <w:rsid w:val="5CB160AD"/>
    <w:rsid w:val="5CBB3EBE"/>
    <w:rsid w:val="5CC20876"/>
    <w:rsid w:val="5CC249E6"/>
    <w:rsid w:val="5CC94199"/>
    <w:rsid w:val="5CC96CEA"/>
    <w:rsid w:val="5CCC7DB2"/>
    <w:rsid w:val="5CD23897"/>
    <w:rsid w:val="5CD52965"/>
    <w:rsid w:val="5CD52A0F"/>
    <w:rsid w:val="5CDF4634"/>
    <w:rsid w:val="5CE0516A"/>
    <w:rsid w:val="5CF641A9"/>
    <w:rsid w:val="5CF80A79"/>
    <w:rsid w:val="5CFA364D"/>
    <w:rsid w:val="5CFC0CF6"/>
    <w:rsid w:val="5CFC266D"/>
    <w:rsid w:val="5D0E4B7E"/>
    <w:rsid w:val="5D113773"/>
    <w:rsid w:val="5D1165A1"/>
    <w:rsid w:val="5D1872CC"/>
    <w:rsid w:val="5D1906A7"/>
    <w:rsid w:val="5D1E7B25"/>
    <w:rsid w:val="5D2128FE"/>
    <w:rsid w:val="5D2B7728"/>
    <w:rsid w:val="5D2D1FFE"/>
    <w:rsid w:val="5D351D6F"/>
    <w:rsid w:val="5D3B3EAD"/>
    <w:rsid w:val="5D417B9B"/>
    <w:rsid w:val="5D4A6D72"/>
    <w:rsid w:val="5D554CDE"/>
    <w:rsid w:val="5D5719FB"/>
    <w:rsid w:val="5D6A348E"/>
    <w:rsid w:val="5D72314E"/>
    <w:rsid w:val="5D8655E1"/>
    <w:rsid w:val="5D87635A"/>
    <w:rsid w:val="5D8A016B"/>
    <w:rsid w:val="5D8A4F57"/>
    <w:rsid w:val="5D94359D"/>
    <w:rsid w:val="5D9A1B41"/>
    <w:rsid w:val="5DA60F2E"/>
    <w:rsid w:val="5DAC3DCD"/>
    <w:rsid w:val="5DB50A35"/>
    <w:rsid w:val="5DB96A51"/>
    <w:rsid w:val="5DC135ED"/>
    <w:rsid w:val="5DD400EC"/>
    <w:rsid w:val="5DDA15FC"/>
    <w:rsid w:val="5DDB648A"/>
    <w:rsid w:val="5DE90932"/>
    <w:rsid w:val="5DF01CEA"/>
    <w:rsid w:val="5DF42758"/>
    <w:rsid w:val="5DF96357"/>
    <w:rsid w:val="5DFE1641"/>
    <w:rsid w:val="5E116BA5"/>
    <w:rsid w:val="5E172EAC"/>
    <w:rsid w:val="5E184354"/>
    <w:rsid w:val="5E2142A9"/>
    <w:rsid w:val="5E2670BD"/>
    <w:rsid w:val="5E280E52"/>
    <w:rsid w:val="5E350EBE"/>
    <w:rsid w:val="5E370582"/>
    <w:rsid w:val="5E3A0814"/>
    <w:rsid w:val="5E3B0532"/>
    <w:rsid w:val="5E3C47F5"/>
    <w:rsid w:val="5E426D39"/>
    <w:rsid w:val="5E444268"/>
    <w:rsid w:val="5E4E2914"/>
    <w:rsid w:val="5E506658"/>
    <w:rsid w:val="5E551BAC"/>
    <w:rsid w:val="5E6145BD"/>
    <w:rsid w:val="5E666973"/>
    <w:rsid w:val="5E7623C1"/>
    <w:rsid w:val="5E7E5E18"/>
    <w:rsid w:val="5E85034B"/>
    <w:rsid w:val="5E886B60"/>
    <w:rsid w:val="5E890733"/>
    <w:rsid w:val="5E8B30B5"/>
    <w:rsid w:val="5E8D71A4"/>
    <w:rsid w:val="5E8E0FE5"/>
    <w:rsid w:val="5E9B7BB3"/>
    <w:rsid w:val="5EA90E0E"/>
    <w:rsid w:val="5EAA6AB9"/>
    <w:rsid w:val="5EB17EA8"/>
    <w:rsid w:val="5EB45CB2"/>
    <w:rsid w:val="5EC57D0B"/>
    <w:rsid w:val="5EED7A7C"/>
    <w:rsid w:val="5F071ACC"/>
    <w:rsid w:val="5F082A29"/>
    <w:rsid w:val="5F0F36D9"/>
    <w:rsid w:val="5F127C4E"/>
    <w:rsid w:val="5F181808"/>
    <w:rsid w:val="5F213CE7"/>
    <w:rsid w:val="5F28570A"/>
    <w:rsid w:val="5F296076"/>
    <w:rsid w:val="5F2F65D0"/>
    <w:rsid w:val="5F302FAE"/>
    <w:rsid w:val="5F304FE3"/>
    <w:rsid w:val="5F323A7E"/>
    <w:rsid w:val="5F3A218A"/>
    <w:rsid w:val="5F415A76"/>
    <w:rsid w:val="5F4400A2"/>
    <w:rsid w:val="5F461712"/>
    <w:rsid w:val="5F4D7C68"/>
    <w:rsid w:val="5F573159"/>
    <w:rsid w:val="5F5D1782"/>
    <w:rsid w:val="5F605B48"/>
    <w:rsid w:val="5F623F07"/>
    <w:rsid w:val="5F672A4A"/>
    <w:rsid w:val="5F710C7A"/>
    <w:rsid w:val="5F733E17"/>
    <w:rsid w:val="5F793833"/>
    <w:rsid w:val="5F7F638B"/>
    <w:rsid w:val="5F8B1C40"/>
    <w:rsid w:val="5F9575C6"/>
    <w:rsid w:val="5F9E3844"/>
    <w:rsid w:val="5FB07339"/>
    <w:rsid w:val="5FB34247"/>
    <w:rsid w:val="5FC150C9"/>
    <w:rsid w:val="5FC30830"/>
    <w:rsid w:val="5FC35244"/>
    <w:rsid w:val="5FC862D2"/>
    <w:rsid w:val="5FD47BA3"/>
    <w:rsid w:val="5FE6563C"/>
    <w:rsid w:val="5FE73C59"/>
    <w:rsid w:val="5FE81719"/>
    <w:rsid w:val="5FEB3BD6"/>
    <w:rsid w:val="5FEE4999"/>
    <w:rsid w:val="5FF37571"/>
    <w:rsid w:val="5FFB2B8F"/>
    <w:rsid w:val="5FFD6304"/>
    <w:rsid w:val="5FFF0B55"/>
    <w:rsid w:val="60063DFF"/>
    <w:rsid w:val="600A1B47"/>
    <w:rsid w:val="601232F4"/>
    <w:rsid w:val="601D17F3"/>
    <w:rsid w:val="6022314A"/>
    <w:rsid w:val="60236723"/>
    <w:rsid w:val="60415279"/>
    <w:rsid w:val="604C3503"/>
    <w:rsid w:val="60663A70"/>
    <w:rsid w:val="6066574E"/>
    <w:rsid w:val="60701200"/>
    <w:rsid w:val="607D04D6"/>
    <w:rsid w:val="607E4295"/>
    <w:rsid w:val="60816108"/>
    <w:rsid w:val="60864F85"/>
    <w:rsid w:val="608C3C62"/>
    <w:rsid w:val="609F324B"/>
    <w:rsid w:val="60A00017"/>
    <w:rsid w:val="60A03E23"/>
    <w:rsid w:val="60A32699"/>
    <w:rsid w:val="60A86A90"/>
    <w:rsid w:val="60A94011"/>
    <w:rsid w:val="60BD23F1"/>
    <w:rsid w:val="60BD6529"/>
    <w:rsid w:val="60BF6F04"/>
    <w:rsid w:val="60CC3577"/>
    <w:rsid w:val="60D11531"/>
    <w:rsid w:val="60D33E3C"/>
    <w:rsid w:val="60D63C76"/>
    <w:rsid w:val="60E51C90"/>
    <w:rsid w:val="60E601DF"/>
    <w:rsid w:val="60E70F83"/>
    <w:rsid w:val="60E778A1"/>
    <w:rsid w:val="60EE05DE"/>
    <w:rsid w:val="60F041BA"/>
    <w:rsid w:val="60F138F2"/>
    <w:rsid w:val="60F34EEC"/>
    <w:rsid w:val="60F42C05"/>
    <w:rsid w:val="60F62397"/>
    <w:rsid w:val="60FD3BFB"/>
    <w:rsid w:val="61030094"/>
    <w:rsid w:val="610367E0"/>
    <w:rsid w:val="610A4609"/>
    <w:rsid w:val="610B46C5"/>
    <w:rsid w:val="610C575E"/>
    <w:rsid w:val="611563E1"/>
    <w:rsid w:val="611B2D32"/>
    <w:rsid w:val="61256438"/>
    <w:rsid w:val="6130771F"/>
    <w:rsid w:val="613531E9"/>
    <w:rsid w:val="61407309"/>
    <w:rsid w:val="61415830"/>
    <w:rsid w:val="6141796E"/>
    <w:rsid w:val="61443020"/>
    <w:rsid w:val="61466637"/>
    <w:rsid w:val="614A556E"/>
    <w:rsid w:val="61515D4D"/>
    <w:rsid w:val="61524664"/>
    <w:rsid w:val="615F37BC"/>
    <w:rsid w:val="61683C83"/>
    <w:rsid w:val="616A18E7"/>
    <w:rsid w:val="61754DFA"/>
    <w:rsid w:val="6179622B"/>
    <w:rsid w:val="617D693A"/>
    <w:rsid w:val="61845DD0"/>
    <w:rsid w:val="618652C3"/>
    <w:rsid w:val="61881DE7"/>
    <w:rsid w:val="618C0BAB"/>
    <w:rsid w:val="61950155"/>
    <w:rsid w:val="61A0687C"/>
    <w:rsid w:val="61A1288D"/>
    <w:rsid w:val="61A13EED"/>
    <w:rsid w:val="61A175EC"/>
    <w:rsid w:val="61A44C5A"/>
    <w:rsid w:val="61A500D6"/>
    <w:rsid w:val="61A83417"/>
    <w:rsid w:val="61AC4431"/>
    <w:rsid w:val="61B05A5B"/>
    <w:rsid w:val="61B22F38"/>
    <w:rsid w:val="61C17FB6"/>
    <w:rsid w:val="61CD59DA"/>
    <w:rsid w:val="61E36B34"/>
    <w:rsid w:val="61E40B82"/>
    <w:rsid w:val="61E82C9C"/>
    <w:rsid w:val="61EA01E1"/>
    <w:rsid w:val="61EB4E3B"/>
    <w:rsid w:val="61F356A4"/>
    <w:rsid w:val="61F44E34"/>
    <w:rsid w:val="61F701A8"/>
    <w:rsid w:val="61FD35EE"/>
    <w:rsid w:val="6203232F"/>
    <w:rsid w:val="621201CD"/>
    <w:rsid w:val="62157A43"/>
    <w:rsid w:val="621A6570"/>
    <w:rsid w:val="621F4279"/>
    <w:rsid w:val="62373300"/>
    <w:rsid w:val="623842BA"/>
    <w:rsid w:val="62393803"/>
    <w:rsid w:val="623F543D"/>
    <w:rsid w:val="62516CFA"/>
    <w:rsid w:val="625335B6"/>
    <w:rsid w:val="62542A19"/>
    <w:rsid w:val="62624BFB"/>
    <w:rsid w:val="62660929"/>
    <w:rsid w:val="626E32BA"/>
    <w:rsid w:val="626F00F4"/>
    <w:rsid w:val="627B45CD"/>
    <w:rsid w:val="6282046B"/>
    <w:rsid w:val="628539DD"/>
    <w:rsid w:val="6289239B"/>
    <w:rsid w:val="6291542D"/>
    <w:rsid w:val="62960764"/>
    <w:rsid w:val="62971645"/>
    <w:rsid w:val="629D3C20"/>
    <w:rsid w:val="629F72A5"/>
    <w:rsid w:val="62A0014E"/>
    <w:rsid w:val="62A45CF6"/>
    <w:rsid w:val="62AD4B85"/>
    <w:rsid w:val="62B63B28"/>
    <w:rsid w:val="62B75BF3"/>
    <w:rsid w:val="62B86118"/>
    <w:rsid w:val="62BB2736"/>
    <w:rsid w:val="62C014B3"/>
    <w:rsid w:val="62C62ECA"/>
    <w:rsid w:val="62C81513"/>
    <w:rsid w:val="62C8554D"/>
    <w:rsid w:val="62D0345F"/>
    <w:rsid w:val="62E4057A"/>
    <w:rsid w:val="62FC6FD5"/>
    <w:rsid w:val="630F41A3"/>
    <w:rsid w:val="63170721"/>
    <w:rsid w:val="63195368"/>
    <w:rsid w:val="631E4683"/>
    <w:rsid w:val="63205706"/>
    <w:rsid w:val="632A5294"/>
    <w:rsid w:val="6332364B"/>
    <w:rsid w:val="63331639"/>
    <w:rsid w:val="6344206D"/>
    <w:rsid w:val="63443608"/>
    <w:rsid w:val="63464542"/>
    <w:rsid w:val="634F1331"/>
    <w:rsid w:val="635057AE"/>
    <w:rsid w:val="635621C5"/>
    <w:rsid w:val="635A071D"/>
    <w:rsid w:val="635B39F8"/>
    <w:rsid w:val="635C4EA9"/>
    <w:rsid w:val="63667CA7"/>
    <w:rsid w:val="63701AE4"/>
    <w:rsid w:val="63791255"/>
    <w:rsid w:val="637950D4"/>
    <w:rsid w:val="63891F0D"/>
    <w:rsid w:val="638F2201"/>
    <w:rsid w:val="639240A4"/>
    <w:rsid w:val="63991E44"/>
    <w:rsid w:val="639C3A9E"/>
    <w:rsid w:val="639F56A1"/>
    <w:rsid w:val="63B572C4"/>
    <w:rsid w:val="63B6494B"/>
    <w:rsid w:val="63B71735"/>
    <w:rsid w:val="63B86A47"/>
    <w:rsid w:val="63BA737C"/>
    <w:rsid w:val="63C55F12"/>
    <w:rsid w:val="63D71394"/>
    <w:rsid w:val="63DA08AB"/>
    <w:rsid w:val="63E308FF"/>
    <w:rsid w:val="63E46D37"/>
    <w:rsid w:val="63E547EE"/>
    <w:rsid w:val="63ED00C3"/>
    <w:rsid w:val="63EF367B"/>
    <w:rsid w:val="63F4587F"/>
    <w:rsid w:val="6408099E"/>
    <w:rsid w:val="64094CA5"/>
    <w:rsid w:val="641204BD"/>
    <w:rsid w:val="64237518"/>
    <w:rsid w:val="64254E67"/>
    <w:rsid w:val="64262CB3"/>
    <w:rsid w:val="642B31BE"/>
    <w:rsid w:val="642B473A"/>
    <w:rsid w:val="643C07CB"/>
    <w:rsid w:val="644177C8"/>
    <w:rsid w:val="64436184"/>
    <w:rsid w:val="644775D1"/>
    <w:rsid w:val="64572B69"/>
    <w:rsid w:val="6457491D"/>
    <w:rsid w:val="64597A63"/>
    <w:rsid w:val="645A1458"/>
    <w:rsid w:val="645D1E80"/>
    <w:rsid w:val="645D27DD"/>
    <w:rsid w:val="645F3F73"/>
    <w:rsid w:val="64631198"/>
    <w:rsid w:val="64675A2E"/>
    <w:rsid w:val="646B3D54"/>
    <w:rsid w:val="64711567"/>
    <w:rsid w:val="647429CB"/>
    <w:rsid w:val="64743AE6"/>
    <w:rsid w:val="647C1B08"/>
    <w:rsid w:val="648265D6"/>
    <w:rsid w:val="64874278"/>
    <w:rsid w:val="648F2C02"/>
    <w:rsid w:val="64940B19"/>
    <w:rsid w:val="649D7EEB"/>
    <w:rsid w:val="649E1558"/>
    <w:rsid w:val="64A578DB"/>
    <w:rsid w:val="64A63F3F"/>
    <w:rsid w:val="64AA4BB2"/>
    <w:rsid w:val="64C03E93"/>
    <w:rsid w:val="64C80CCD"/>
    <w:rsid w:val="64CB5C3A"/>
    <w:rsid w:val="64D44EF1"/>
    <w:rsid w:val="64DD3E19"/>
    <w:rsid w:val="64E0389C"/>
    <w:rsid w:val="64EC7A70"/>
    <w:rsid w:val="64EF70CD"/>
    <w:rsid w:val="64F330FF"/>
    <w:rsid w:val="64F61375"/>
    <w:rsid w:val="64F72CEF"/>
    <w:rsid w:val="64F73F05"/>
    <w:rsid w:val="650602BF"/>
    <w:rsid w:val="650B43EB"/>
    <w:rsid w:val="65154FE2"/>
    <w:rsid w:val="6518564C"/>
    <w:rsid w:val="651E602E"/>
    <w:rsid w:val="651F5B5A"/>
    <w:rsid w:val="652D6AE0"/>
    <w:rsid w:val="653801C7"/>
    <w:rsid w:val="653A3B59"/>
    <w:rsid w:val="65413D42"/>
    <w:rsid w:val="65417BCD"/>
    <w:rsid w:val="65417DE0"/>
    <w:rsid w:val="654A7B31"/>
    <w:rsid w:val="654B5CE5"/>
    <w:rsid w:val="654D0CA7"/>
    <w:rsid w:val="654D34AB"/>
    <w:rsid w:val="65501C23"/>
    <w:rsid w:val="65561782"/>
    <w:rsid w:val="65595C61"/>
    <w:rsid w:val="656053F1"/>
    <w:rsid w:val="6560737E"/>
    <w:rsid w:val="6562731A"/>
    <w:rsid w:val="656923D1"/>
    <w:rsid w:val="656E7312"/>
    <w:rsid w:val="658767EB"/>
    <w:rsid w:val="65987627"/>
    <w:rsid w:val="659A1BE7"/>
    <w:rsid w:val="659B0B40"/>
    <w:rsid w:val="659C0A99"/>
    <w:rsid w:val="65A01A09"/>
    <w:rsid w:val="65B240BA"/>
    <w:rsid w:val="65B43820"/>
    <w:rsid w:val="65B54971"/>
    <w:rsid w:val="65C25325"/>
    <w:rsid w:val="65C33ED9"/>
    <w:rsid w:val="65C40364"/>
    <w:rsid w:val="65C6095E"/>
    <w:rsid w:val="65C92188"/>
    <w:rsid w:val="65CC1790"/>
    <w:rsid w:val="65D17F3E"/>
    <w:rsid w:val="65D445E5"/>
    <w:rsid w:val="65DA081F"/>
    <w:rsid w:val="65ED7E93"/>
    <w:rsid w:val="65EF1E6A"/>
    <w:rsid w:val="65F11122"/>
    <w:rsid w:val="65F32A4D"/>
    <w:rsid w:val="65FA338D"/>
    <w:rsid w:val="65FF4E84"/>
    <w:rsid w:val="660451D8"/>
    <w:rsid w:val="66120500"/>
    <w:rsid w:val="661E247E"/>
    <w:rsid w:val="66355CAD"/>
    <w:rsid w:val="663921C2"/>
    <w:rsid w:val="663B4259"/>
    <w:rsid w:val="66453975"/>
    <w:rsid w:val="66546144"/>
    <w:rsid w:val="665B5BF0"/>
    <w:rsid w:val="666F14A7"/>
    <w:rsid w:val="66842DB8"/>
    <w:rsid w:val="66872BD2"/>
    <w:rsid w:val="668E389F"/>
    <w:rsid w:val="66995564"/>
    <w:rsid w:val="66A002B9"/>
    <w:rsid w:val="66A70FDF"/>
    <w:rsid w:val="66A86609"/>
    <w:rsid w:val="66B15E4C"/>
    <w:rsid w:val="66BD2317"/>
    <w:rsid w:val="66BE21A5"/>
    <w:rsid w:val="66C8211F"/>
    <w:rsid w:val="66CD1ED3"/>
    <w:rsid w:val="66DA0919"/>
    <w:rsid w:val="66DA356A"/>
    <w:rsid w:val="66DF402C"/>
    <w:rsid w:val="66EE7E3A"/>
    <w:rsid w:val="66F12BB1"/>
    <w:rsid w:val="66F43BE4"/>
    <w:rsid w:val="66FD6343"/>
    <w:rsid w:val="6707763D"/>
    <w:rsid w:val="673C5419"/>
    <w:rsid w:val="673C624E"/>
    <w:rsid w:val="67434EBF"/>
    <w:rsid w:val="6744475B"/>
    <w:rsid w:val="674A53A1"/>
    <w:rsid w:val="674E0EF4"/>
    <w:rsid w:val="675317B0"/>
    <w:rsid w:val="67581219"/>
    <w:rsid w:val="676207A9"/>
    <w:rsid w:val="67795B4B"/>
    <w:rsid w:val="677D78BE"/>
    <w:rsid w:val="67800F19"/>
    <w:rsid w:val="678365F6"/>
    <w:rsid w:val="67856B76"/>
    <w:rsid w:val="67874CB6"/>
    <w:rsid w:val="678E55BA"/>
    <w:rsid w:val="679F2489"/>
    <w:rsid w:val="67A00A4B"/>
    <w:rsid w:val="67A32A0D"/>
    <w:rsid w:val="67A36C57"/>
    <w:rsid w:val="67AB66D1"/>
    <w:rsid w:val="67AC401D"/>
    <w:rsid w:val="67AC76F2"/>
    <w:rsid w:val="67AD3851"/>
    <w:rsid w:val="67B07D43"/>
    <w:rsid w:val="67B4432C"/>
    <w:rsid w:val="67B53801"/>
    <w:rsid w:val="67B57EF5"/>
    <w:rsid w:val="67B867FC"/>
    <w:rsid w:val="67BB471E"/>
    <w:rsid w:val="67BB7ECB"/>
    <w:rsid w:val="67CD11CA"/>
    <w:rsid w:val="67D82ECB"/>
    <w:rsid w:val="67E12E09"/>
    <w:rsid w:val="67EE17FB"/>
    <w:rsid w:val="67EF159D"/>
    <w:rsid w:val="67F453FE"/>
    <w:rsid w:val="67F51A16"/>
    <w:rsid w:val="67F645E4"/>
    <w:rsid w:val="67F9658A"/>
    <w:rsid w:val="680E28EA"/>
    <w:rsid w:val="680E437C"/>
    <w:rsid w:val="68154B7F"/>
    <w:rsid w:val="681B63E7"/>
    <w:rsid w:val="683A615D"/>
    <w:rsid w:val="683F6487"/>
    <w:rsid w:val="68495B5F"/>
    <w:rsid w:val="68527392"/>
    <w:rsid w:val="6859460A"/>
    <w:rsid w:val="68731F99"/>
    <w:rsid w:val="68752CF0"/>
    <w:rsid w:val="68770BAF"/>
    <w:rsid w:val="687B7CBA"/>
    <w:rsid w:val="68805629"/>
    <w:rsid w:val="68963AE2"/>
    <w:rsid w:val="689A36DE"/>
    <w:rsid w:val="689D7972"/>
    <w:rsid w:val="689F6FA0"/>
    <w:rsid w:val="68AF230C"/>
    <w:rsid w:val="68BA103A"/>
    <w:rsid w:val="68BE1E2D"/>
    <w:rsid w:val="68C149FF"/>
    <w:rsid w:val="68CD2BE2"/>
    <w:rsid w:val="68D52BCB"/>
    <w:rsid w:val="68D554B2"/>
    <w:rsid w:val="68DA3E99"/>
    <w:rsid w:val="68DD4062"/>
    <w:rsid w:val="68E1051C"/>
    <w:rsid w:val="68E730F7"/>
    <w:rsid w:val="68F22EBC"/>
    <w:rsid w:val="68F33E74"/>
    <w:rsid w:val="68FF276E"/>
    <w:rsid w:val="69023694"/>
    <w:rsid w:val="69025A67"/>
    <w:rsid w:val="69100FD1"/>
    <w:rsid w:val="69190524"/>
    <w:rsid w:val="691D51D1"/>
    <w:rsid w:val="691E5E18"/>
    <w:rsid w:val="69456A22"/>
    <w:rsid w:val="694F730E"/>
    <w:rsid w:val="695317F6"/>
    <w:rsid w:val="69555973"/>
    <w:rsid w:val="695B1E42"/>
    <w:rsid w:val="695B5D6F"/>
    <w:rsid w:val="69692C29"/>
    <w:rsid w:val="69760E9A"/>
    <w:rsid w:val="69794131"/>
    <w:rsid w:val="69841735"/>
    <w:rsid w:val="698534E2"/>
    <w:rsid w:val="69853FB1"/>
    <w:rsid w:val="69877FE8"/>
    <w:rsid w:val="69934604"/>
    <w:rsid w:val="69935006"/>
    <w:rsid w:val="69986B9C"/>
    <w:rsid w:val="69995885"/>
    <w:rsid w:val="69A70CFA"/>
    <w:rsid w:val="69AC6BFD"/>
    <w:rsid w:val="69AC7C29"/>
    <w:rsid w:val="69B3027D"/>
    <w:rsid w:val="69B652B1"/>
    <w:rsid w:val="69CF25FD"/>
    <w:rsid w:val="69D315C1"/>
    <w:rsid w:val="69DD501C"/>
    <w:rsid w:val="69DF2770"/>
    <w:rsid w:val="69EA233D"/>
    <w:rsid w:val="6A043293"/>
    <w:rsid w:val="6A0C3536"/>
    <w:rsid w:val="6A0D365F"/>
    <w:rsid w:val="6A1205F4"/>
    <w:rsid w:val="6A172783"/>
    <w:rsid w:val="6A2342F6"/>
    <w:rsid w:val="6A2D53DE"/>
    <w:rsid w:val="6A3B1264"/>
    <w:rsid w:val="6A405BCA"/>
    <w:rsid w:val="6A420324"/>
    <w:rsid w:val="6A466A71"/>
    <w:rsid w:val="6A5635C7"/>
    <w:rsid w:val="6A5D49F4"/>
    <w:rsid w:val="6A606DB8"/>
    <w:rsid w:val="6A62360C"/>
    <w:rsid w:val="6A6322B0"/>
    <w:rsid w:val="6A675D63"/>
    <w:rsid w:val="6A6952FA"/>
    <w:rsid w:val="6A733117"/>
    <w:rsid w:val="6A755EE0"/>
    <w:rsid w:val="6A771A6B"/>
    <w:rsid w:val="6A8059D8"/>
    <w:rsid w:val="6A84017F"/>
    <w:rsid w:val="6A8527D2"/>
    <w:rsid w:val="6A891466"/>
    <w:rsid w:val="6A8B556D"/>
    <w:rsid w:val="6A8C5C3E"/>
    <w:rsid w:val="6A953E6E"/>
    <w:rsid w:val="6A964CB5"/>
    <w:rsid w:val="6A993F7F"/>
    <w:rsid w:val="6A9E3E91"/>
    <w:rsid w:val="6AA51B7A"/>
    <w:rsid w:val="6AAB4411"/>
    <w:rsid w:val="6AB416C6"/>
    <w:rsid w:val="6ABD2A0E"/>
    <w:rsid w:val="6ABD5B11"/>
    <w:rsid w:val="6AC04920"/>
    <w:rsid w:val="6ACD2100"/>
    <w:rsid w:val="6ACD356F"/>
    <w:rsid w:val="6AD0724A"/>
    <w:rsid w:val="6AD553E0"/>
    <w:rsid w:val="6AF10616"/>
    <w:rsid w:val="6AF113CF"/>
    <w:rsid w:val="6AF21921"/>
    <w:rsid w:val="6AF3594C"/>
    <w:rsid w:val="6AFA5E41"/>
    <w:rsid w:val="6AFD4BEC"/>
    <w:rsid w:val="6B08548B"/>
    <w:rsid w:val="6B09086D"/>
    <w:rsid w:val="6B0C4FAB"/>
    <w:rsid w:val="6B0D49C2"/>
    <w:rsid w:val="6B145CAA"/>
    <w:rsid w:val="6B193204"/>
    <w:rsid w:val="6B266127"/>
    <w:rsid w:val="6B2C135C"/>
    <w:rsid w:val="6B391ECD"/>
    <w:rsid w:val="6B4052B9"/>
    <w:rsid w:val="6B4A13AC"/>
    <w:rsid w:val="6B4D7DBF"/>
    <w:rsid w:val="6B5037A8"/>
    <w:rsid w:val="6B512DDD"/>
    <w:rsid w:val="6B573E92"/>
    <w:rsid w:val="6B5B2130"/>
    <w:rsid w:val="6B6C3D4F"/>
    <w:rsid w:val="6B79206E"/>
    <w:rsid w:val="6B8B6CE1"/>
    <w:rsid w:val="6B8C3C7C"/>
    <w:rsid w:val="6B8D0120"/>
    <w:rsid w:val="6B8E5F5A"/>
    <w:rsid w:val="6B9C3120"/>
    <w:rsid w:val="6BAA5378"/>
    <w:rsid w:val="6BAB5E14"/>
    <w:rsid w:val="6BAD25B2"/>
    <w:rsid w:val="6BAD44A8"/>
    <w:rsid w:val="6BBF3F15"/>
    <w:rsid w:val="6BCA0EBD"/>
    <w:rsid w:val="6BD07595"/>
    <w:rsid w:val="6BD31D76"/>
    <w:rsid w:val="6BDB5B3E"/>
    <w:rsid w:val="6BDC158B"/>
    <w:rsid w:val="6BE31A21"/>
    <w:rsid w:val="6BED1497"/>
    <w:rsid w:val="6BED2B65"/>
    <w:rsid w:val="6BF211A4"/>
    <w:rsid w:val="6BF53844"/>
    <w:rsid w:val="6BF8193D"/>
    <w:rsid w:val="6BF86EE9"/>
    <w:rsid w:val="6C05299A"/>
    <w:rsid w:val="6C170C69"/>
    <w:rsid w:val="6C1E0875"/>
    <w:rsid w:val="6C27372D"/>
    <w:rsid w:val="6C282096"/>
    <w:rsid w:val="6C2F385D"/>
    <w:rsid w:val="6C2F421E"/>
    <w:rsid w:val="6C453D7B"/>
    <w:rsid w:val="6C477E21"/>
    <w:rsid w:val="6C50750A"/>
    <w:rsid w:val="6C5451B4"/>
    <w:rsid w:val="6C573759"/>
    <w:rsid w:val="6C5D6B4E"/>
    <w:rsid w:val="6C6055E9"/>
    <w:rsid w:val="6C6076E3"/>
    <w:rsid w:val="6C646455"/>
    <w:rsid w:val="6C683BF9"/>
    <w:rsid w:val="6C6D69FF"/>
    <w:rsid w:val="6C711ADC"/>
    <w:rsid w:val="6C771E2B"/>
    <w:rsid w:val="6C780136"/>
    <w:rsid w:val="6C8E0FFA"/>
    <w:rsid w:val="6C9552B3"/>
    <w:rsid w:val="6C962F20"/>
    <w:rsid w:val="6C9E22BE"/>
    <w:rsid w:val="6CA00A3A"/>
    <w:rsid w:val="6CD65955"/>
    <w:rsid w:val="6CD71E36"/>
    <w:rsid w:val="6CDF5E4C"/>
    <w:rsid w:val="6CEB128A"/>
    <w:rsid w:val="6CEC2BB0"/>
    <w:rsid w:val="6CED53C4"/>
    <w:rsid w:val="6CEF67FA"/>
    <w:rsid w:val="6CF64EF0"/>
    <w:rsid w:val="6CF9204B"/>
    <w:rsid w:val="6D040C67"/>
    <w:rsid w:val="6D1141F1"/>
    <w:rsid w:val="6D1E109C"/>
    <w:rsid w:val="6D2047CC"/>
    <w:rsid w:val="6D204993"/>
    <w:rsid w:val="6D2710D8"/>
    <w:rsid w:val="6D31216F"/>
    <w:rsid w:val="6D366587"/>
    <w:rsid w:val="6D39762F"/>
    <w:rsid w:val="6D3F2E03"/>
    <w:rsid w:val="6D5865DB"/>
    <w:rsid w:val="6D5B6D7D"/>
    <w:rsid w:val="6D5F3CB3"/>
    <w:rsid w:val="6D654BCF"/>
    <w:rsid w:val="6D685E09"/>
    <w:rsid w:val="6D8A27EA"/>
    <w:rsid w:val="6D8B5D4C"/>
    <w:rsid w:val="6D962DC5"/>
    <w:rsid w:val="6D9813EC"/>
    <w:rsid w:val="6D9B53B6"/>
    <w:rsid w:val="6D9D6131"/>
    <w:rsid w:val="6DB45662"/>
    <w:rsid w:val="6DBF75AB"/>
    <w:rsid w:val="6DC01240"/>
    <w:rsid w:val="6DC17A5C"/>
    <w:rsid w:val="6DE1416E"/>
    <w:rsid w:val="6DE6678E"/>
    <w:rsid w:val="6DE96C00"/>
    <w:rsid w:val="6DEE400E"/>
    <w:rsid w:val="6DF228B3"/>
    <w:rsid w:val="6DF23F84"/>
    <w:rsid w:val="6DF3415B"/>
    <w:rsid w:val="6DF737BF"/>
    <w:rsid w:val="6E007267"/>
    <w:rsid w:val="6E171B19"/>
    <w:rsid w:val="6E1949D0"/>
    <w:rsid w:val="6E2223D4"/>
    <w:rsid w:val="6E241BB5"/>
    <w:rsid w:val="6E246FDD"/>
    <w:rsid w:val="6E2C6F33"/>
    <w:rsid w:val="6E3258C2"/>
    <w:rsid w:val="6E40122D"/>
    <w:rsid w:val="6E435E76"/>
    <w:rsid w:val="6E464B5F"/>
    <w:rsid w:val="6E4C0AB8"/>
    <w:rsid w:val="6E4C18B7"/>
    <w:rsid w:val="6E5E25FE"/>
    <w:rsid w:val="6E662785"/>
    <w:rsid w:val="6E685299"/>
    <w:rsid w:val="6E6A73E1"/>
    <w:rsid w:val="6E6B3653"/>
    <w:rsid w:val="6E6E0FFF"/>
    <w:rsid w:val="6E7E5D05"/>
    <w:rsid w:val="6E812A44"/>
    <w:rsid w:val="6E815762"/>
    <w:rsid w:val="6E8C67DE"/>
    <w:rsid w:val="6E924940"/>
    <w:rsid w:val="6E9D5B01"/>
    <w:rsid w:val="6EA86FB9"/>
    <w:rsid w:val="6EC11446"/>
    <w:rsid w:val="6EC42838"/>
    <w:rsid w:val="6ED107C8"/>
    <w:rsid w:val="6ED168FF"/>
    <w:rsid w:val="6ED7162D"/>
    <w:rsid w:val="6EDB7784"/>
    <w:rsid w:val="6EDF4B1D"/>
    <w:rsid w:val="6EEC6C4F"/>
    <w:rsid w:val="6EF00254"/>
    <w:rsid w:val="6EF65FAD"/>
    <w:rsid w:val="6EFE2B52"/>
    <w:rsid w:val="6F037409"/>
    <w:rsid w:val="6F0729E5"/>
    <w:rsid w:val="6F0E0EF4"/>
    <w:rsid w:val="6F0F495C"/>
    <w:rsid w:val="6F150D8B"/>
    <w:rsid w:val="6F1644B0"/>
    <w:rsid w:val="6F1E46C6"/>
    <w:rsid w:val="6F202220"/>
    <w:rsid w:val="6F2B0C7A"/>
    <w:rsid w:val="6F341CBE"/>
    <w:rsid w:val="6F3933FC"/>
    <w:rsid w:val="6F4102CF"/>
    <w:rsid w:val="6F461709"/>
    <w:rsid w:val="6F520EB6"/>
    <w:rsid w:val="6F66013D"/>
    <w:rsid w:val="6F722478"/>
    <w:rsid w:val="6F7B05C0"/>
    <w:rsid w:val="6F7E1C30"/>
    <w:rsid w:val="6F854B83"/>
    <w:rsid w:val="6F87660F"/>
    <w:rsid w:val="6F907558"/>
    <w:rsid w:val="6F9250D4"/>
    <w:rsid w:val="6F992C38"/>
    <w:rsid w:val="6F9D668D"/>
    <w:rsid w:val="6FA34967"/>
    <w:rsid w:val="6FA3519E"/>
    <w:rsid w:val="6FA72053"/>
    <w:rsid w:val="6FA91104"/>
    <w:rsid w:val="6FAB7060"/>
    <w:rsid w:val="6FAD0EC6"/>
    <w:rsid w:val="6FBB418E"/>
    <w:rsid w:val="6FBC6E16"/>
    <w:rsid w:val="6FCA0284"/>
    <w:rsid w:val="6FCC4D0E"/>
    <w:rsid w:val="6FDA1493"/>
    <w:rsid w:val="6FDC1316"/>
    <w:rsid w:val="6FE0744B"/>
    <w:rsid w:val="6FE4577A"/>
    <w:rsid w:val="6FE77D71"/>
    <w:rsid w:val="70044FE8"/>
    <w:rsid w:val="700A279C"/>
    <w:rsid w:val="700A289A"/>
    <w:rsid w:val="70114A5F"/>
    <w:rsid w:val="70186C7B"/>
    <w:rsid w:val="702A4E22"/>
    <w:rsid w:val="702E338D"/>
    <w:rsid w:val="703B0E8A"/>
    <w:rsid w:val="703B7C50"/>
    <w:rsid w:val="70472125"/>
    <w:rsid w:val="7049749B"/>
    <w:rsid w:val="704B7905"/>
    <w:rsid w:val="70555E14"/>
    <w:rsid w:val="705B2D30"/>
    <w:rsid w:val="705F307E"/>
    <w:rsid w:val="705F333A"/>
    <w:rsid w:val="706B2486"/>
    <w:rsid w:val="70783E84"/>
    <w:rsid w:val="70795DF6"/>
    <w:rsid w:val="707A5D2F"/>
    <w:rsid w:val="709443AB"/>
    <w:rsid w:val="70964422"/>
    <w:rsid w:val="70A14A64"/>
    <w:rsid w:val="70AF6CE9"/>
    <w:rsid w:val="70C06B9F"/>
    <w:rsid w:val="70CC7348"/>
    <w:rsid w:val="70D13BA0"/>
    <w:rsid w:val="70D44648"/>
    <w:rsid w:val="70DF3DEB"/>
    <w:rsid w:val="70EB129F"/>
    <w:rsid w:val="70F02FDD"/>
    <w:rsid w:val="70F72510"/>
    <w:rsid w:val="70FD765C"/>
    <w:rsid w:val="71041721"/>
    <w:rsid w:val="71170B91"/>
    <w:rsid w:val="71182B1C"/>
    <w:rsid w:val="711C1F43"/>
    <w:rsid w:val="71205B58"/>
    <w:rsid w:val="712140C1"/>
    <w:rsid w:val="71225AB6"/>
    <w:rsid w:val="712B05F9"/>
    <w:rsid w:val="712F5856"/>
    <w:rsid w:val="713033D0"/>
    <w:rsid w:val="71310096"/>
    <w:rsid w:val="71367E84"/>
    <w:rsid w:val="7137184D"/>
    <w:rsid w:val="713A67B3"/>
    <w:rsid w:val="71400096"/>
    <w:rsid w:val="7141659B"/>
    <w:rsid w:val="71461837"/>
    <w:rsid w:val="7147509B"/>
    <w:rsid w:val="714A356A"/>
    <w:rsid w:val="714C4666"/>
    <w:rsid w:val="716D4D24"/>
    <w:rsid w:val="717031CE"/>
    <w:rsid w:val="71766546"/>
    <w:rsid w:val="717764EC"/>
    <w:rsid w:val="717943F5"/>
    <w:rsid w:val="717A2BA1"/>
    <w:rsid w:val="718E70D3"/>
    <w:rsid w:val="719D7468"/>
    <w:rsid w:val="71AA1A3E"/>
    <w:rsid w:val="71AA6403"/>
    <w:rsid w:val="71B16C44"/>
    <w:rsid w:val="71BD4685"/>
    <w:rsid w:val="71BE6DFB"/>
    <w:rsid w:val="71C47B9F"/>
    <w:rsid w:val="71C534D2"/>
    <w:rsid w:val="71C64D4D"/>
    <w:rsid w:val="71D72F17"/>
    <w:rsid w:val="71D83CA5"/>
    <w:rsid w:val="71DC1718"/>
    <w:rsid w:val="71DF5B7E"/>
    <w:rsid w:val="71EB282D"/>
    <w:rsid w:val="71F54AE0"/>
    <w:rsid w:val="71FA5D07"/>
    <w:rsid w:val="720158A7"/>
    <w:rsid w:val="720431A7"/>
    <w:rsid w:val="72084942"/>
    <w:rsid w:val="720B4718"/>
    <w:rsid w:val="722A7D71"/>
    <w:rsid w:val="723100EB"/>
    <w:rsid w:val="72364C69"/>
    <w:rsid w:val="723B2B91"/>
    <w:rsid w:val="72402A39"/>
    <w:rsid w:val="7243143C"/>
    <w:rsid w:val="72517987"/>
    <w:rsid w:val="7254791B"/>
    <w:rsid w:val="72551613"/>
    <w:rsid w:val="725D5B96"/>
    <w:rsid w:val="726325AF"/>
    <w:rsid w:val="7269458C"/>
    <w:rsid w:val="726B76F8"/>
    <w:rsid w:val="7272039C"/>
    <w:rsid w:val="72771182"/>
    <w:rsid w:val="72794964"/>
    <w:rsid w:val="72850FBA"/>
    <w:rsid w:val="72897A74"/>
    <w:rsid w:val="728D5535"/>
    <w:rsid w:val="7298444E"/>
    <w:rsid w:val="729F1F2D"/>
    <w:rsid w:val="72B31D60"/>
    <w:rsid w:val="72C00C08"/>
    <w:rsid w:val="72C32F1F"/>
    <w:rsid w:val="72C55A19"/>
    <w:rsid w:val="72CB4C94"/>
    <w:rsid w:val="72DA39DB"/>
    <w:rsid w:val="72E97BD6"/>
    <w:rsid w:val="72EF358D"/>
    <w:rsid w:val="72F00080"/>
    <w:rsid w:val="72F40BED"/>
    <w:rsid w:val="72FA777C"/>
    <w:rsid w:val="72FC3995"/>
    <w:rsid w:val="73036FA1"/>
    <w:rsid w:val="731267CC"/>
    <w:rsid w:val="731B1CFE"/>
    <w:rsid w:val="733417FE"/>
    <w:rsid w:val="733535A0"/>
    <w:rsid w:val="73396C18"/>
    <w:rsid w:val="734049AA"/>
    <w:rsid w:val="73424394"/>
    <w:rsid w:val="734B2DDD"/>
    <w:rsid w:val="73582F7A"/>
    <w:rsid w:val="735F142D"/>
    <w:rsid w:val="73614A6B"/>
    <w:rsid w:val="737140B0"/>
    <w:rsid w:val="73773E99"/>
    <w:rsid w:val="73790128"/>
    <w:rsid w:val="737B0312"/>
    <w:rsid w:val="737E4127"/>
    <w:rsid w:val="73854C6C"/>
    <w:rsid w:val="73890E35"/>
    <w:rsid w:val="738C6771"/>
    <w:rsid w:val="73994803"/>
    <w:rsid w:val="73AA3C25"/>
    <w:rsid w:val="73B05172"/>
    <w:rsid w:val="73B2046C"/>
    <w:rsid w:val="73BF0C9C"/>
    <w:rsid w:val="73C509BC"/>
    <w:rsid w:val="73CD6575"/>
    <w:rsid w:val="73CF44A5"/>
    <w:rsid w:val="73D0280C"/>
    <w:rsid w:val="73D82C3C"/>
    <w:rsid w:val="73DE2643"/>
    <w:rsid w:val="73DF46DE"/>
    <w:rsid w:val="73E65D61"/>
    <w:rsid w:val="73EC11A2"/>
    <w:rsid w:val="73ED5BE9"/>
    <w:rsid w:val="73F570D8"/>
    <w:rsid w:val="73F809EA"/>
    <w:rsid w:val="73FD1AFC"/>
    <w:rsid w:val="73FD7489"/>
    <w:rsid w:val="74054BEE"/>
    <w:rsid w:val="740560EA"/>
    <w:rsid w:val="74056B42"/>
    <w:rsid w:val="740630C3"/>
    <w:rsid w:val="7409473C"/>
    <w:rsid w:val="741661E7"/>
    <w:rsid w:val="741825DF"/>
    <w:rsid w:val="741B7290"/>
    <w:rsid w:val="741C66D7"/>
    <w:rsid w:val="74256453"/>
    <w:rsid w:val="743B03F7"/>
    <w:rsid w:val="74410FE0"/>
    <w:rsid w:val="74415F16"/>
    <w:rsid w:val="74482FCD"/>
    <w:rsid w:val="744A091C"/>
    <w:rsid w:val="744B1E8E"/>
    <w:rsid w:val="74587114"/>
    <w:rsid w:val="74624E03"/>
    <w:rsid w:val="74657BF7"/>
    <w:rsid w:val="74781B09"/>
    <w:rsid w:val="74836B36"/>
    <w:rsid w:val="7485045B"/>
    <w:rsid w:val="74853218"/>
    <w:rsid w:val="7489688F"/>
    <w:rsid w:val="74A14393"/>
    <w:rsid w:val="74A63B78"/>
    <w:rsid w:val="74AC5E58"/>
    <w:rsid w:val="74AE320C"/>
    <w:rsid w:val="74C93C97"/>
    <w:rsid w:val="74CA18A2"/>
    <w:rsid w:val="74E07425"/>
    <w:rsid w:val="74E3215B"/>
    <w:rsid w:val="74E3569C"/>
    <w:rsid w:val="74E863D4"/>
    <w:rsid w:val="74EF4D46"/>
    <w:rsid w:val="74F63296"/>
    <w:rsid w:val="74FC3839"/>
    <w:rsid w:val="750B59B7"/>
    <w:rsid w:val="75157675"/>
    <w:rsid w:val="75164A85"/>
    <w:rsid w:val="751732C5"/>
    <w:rsid w:val="7522661E"/>
    <w:rsid w:val="75233611"/>
    <w:rsid w:val="7526215A"/>
    <w:rsid w:val="754B473A"/>
    <w:rsid w:val="754C18DC"/>
    <w:rsid w:val="75557790"/>
    <w:rsid w:val="7563558E"/>
    <w:rsid w:val="75777F73"/>
    <w:rsid w:val="7578680F"/>
    <w:rsid w:val="757F3BB6"/>
    <w:rsid w:val="758C7F0A"/>
    <w:rsid w:val="75951408"/>
    <w:rsid w:val="759931D9"/>
    <w:rsid w:val="759D251D"/>
    <w:rsid w:val="75A10102"/>
    <w:rsid w:val="75A46BE9"/>
    <w:rsid w:val="75AC62F8"/>
    <w:rsid w:val="75C4082A"/>
    <w:rsid w:val="75C77160"/>
    <w:rsid w:val="75CD2CE4"/>
    <w:rsid w:val="75CF5A6D"/>
    <w:rsid w:val="75D55086"/>
    <w:rsid w:val="75DE5D07"/>
    <w:rsid w:val="75EC4FA4"/>
    <w:rsid w:val="75F1030D"/>
    <w:rsid w:val="75F116B7"/>
    <w:rsid w:val="75FC2A02"/>
    <w:rsid w:val="760534BF"/>
    <w:rsid w:val="76107D1F"/>
    <w:rsid w:val="761B1B02"/>
    <w:rsid w:val="761C631B"/>
    <w:rsid w:val="7621586B"/>
    <w:rsid w:val="76275680"/>
    <w:rsid w:val="76407584"/>
    <w:rsid w:val="76420A9F"/>
    <w:rsid w:val="76460752"/>
    <w:rsid w:val="76497B53"/>
    <w:rsid w:val="76566161"/>
    <w:rsid w:val="7657634B"/>
    <w:rsid w:val="765E3D2D"/>
    <w:rsid w:val="765F4EDC"/>
    <w:rsid w:val="76624EAE"/>
    <w:rsid w:val="76630162"/>
    <w:rsid w:val="767C6AAC"/>
    <w:rsid w:val="768E66A6"/>
    <w:rsid w:val="7690234D"/>
    <w:rsid w:val="76AD4693"/>
    <w:rsid w:val="76B161B7"/>
    <w:rsid w:val="76B174C4"/>
    <w:rsid w:val="76B32D2C"/>
    <w:rsid w:val="76B37636"/>
    <w:rsid w:val="76B5093C"/>
    <w:rsid w:val="76B525F5"/>
    <w:rsid w:val="76BE1E79"/>
    <w:rsid w:val="76C26A06"/>
    <w:rsid w:val="76C47E08"/>
    <w:rsid w:val="76CC5988"/>
    <w:rsid w:val="76CE039A"/>
    <w:rsid w:val="76D81A08"/>
    <w:rsid w:val="76DD351E"/>
    <w:rsid w:val="76DE0141"/>
    <w:rsid w:val="76E11D78"/>
    <w:rsid w:val="76E148B0"/>
    <w:rsid w:val="76E15D37"/>
    <w:rsid w:val="76E17E2E"/>
    <w:rsid w:val="76E843CB"/>
    <w:rsid w:val="76E92569"/>
    <w:rsid w:val="76EF762A"/>
    <w:rsid w:val="76F261D8"/>
    <w:rsid w:val="76F355A0"/>
    <w:rsid w:val="77086025"/>
    <w:rsid w:val="770B759D"/>
    <w:rsid w:val="77183B98"/>
    <w:rsid w:val="771A2F81"/>
    <w:rsid w:val="77200EDF"/>
    <w:rsid w:val="77234096"/>
    <w:rsid w:val="772B210D"/>
    <w:rsid w:val="77371ACB"/>
    <w:rsid w:val="77385348"/>
    <w:rsid w:val="77395E4B"/>
    <w:rsid w:val="77426E7C"/>
    <w:rsid w:val="774A64C4"/>
    <w:rsid w:val="774E24D6"/>
    <w:rsid w:val="77500471"/>
    <w:rsid w:val="77510092"/>
    <w:rsid w:val="77563F8A"/>
    <w:rsid w:val="775F37F5"/>
    <w:rsid w:val="776321E2"/>
    <w:rsid w:val="776D4A30"/>
    <w:rsid w:val="777005A8"/>
    <w:rsid w:val="77726B37"/>
    <w:rsid w:val="77743BE2"/>
    <w:rsid w:val="778B5FAD"/>
    <w:rsid w:val="77927DD5"/>
    <w:rsid w:val="779C0093"/>
    <w:rsid w:val="779C6E17"/>
    <w:rsid w:val="779C7BF8"/>
    <w:rsid w:val="779E3B4F"/>
    <w:rsid w:val="77A33CC4"/>
    <w:rsid w:val="77A47D6F"/>
    <w:rsid w:val="77AA0E39"/>
    <w:rsid w:val="77B12D2C"/>
    <w:rsid w:val="77B42380"/>
    <w:rsid w:val="77B65BA5"/>
    <w:rsid w:val="77BB08F1"/>
    <w:rsid w:val="77C037EA"/>
    <w:rsid w:val="77C87CA3"/>
    <w:rsid w:val="77CE53B2"/>
    <w:rsid w:val="77D52F39"/>
    <w:rsid w:val="77D70418"/>
    <w:rsid w:val="77E42137"/>
    <w:rsid w:val="77EA4458"/>
    <w:rsid w:val="77F73C96"/>
    <w:rsid w:val="77FF6F5A"/>
    <w:rsid w:val="780156DA"/>
    <w:rsid w:val="78034528"/>
    <w:rsid w:val="78135070"/>
    <w:rsid w:val="78136816"/>
    <w:rsid w:val="781655C9"/>
    <w:rsid w:val="7821767D"/>
    <w:rsid w:val="782F2090"/>
    <w:rsid w:val="78360FF5"/>
    <w:rsid w:val="78400592"/>
    <w:rsid w:val="78491349"/>
    <w:rsid w:val="784A396E"/>
    <w:rsid w:val="784C3862"/>
    <w:rsid w:val="785241E4"/>
    <w:rsid w:val="785A4719"/>
    <w:rsid w:val="785C18C1"/>
    <w:rsid w:val="78734995"/>
    <w:rsid w:val="78815DDC"/>
    <w:rsid w:val="788C29D5"/>
    <w:rsid w:val="788E06EC"/>
    <w:rsid w:val="78907379"/>
    <w:rsid w:val="789363CB"/>
    <w:rsid w:val="7897689C"/>
    <w:rsid w:val="789E6904"/>
    <w:rsid w:val="789F47EA"/>
    <w:rsid w:val="78A212A6"/>
    <w:rsid w:val="78A3686E"/>
    <w:rsid w:val="78AB5247"/>
    <w:rsid w:val="78AF3131"/>
    <w:rsid w:val="78B070B9"/>
    <w:rsid w:val="78B133A4"/>
    <w:rsid w:val="78B334D3"/>
    <w:rsid w:val="78B566FD"/>
    <w:rsid w:val="78B70DC3"/>
    <w:rsid w:val="78BB69BF"/>
    <w:rsid w:val="78C11EFA"/>
    <w:rsid w:val="78C22CAC"/>
    <w:rsid w:val="78C6157A"/>
    <w:rsid w:val="78C70075"/>
    <w:rsid w:val="78C728CE"/>
    <w:rsid w:val="78CB43BF"/>
    <w:rsid w:val="78CF5838"/>
    <w:rsid w:val="78D76D23"/>
    <w:rsid w:val="78ED0AB4"/>
    <w:rsid w:val="79015E62"/>
    <w:rsid w:val="79031042"/>
    <w:rsid w:val="79071330"/>
    <w:rsid w:val="790F0960"/>
    <w:rsid w:val="791229C5"/>
    <w:rsid w:val="79217F17"/>
    <w:rsid w:val="79237617"/>
    <w:rsid w:val="793356DB"/>
    <w:rsid w:val="793772CE"/>
    <w:rsid w:val="794371D6"/>
    <w:rsid w:val="79441DF1"/>
    <w:rsid w:val="79494A81"/>
    <w:rsid w:val="794C29A0"/>
    <w:rsid w:val="7953502B"/>
    <w:rsid w:val="79561EA5"/>
    <w:rsid w:val="79596609"/>
    <w:rsid w:val="795A26F3"/>
    <w:rsid w:val="795C4D8E"/>
    <w:rsid w:val="79661248"/>
    <w:rsid w:val="796C66A3"/>
    <w:rsid w:val="797217F7"/>
    <w:rsid w:val="797F5296"/>
    <w:rsid w:val="79817CB5"/>
    <w:rsid w:val="798746C4"/>
    <w:rsid w:val="798B3305"/>
    <w:rsid w:val="799F407B"/>
    <w:rsid w:val="79A344D3"/>
    <w:rsid w:val="79AB4CC7"/>
    <w:rsid w:val="79C048B2"/>
    <w:rsid w:val="79C45F88"/>
    <w:rsid w:val="79C606D3"/>
    <w:rsid w:val="79C722DE"/>
    <w:rsid w:val="79C7606B"/>
    <w:rsid w:val="79C7747A"/>
    <w:rsid w:val="79E10FDE"/>
    <w:rsid w:val="79E2299F"/>
    <w:rsid w:val="79E22E0B"/>
    <w:rsid w:val="79EE0674"/>
    <w:rsid w:val="79F07130"/>
    <w:rsid w:val="7A011425"/>
    <w:rsid w:val="7A0848F5"/>
    <w:rsid w:val="7A090472"/>
    <w:rsid w:val="7A0F459A"/>
    <w:rsid w:val="7A11399D"/>
    <w:rsid w:val="7A17279A"/>
    <w:rsid w:val="7A177563"/>
    <w:rsid w:val="7A1B18BE"/>
    <w:rsid w:val="7A1D51AA"/>
    <w:rsid w:val="7A1F07D9"/>
    <w:rsid w:val="7A270E98"/>
    <w:rsid w:val="7A307348"/>
    <w:rsid w:val="7A337E4D"/>
    <w:rsid w:val="7A3408ED"/>
    <w:rsid w:val="7A356238"/>
    <w:rsid w:val="7A48224C"/>
    <w:rsid w:val="7A4857AA"/>
    <w:rsid w:val="7A4A6379"/>
    <w:rsid w:val="7A5E4C0C"/>
    <w:rsid w:val="7A615863"/>
    <w:rsid w:val="7A736997"/>
    <w:rsid w:val="7A795439"/>
    <w:rsid w:val="7A796410"/>
    <w:rsid w:val="7A7B0FDA"/>
    <w:rsid w:val="7A854531"/>
    <w:rsid w:val="7A8F5A40"/>
    <w:rsid w:val="7A911233"/>
    <w:rsid w:val="7A922050"/>
    <w:rsid w:val="7A933E82"/>
    <w:rsid w:val="7AA26CFF"/>
    <w:rsid w:val="7AAC67D4"/>
    <w:rsid w:val="7AB53CBE"/>
    <w:rsid w:val="7AB801CE"/>
    <w:rsid w:val="7AB96430"/>
    <w:rsid w:val="7ABA4F8A"/>
    <w:rsid w:val="7ABF4635"/>
    <w:rsid w:val="7AC649C5"/>
    <w:rsid w:val="7ACC27A2"/>
    <w:rsid w:val="7ACC5B29"/>
    <w:rsid w:val="7ACD101D"/>
    <w:rsid w:val="7AD7381C"/>
    <w:rsid w:val="7AE44B5A"/>
    <w:rsid w:val="7AEB6171"/>
    <w:rsid w:val="7AED21FE"/>
    <w:rsid w:val="7AEE562E"/>
    <w:rsid w:val="7B075C4A"/>
    <w:rsid w:val="7B122091"/>
    <w:rsid w:val="7B205640"/>
    <w:rsid w:val="7B271ACC"/>
    <w:rsid w:val="7B28186A"/>
    <w:rsid w:val="7B327420"/>
    <w:rsid w:val="7B350A7D"/>
    <w:rsid w:val="7B3A7B2B"/>
    <w:rsid w:val="7B4C428A"/>
    <w:rsid w:val="7B546E75"/>
    <w:rsid w:val="7B5D42B5"/>
    <w:rsid w:val="7B5E060E"/>
    <w:rsid w:val="7B6321FB"/>
    <w:rsid w:val="7B705A2F"/>
    <w:rsid w:val="7B8227A2"/>
    <w:rsid w:val="7B862503"/>
    <w:rsid w:val="7B9506C6"/>
    <w:rsid w:val="7B9A6F06"/>
    <w:rsid w:val="7B9B4BA1"/>
    <w:rsid w:val="7BA37898"/>
    <w:rsid w:val="7BA97827"/>
    <w:rsid w:val="7BCE62FC"/>
    <w:rsid w:val="7BD4745A"/>
    <w:rsid w:val="7BD85E62"/>
    <w:rsid w:val="7BEA4BE1"/>
    <w:rsid w:val="7BEB23B5"/>
    <w:rsid w:val="7BED2A59"/>
    <w:rsid w:val="7BEF13BC"/>
    <w:rsid w:val="7BF77925"/>
    <w:rsid w:val="7BF97CF0"/>
    <w:rsid w:val="7BFE1C9A"/>
    <w:rsid w:val="7C027FC8"/>
    <w:rsid w:val="7C041FC7"/>
    <w:rsid w:val="7C05330D"/>
    <w:rsid w:val="7C074CF6"/>
    <w:rsid w:val="7C096E18"/>
    <w:rsid w:val="7C0C2E06"/>
    <w:rsid w:val="7C167366"/>
    <w:rsid w:val="7C171CF9"/>
    <w:rsid w:val="7C1966E4"/>
    <w:rsid w:val="7C1D34C6"/>
    <w:rsid w:val="7C230886"/>
    <w:rsid w:val="7C2369D2"/>
    <w:rsid w:val="7C303202"/>
    <w:rsid w:val="7C4C5980"/>
    <w:rsid w:val="7C4F65DF"/>
    <w:rsid w:val="7C515172"/>
    <w:rsid w:val="7C545AC7"/>
    <w:rsid w:val="7C582BBE"/>
    <w:rsid w:val="7C5937E1"/>
    <w:rsid w:val="7C5A6D03"/>
    <w:rsid w:val="7C5F613E"/>
    <w:rsid w:val="7C601B7A"/>
    <w:rsid w:val="7C6327C1"/>
    <w:rsid w:val="7C637369"/>
    <w:rsid w:val="7C6B2731"/>
    <w:rsid w:val="7C6D5683"/>
    <w:rsid w:val="7C700C54"/>
    <w:rsid w:val="7C807077"/>
    <w:rsid w:val="7C814F50"/>
    <w:rsid w:val="7C8377FC"/>
    <w:rsid w:val="7C8633F3"/>
    <w:rsid w:val="7C8809A1"/>
    <w:rsid w:val="7C8D35F1"/>
    <w:rsid w:val="7C932D68"/>
    <w:rsid w:val="7CA725DE"/>
    <w:rsid w:val="7CA836B5"/>
    <w:rsid w:val="7CAA29BE"/>
    <w:rsid w:val="7CAC0BC6"/>
    <w:rsid w:val="7CB74726"/>
    <w:rsid w:val="7CB97A94"/>
    <w:rsid w:val="7CBA3AEC"/>
    <w:rsid w:val="7CC46FB9"/>
    <w:rsid w:val="7CC65AB8"/>
    <w:rsid w:val="7CC70A9C"/>
    <w:rsid w:val="7CC916C3"/>
    <w:rsid w:val="7CCF4F2A"/>
    <w:rsid w:val="7CD555B1"/>
    <w:rsid w:val="7CE76CA6"/>
    <w:rsid w:val="7CEC40AE"/>
    <w:rsid w:val="7CF61804"/>
    <w:rsid w:val="7D004073"/>
    <w:rsid w:val="7D023DA3"/>
    <w:rsid w:val="7D0A38B7"/>
    <w:rsid w:val="7D0E138E"/>
    <w:rsid w:val="7D19515A"/>
    <w:rsid w:val="7D282FC3"/>
    <w:rsid w:val="7D306185"/>
    <w:rsid w:val="7D3301EF"/>
    <w:rsid w:val="7D402701"/>
    <w:rsid w:val="7D407FDC"/>
    <w:rsid w:val="7D4826FC"/>
    <w:rsid w:val="7D4B4DFE"/>
    <w:rsid w:val="7D4E4256"/>
    <w:rsid w:val="7D4E7E5C"/>
    <w:rsid w:val="7D575335"/>
    <w:rsid w:val="7D58272B"/>
    <w:rsid w:val="7D620B8A"/>
    <w:rsid w:val="7D644BB9"/>
    <w:rsid w:val="7D65427D"/>
    <w:rsid w:val="7D681A57"/>
    <w:rsid w:val="7D6E1078"/>
    <w:rsid w:val="7D767753"/>
    <w:rsid w:val="7D7B4CE3"/>
    <w:rsid w:val="7D8052F4"/>
    <w:rsid w:val="7D85788A"/>
    <w:rsid w:val="7D882D6F"/>
    <w:rsid w:val="7D8F27FA"/>
    <w:rsid w:val="7D9876CB"/>
    <w:rsid w:val="7D9905A4"/>
    <w:rsid w:val="7DA62108"/>
    <w:rsid w:val="7DA77870"/>
    <w:rsid w:val="7DA862C6"/>
    <w:rsid w:val="7DAD2009"/>
    <w:rsid w:val="7DAE0334"/>
    <w:rsid w:val="7DB76331"/>
    <w:rsid w:val="7DB937A1"/>
    <w:rsid w:val="7DBB4BEF"/>
    <w:rsid w:val="7DBC51AE"/>
    <w:rsid w:val="7DCC70D5"/>
    <w:rsid w:val="7DDF103D"/>
    <w:rsid w:val="7DE05644"/>
    <w:rsid w:val="7DEE4F29"/>
    <w:rsid w:val="7DEF62A0"/>
    <w:rsid w:val="7DF02678"/>
    <w:rsid w:val="7E023AD6"/>
    <w:rsid w:val="7E025ACF"/>
    <w:rsid w:val="7E0879FD"/>
    <w:rsid w:val="7E0D7696"/>
    <w:rsid w:val="7E0E456C"/>
    <w:rsid w:val="7E0E6DCD"/>
    <w:rsid w:val="7E0F48BB"/>
    <w:rsid w:val="7E1033DC"/>
    <w:rsid w:val="7E142C1A"/>
    <w:rsid w:val="7E2353BC"/>
    <w:rsid w:val="7E2424ED"/>
    <w:rsid w:val="7E323687"/>
    <w:rsid w:val="7E352B6C"/>
    <w:rsid w:val="7E4107B0"/>
    <w:rsid w:val="7E430F47"/>
    <w:rsid w:val="7E444E2C"/>
    <w:rsid w:val="7E45635D"/>
    <w:rsid w:val="7E517C52"/>
    <w:rsid w:val="7E55374B"/>
    <w:rsid w:val="7E5F2743"/>
    <w:rsid w:val="7E606711"/>
    <w:rsid w:val="7E627AA2"/>
    <w:rsid w:val="7E6947CD"/>
    <w:rsid w:val="7E7178F7"/>
    <w:rsid w:val="7E7860BC"/>
    <w:rsid w:val="7E7B65B8"/>
    <w:rsid w:val="7E821A0C"/>
    <w:rsid w:val="7E836EA8"/>
    <w:rsid w:val="7E980AF4"/>
    <w:rsid w:val="7E9A12EA"/>
    <w:rsid w:val="7E9F0584"/>
    <w:rsid w:val="7EA17D25"/>
    <w:rsid w:val="7EAF6CBB"/>
    <w:rsid w:val="7EB61631"/>
    <w:rsid w:val="7EBF430D"/>
    <w:rsid w:val="7EC42501"/>
    <w:rsid w:val="7EC539A1"/>
    <w:rsid w:val="7ECA6995"/>
    <w:rsid w:val="7ED148EC"/>
    <w:rsid w:val="7EDA6062"/>
    <w:rsid w:val="7EDC75D2"/>
    <w:rsid w:val="7EE36BEA"/>
    <w:rsid w:val="7EEA1CAF"/>
    <w:rsid w:val="7EF439EE"/>
    <w:rsid w:val="7EF60904"/>
    <w:rsid w:val="7EFA2E85"/>
    <w:rsid w:val="7F1511C1"/>
    <w:rsid w:val="7F1D027F"/>
    <w:rsid w:val="7F1D72CA"/>
    <w:rsid w:val="7F1D76A1"/>
    <w:rsid w:val="7F206C9C"/>
    <w:rsid w:val="7F23099D"/>
    <w:rsid w:val="7F2D6A17"/>
    <w:rsid w:val="7F325AED"/>
    <w:rsid w:val="7F48617D"/>
    <w:rsid w:val="7F541897"/>
    <w:rsid w:val="7F547920"/>
    <w:rsid w:val="7F557022"/>
    <w:rsid w:val="7F5670C5"/>
    <w:rsid w:val="7F6075F8"/>
    <w:rsid w:val="7F612CF9"/>
    <w:rsid w:val="7F673D47"/>
    <w:rsid w:val="7F674DB2"/>
    <w:rsid w:val="7F793D65"/>
    <w:rsid w:val="7F7C62BC"/>
    <w:rsid w:val="7F7F03BF"/>
    <w:rsid w:val="7F7F4DEE"/>
    <w:rsid w:val="7F9977A8"/>
    <w:rsid w:val="7F9C55A2"/>
    <w:rsid w:val="7F9E7758"/>
    <w:rsid w:val="7FA22DEB"/>
    <w:rsid w:val="7FA60A82"/>
    <w:rsid w:val="7FB30445"/>
    <w:rsid w:val="7FB75E1A"/>
    <w:rsid w:val="7FB81199"/>
    <w:rsid w:val="7FB92698"/>
    <w:rsid w:val="7FBA1360"/>
    <w:rsid w:val="7FC6640B"/>
    <w:rsid w:val="7FCC33D5"/>
    <w:rsid w:val="7FCC73DB"/>
    <w:rsid w:val="7FCE0DDA"/>
    <w:rsid w:val="7FCE527B"/>
    <w:rsid w:val="7FD94BDD"/>
    <w:rsid w:val="7FDB410B"/>
    <w:rsid w:val="7FE05BAC"/>
    <w:rsid w:val="7FF16F79"/>
    <w:rsid w:val="7FF40ECB"/>
    <w:rsid w:val="7FF414BC"/>
    <w:rsid w:val="7FF53E7F"/>
    <w:rsid w:val="7FFA1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after="330" w:afterLines="0" w:line="578" w:lineRule="auto"/>
      <w:outlineLvl w:val="0"/>
    </w:pPr>
    <w:rPr>
      <w:b/>
      <w:bCs/>
      <w:kern w:val="44"/>
      <w:sz w:val="44"/>
      <w:szCs w:val="44"/>
    </w:rPr>
  </w:style>
  <w:style w:type="paragraph" w:styleId="6">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left="200" w:leftChars="0" w:firstLine="200"/>
    </w:pPr>
    <w:rPr>
      <w:rFonts w:ascii="宋体" w:hAnsi="宋体"/>
    </w:rPr>
  </w:style>
  <w:style w:type="paragraph" w:styleId="3">
    <w:name w:val="Body Text Indent"/>
    <w:basedOn w:val="1"/>
    <w:next w:val="4"/>
    <w:qFormat/>
    <w:uiPriority w:val="0"/>
    <w:pPr>
      <w:ind w:left="420" w:leftChars="200"/>
    </w:pPr>
  </w:style>
  <w:style w:type="paragraph" w:styleId="4">
    <w:name w:val="envelope return"/>
    <w:basedOn w:val="1"/>
    <w:qFormat/>
    <w:uiPriority w:val="99"/>
    <w:pPr>
      <w:snapToGrid w:val="0"/>
    </w:pPr>
    <w:rPr>
      <w:rFonts w:ascii="Arial" w:hAnsi="Arial" w:cs="Arial"/>
    </w:rPr>
  </w:style>
  <w:style w:type="paragraph" w:styleId="7">
    <w:name w:val="Normal Indent"/>
    <w:basedOn w:val="1"/>
    <w:qFormat/>
    <w:uiPriority w:val="0"/>
    <w:pPr>
      <w:spacing w:line="360" w:lineRule="auto"/>
      <w:ind w:firstLine="420"/>
    </w:pPr>
    <w:rPr>
      <w:rFonts w:ascii="宋体"/>
    </w:rPr>
  </w:style>
  <w:style w:type="paragraph" w:styleId="8">
    <w:name w:val="annotation text"/>
    <w:basedOn w:val="1"/>
    <w:qFormat/>
    <w:uiPriority w:val="0"/>
  </w:style>
  <w:style w:type="paragraph" w:styleId="9">
    <w:name w:val="Body Text"/>
    <w:basedOn w:val="1"/>
    <w:next w:val="10"/>
    <w:qFormat/>
    <w:uiPriority w:val="0"/>
    <w:pPr>
      <w:spacing w:after="120"/>
    </w:pPr>
    <w:rPr>
      <w:kern w:val="0"/>
      <w:sz w:val="20"/>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1">
    <w:name w:val="Plain Text"/>
    <w:basedOn w:val="1"/>
    <w:qFormat/>
    <w:uiPriority w:val="0"/>
    <w:rPr>
      <w:rFonts w:ascii="宋体" w:hAnsi="Courier New"/>
      <w:kern w:val="0"/>
      <w:sz w:val="20"/>
      <w:szCs w:val="21"/>
    </w:rPr>
  </w:style>
  <w:style w:type="paragraph" w:styleId="12">
    <w:name w:val="Balloon Text"/>
    <w:basedOn w:val="1"/>
    <w:link w:val="37"/>
    <w:qFormat/>
    <w:uiPriority w:val="0"/>
    <w:rPr>
      <w:sz w:val="18"/>
      <w:szCs w:val="18"/>
    </w:rPr>
  </w:style>
  <w:style w:type="paragraph" w:styleId="13">
    <w:name w:val="footer"/>
    <w:basedOn w:val="1"/>
    <w:qFormat/>
    <w:uiPriority w:val="0"/>
    <w:pPr>
      <w:tabs>
        <w:tab w:val="center" w:pos="4153"/>
        <w:tab w:val="right" w:pos="8306"/>
      </w:tabs>
      <w:snapToGrid w:val="0"/>
      <w:jc w:val="left"/>
    </w:pPr>
    <w:rPr>
      <w:kern w:val="0"/>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16">
    <w:name w:val="Body Text Indent 3"/>
    <w:basedOn w:val="1"/>
    <w:qFormat/>
    <w:uiPriority w:val="0"/>
    <w:pPr>
      <w:ind w:firstLine="426"/>
    </w:pPr>
  </w:style>
  <w:style w:type="paragraph" w:styleId="17">
    <w:name w:val="Normal (Web)"/>
    <w:basedOn w:val="1"/>
    <w:qFormat/>
    <w:uiPriority w:val="0"/>
    <w:pPr>
      <w:widowControl/>
      <w:spacing w:before="100" w:beforeAutospacing="1" w:after="100" w:afterAutospacing="1"/>
      <w:jc w:val="left"/>
    </w:pPr>
    <w:rPr>
      <w:rFonts w:ascii="宋体" w:hAnsi="宋体"/>
      <w:kern w:val="0"/>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character" w:styleId="22">
    <w:name w:val="page number"/>
    <w:basedOn w:val="20"/>
    <w:qFormat/>
    <w:uiPriority w:val="0"/>
  </w:style>
  <w:style w:type="character" w:styleId="23">
    <w:name w:val="Hyperlink"/>
    <w:qFormat/>
    <w:uiPriority w:val="0"/>
    <w:rPr>
      <w:color w:val="0000FF"/>
      <w:u w:val="single"/>
    </w:rPr>
  </w:style>
  <w:style w:type="character" w:styleId="24">
    <w:name w:val="annotation reference"/>
    <w:basedOn w:val="20"/>
    <w:qFormat/>
    <w:uiPriority w:val="0"/>
    <w:rPr>
      <w:sz w:val="21"/>
      <w:szCs w:val="21"/>
    </w:rPr>
  </w:style>
  <w:style w:type="paragraph" w:customStyle="1" w:styleId="25">
    <w:name w:val="Default2"/>
    <w:qFormat/>
    <w:uiPriority w:val="0"/>
    <w:pPr>
      <w:widowControl w:val="0"/>
      <w:autoSpaceDE w:val="0"/>
      <w:autoSpaceDN w:val="0"/>
      <w:adjustRightInd w:val="0"/>
      <w:spacing w:line="360" w:lineRule="auto"/>
      <w:ind w:firstLine="883" w:firstLineChars="200"/>
    </w:pPr>
    <w:rPr>
      <w:rFonts w:ascii="宋体" w:hAnsi="宋体" w:eastAsia="宋体" w:cs="宋体"/>
      <w:color w:val="000000"/>
      <w:sz w:val="28"/>
      <w:szCs w:val="24"/>
      <w:lang w:val="en-US" w:eastAsia="zh-CN" w:bidi="ar-SA"/>
    </w:rPr>
  </w:style>
  <w:style w:type="paragraph" w:customStyle="1" w:styleId="26">
    <w:name w:val="列出段落1"/>
    <w:basedOn w:val="1"/>
    <w:qFormat/>
    <w:uiPriority w:val="34"/>
    <w:pPr>
      <w:ind w:firstLine="420" w:firstLineChars="200"/>
    </w:pPr>
  </w:style>
  <w:style w:type="paragraph" w:customStyle="1" w:styleId="27">
    <w:name w:val="样式4"/>
    <w:basedOn w:val="1"/>
    <w:qFormat/>
    <w:uiPriority w:val="0"/>
    <w:pPr>
      <w:numPr>
        <w:ilvl w:val="3"/>
        <w:numId w:val="1"/>
      </w:numPr>
    </w:pPr>
  </w:style>
  <w:style w:type="paragraph" w:customStyle="1" w:styleId="28">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2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0">
    <w:name w:val="列出段落11"/>
    <w:basedOn w:val="1"/>
    <w:qFormat/>
    <w:uiPriority w:val="99"/>
    <w:pPr>
      <w:ind w:firstLine="420" w:firstLineChars="200"/>
    </w:pPr>
  </w:style>
  <w:style w:type="paragraph" w:customStyle="1" w:styleId="31">
    <w:name w:val="样式 小四 段前: 5 磅 段后: 5 磅 首行缩进:  2 字符"/>
    <w:basedOn w:val="1"/>
    <w:qFormat/>
    <w:uiPriority w:val="0"/>
    <w:pPr>
      <w:spacing w:line="400" w:lineRule="exact"/>
    </w:pPr>
    <w:rPr>
      <w:rFonts w:ascii="宋体" w:hAnsi="宋体"/>
      <w:sz w:val="24"/>
    </w:rPr>
  </w:style>
  <w:style w:type="character" w:customStyle="1" w:styleId="32">
    <w:name w:val="font21"/>
    <w:basedOn w:val="20"/>
    <w:qFormat/>
    <w:uiPriority w:val="0"/>
    <w:rPr>
      <w:rFonts w:hint="default" w:ascii="Times New Roman" w:hAnsi="Times New Roman" w:cs="Times New Roman"/>
      <w:color w:val="000000"/>
      <w:sz w:val="24"/>
      <w:szCs w:val="24"/>
      <w:u w:val="none"/>
    </w:rPr>
  </w:style>
  <w:style w:type="character" w:customStyle="1" w:styleId="33">
    <w:name w:val="font11"/>
    <w:basedOn w:val="20"/>
    <w:qFormat/>
    <w:uiPriority w:val="0"/>
    <w:rPr>
      <w:rFonts w:hint="eastAsia" w:ascii="宋体" w:hAnsi="宋体" w:eastAsia="宋体" w:cs="宋体"/>
      <w:color w:val="000000"/>
      <w:sz w:val="24"/>
      <w:szCs w:val="24"/>
      <w:u w:val="none"/>
    </w:rPr>
  </w:style>
  <w:style w:type="character" w:customStyle="1" w:styleId="34">
    <w:name w:val="font01"/>
    <w:basedOn w:val="20"/>
    <w:qFormat/>
    <w:uiPriority w:val="0"/>
    <w:rPr>
      <w:rFonts w:ascii="Arial" w:hAnsi="Arial" w:cs="Arial"/>
      <w:color w:val="000000"/>
      <w:sz w:val="24"/>
      <w:szCs w:val="24"/>
      <w:u w:val="none"/>
    </w:rPr>
  </w:style>
  <w:style w:type="paragraph" w:styleId="35">
    <w:name w:val="List Paragraph"/>
    <w:basedOn w:val="1"/>
    <w:qFormat/>
    <w:uiPriority w:val="1"/>
    <w:pPr>
      <w:ind w:left="673" w:firstLine="420"/>
    </w:pPr>
  </w:style>
  <w:style w:type="paragraph" w:customStyle="1" w:styleId="3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批注框文本 字符"/>
    <w:basedOn w:val="20"/>
    <w:link w:val="12"/>
    <w:qFormat/>
    <w:uiPriority w:val="0"/>
    <w:rPr>
      <w:kern w:val="2"/>
      <w:sz w:val="18"/>
      <w:szCs w:val="18"/>
    </w:rPr>
  </w:style>
  <w:style w:type="character" w:customStyle="1" w:styleId="38">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39">
    <w:name w:val="Table Paragraph"/>
    <w:basedOn w:val="1"/>
    <w:qFormat/>
    <w:uiPriority w:val="1"/>
  </w:style>
  <w:style w:type="table" w:customStyle="1" w:styleId="40">
    <w:name w:val="Table Normal"/>
    <w:semiHidden/>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9"/>
    <customShpInfo spid="_x0000_s1033"/>
    <customShpInfo spid="_x0000_s1028"/>
    <customShpInfo spid="_x0000_s1030"/>
    <customShpInfo spid="_x0000_s1031"/>
    <customShpInfo spid="_x0000_s103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7A11DE-2F0D-4E6C-90E2-A83C98706F9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68</Pages>
  <Words>7570</Words>
  <Characters>43155</Characters>
  <Lines>359</Lines>
  <Paragraphs>101</Paragraphs>
  <TotalTime>11</TotalTime>
  <ScaleCrop>false</ScaleCrop>
  <LinksUpToDate>false</LinksUpToDate>
  <CharactersWithSpaces>50624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宝诚代理</cp:lastModifiedBy>
  <cp:lastPrinted>2019-10-16T03:40:00Z</cp:lastPrinted>
  <dcterms:modified xsi:type="dcterms:W3CDTF">2021-03-05T06:16:22Z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