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宋体" w:hAnsi="宋体" w:cs="华文中宋"/>
          <w:b/>
          <w:bCs/>
          <w:sz w:val="72"/>
          <w:szCs w:val="72"/>
        </w:rPr>
      </w:pPr>
      <w:r>
        <w:rPr>
          <w:rFonts w:hint="eastAsia" w:ascii="黑体" w:hAnsi="黑体" w:eastAsia="黑体"/>
          <w:sz w:val="24"/>
        </w:rPr>
        <w:drawing>
          <wp:anchor distT="0" distB="0" distL="114300" distR="114300" simplePos="0" relativeHeight="251659264" behindDoc="0" locked="0" layoutInCell="1" allowOverlap="1">
            <wp:simplePos x="0" y="0"/>
            <wp:positionH relativeFrom="column">
              <wp:posOffset>20320</wp:posOffset>
            </wp:positionH>
            <wp:positionV relativeFrom="paragraph">
              <wp:posOffset>-248920</wp:posOffset>
            </wp:positionV>
            <wp:extent cx="563880" cy="563880"/>
            <wp:effectExtent l="0" t="0" r="7620" b="7620"/>
            <wp:wrapNone/>
            <wp:docPr id="1" name="图片 3" descr="]AG)UZM~ZR38RTGTRZ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AG)UZM~ZR38RTGTRZ6@0(3"/>
                    <pic:cNvPicPr>
                      <a:picLocks noChangeAspect="1"/>
                    </pic:cNvPicPr>
                  </pic:nvPicPr>
                  <pic:blipFill>
                    <a:blip r:embed="rId8" cstate="print"/>
                    <a:stretch>
                      <a:fillRect/>
                    </a:stretch>
                  </pic:blipFill>
                  <pic:spPr>
                    <a:xfrm>
                      <a:off x="0" y="0"/>
                      <a:ext cx="563880" cy="563880"/>
                    </a:xfrm>
                    <a:prstGeom prst="rect">
                      <a:avLst/>
                    </a:prstGeom>
                    <a:noFill/>
                    <a:ln w="9525">
                      <a:noFill/>
                    </a:ln>
                  </pic:spPr>
                </pic:pic>
              </a:graphicData>
            </a:graphic>
          </wp:anchor>
        </w:drawing>
      </w:r>
    </w:p>
    <w:p>
      <w:pPr>
        <w:snapToGrid w:val="0"/>
        <w:jc w:val="center"/>
        <w:rPr>
          <w:rFonts w:ascii="宋体" w:hAnsi="宋体" w:cs="华文中宋"/>
          <w:b/>
          <w:bCs/>
          <w:color w:val="FF0000"/>
          <w:sz w:val="72"/>
          <w:szCs w:val="72"/>
        </w:rPr>
      </w:pPr>
    </w:p>
    <w:p>
      <w:pPr>
        <w:pStyle w:val="3"/>
      </w:pPr>
    </w:p>
    <w:p>
      <w:pPr>
        <w:snapToGrid w:val="0"/>
        <w:jc w:val="center"/>
        <w:rPr>
          <w:rFonts w:ascii="宋体" w:hAnsi="宋体" w:cs="华文中宋"/>
          <w:b/>
          <w:bCs/>
          <w:sz w:val="72"/>
          <w:szCs w:val="72"/>
        </w:rPr>
      </w:pPr>
    </w:p>
    <w:p>
      <w:pPr>
        <w:snapToGrid w:val="0"/>
        <w:jc w:val="center"/>
        <w:rPr>
          <w:rFonts w:ascii="宋体" w:hAnsi="宋体" w:cs="华文中宋"/>
          <w:b/>
          <w:bCs/>
          <w:sz w:val="72"/>
          <w:szCs w:val="72"/>
        </w:rPr>
      </w:pPr>
      <w:r>
        <w:rPr>
          <w:rFonts w:hint="eastAsia" w:ascii="宋体" w:hAnsi="宋体" w:cs="华文中宋"/>
          <w:b/>
          <w:bCs/>
          <w:sz w:val="72"/>
          <w:szCs w:val="72"/>
        </w:rPr>
        <w:t>服务类</w:t>
      </w:r>
    </w:p>
    <w:p>
      <w:pPr>
        <w:snapToGrid w:val="0"/>
        <w:jc w:val="center"/>
        <w:rPr>
          <w:rFonts w:ascii="宋体" w:hAnsi="宋体" w:cs="华文中宋"/>
          <w:b/>
          <w:bCs/>
          <w:sz w:val="72"/>
          <w:szCs w:val="72"/>
        </w:rPr>
      </w:pPr>
      <w:r>
        <w:rPr>
          <w:rFonts w:hint="eastAsia" w:ascii="宋体" w:hAnsi="宋体" w:cs="华文中宋"/>
          <w:b/>
          <w:bCs/>
          <w:sz w:val="72"/>
          <w:szCs w:val="72"/>
        </w:rPr>
        <w:t>公开招标文件</w:t>
      </w:r>
    </w:p>
    <w:p>
      <w:pPr>
        <w:spacing w:line="360" w:lineRule="auto"/>
        <w:jc w:val="center"/>
        <w:rPr>
          <w:rFonts w:ascii="宋体" w:hAnsi="宋体"/>
          <w:b/>
          <w:bCs/>
          <w:sz w:val="28"/>
          <w:szCs w:val="28"/>
        </w:rPr>
      </w:pPr>
    </w:p>
    <w:p>
      <w:pPr>
        <w:spacing w:line="48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pStyle w:val="6"/>
        <w:spacing w:line="360" w:lineRule="auto"/>
        <w:ind w:firstLine="745" w:firstLineChars="232"/>
        <w:jc w:val="left"/>
        <w:rPr>
          <w:rFonts w:hint="eastAsia" w:ascii="宋体" w:hAnsi="宋体" w:eastAsia="宋体"/>
          <w:b/>
          <w:sz w:val="32"/>
          <w:lang w:eastAsia="zh-CN"/>
        </w:rPr>
      </w:pPr>
      <w:r>
        <w:rPr>
          <w:rFonts w:hint="eastAsia" w:ascii="宋体" w:hAnsi="宋体"/>
          <w:b/>
          <w:sz w:val="32"/>
        </w:rPr>
        <w:t>项目编号：</w:t>
      </w:r>
      <w:r>
        <w:rPr>
          <w:rFonts w:hint="eastAsia" w:ascii="宋体" w:hAnsi="宋体"/>
          <w:b/>
          <w:sz w:val="32"/>
          <w:lang w:eastAsia="zh-CN"/>
        </w:rPr>
        <w:t>GZBC21FG06002-2</w:t>
      </w:r>
    </w:p>
    <w:p>
      <w:pPr>
        <w:pStyle w:val="6"/>
        <w:spacing w:line="360" w:lineRule="auto"/>
        <w:ind w:firstLine="745" w:firstLineChars="232"/>
        <w:jc w:val="left"/>
        <w:rPr>
          <w:rFonts w:hint="eastAsia" w:ascii="宋体" w:hAnsi="宋体" w:eastAsia="宋体"/>
          <w:b/>
          <w:sz w:val="32"/>
          <w:lang w:eastAsia="zh-CN"/>
        </w:rPr>
      </w:pPr>
      <w:r>
        <w:rPr>
          <w:rFonts w:hint="eastAsia" w:ascii="宋体" w:hAnsi="宋体"/>
          <w:b/>
          <w:sz w:val="32"/>
        </w:rPr>
        <w:t>项目名称：</w:t>
      </w:r>
      <w:r>
        <w:rPr>
          <w:rFonts w:hint="eastAsia" w:ascii="宋体" w:hAnsi="宋体"/>
          <w:b/>
          <w:sz w:val="32"/>
          <w:lang w:eastAsia="zh-CN"/>
        </w:rPr>
        <w:t>广州市番禺区慈善会保险救助保障服务项目（重招）</w:t>
      </w:r>
    </w:p>
    <w:p>
      <w:pPr>
        <w:pStyle w:val="6"/>
        <w:spacing w:line="360" w:lineRule="auto"/>
        <w:rPr>
          <w:rFonts w:ascii="宋体" w:hAnsi="宋体"/>
          <w:b/>
          <w:sz w:val="32"/>
        </w:rPr>
      </w:pPr>
    </w:p>
    <w:p>
      <w:pPr>
        <w:spacing w:line="360" w:lineRule="auto"/>
        <w:rPr>
          <w:rFonts w:ascii="宋体" w:hAnsi="宋体"/>
          <w:sz w:val="30"/>
        </w:rPr>
      </w:pPr>
    </w:p>
    <w:p>
      <w:pPr>
        <w:snapToGrid w:val="0"/>
        <w:spacing w:line="360" w:lineRule="auto"/>
        <w:jc w:val="center"/>
        <w:rPr>
          <w:rFonts w:ascii="宋体" w:hAnsi="宋体" w:cs="华文中宋"/>
          <w:sz w:val="30"/>
          <w:szCs w:val="30"/>
        </w:rPr>
      </w:pPr>
      <w:r>
        <w:rPr>
          <w:rFonts w:hint="eastAsia" w:ascii="宋体" w:hAnsi="宋体" w:cs="华文中宋"/>
          <w:sz w:val="30"/>
          <w:szCs w:val="30"/>
        </w:rPr>
        <w:t>广州宝诚招标代理咨询有限公司</w:t>
      </w:r>
    </w:p>
    <w:p>
      <w:pPr>
        <w:jc w:val="center"/>
        <w:rPr>
          <w:rFonts w:ascii="宋体" w:hAnsi="宋体" w:cs="华文中宋"/>
          <w:color w:val="auto"/>
          <w:sz w:val="30"/>
          <w:szCs w:val="30"/>
        </w:rPr>
      </w:pPr>
      <w:r>
        <w:rPr>
          <w:rFonts w:hint="eastAsia" w:ascii="宋体" w:hAnsi="宋体" w:cs="华文中宋"/>
          <w:color w:val="auto"/>
          <w:sz w:val="30"/>
          <w:szCs w:val="30"/>
        </w:rPr>
        <w:t>发布日期：2021</w:t>
      </w:r>
      <w:r>
        <w:rPr>
          <w:rFonts w:ascii="宋体" w:hAnsi="宋体" w:cs="华文中宋"/>
          <w:color w:val="auto"/>
          <w:sz w:val="30"/>
          <w:szCs w:val="30"/>
        </w:rPr>
        <w:t>年</w:t>
      </w:r>
      <w:r>
        <w:rPr>
          <w:rFonts w:hint="eastAsia" w:ascii="宋体" w:hAnsi="宋体" w:cs="华文中宋"/>
          <w:color w:val="auto"/>
          <w:sz w:val="30"/>
          <w:szCs w:val="30"/>
          <w:lang w:val="en-US" w:eastAsia="zh-CN"/>
        </w:rPr>
        <w:t>7</w:t>
      </w:r>
      <w:r>
        <w:rPr>
          <w:rFonts w:ascii="宋体" w:hAnsi="宋体" w:cs="华文中宋"/>
          <w:color w:val="auto"/>
          <w:sz w:val="30"/>
          <w:szCs w:val="30"/>
        </w:rPr>
        <w:t>月</w:t>
      </w:r>
      <w:r>
        <w:rPr>
          <w:rFonts w:hint="eastAsia" w:ascii="宋体" w:hAnsi="宋体" w:cs="华文中宋"/>
          <w:color w:val="auto"/>
          <w:sz w:val="30"/>
          <w:szCs w:val="30"/>
          <w:lang w:val="en-US" w:eastAsia="zh-CN"/>
        </w:rPr>
        <w:t>15</w:t>
      </w:r>
      <w:r>
        <w:rPr>
          <w:rFonts w:hint="eastAsia" w:ascii="宋体" w:hAnsi="宋体" w:cs="华文中宋"/>
          <w:color w:val="auto"/>
          <w:sz w:val="30"/>
          <w:szCs w:val="30"/>
        </w:rPr>
        <w:t>日</w:t>
      </w:r>
    </w:p>
    <w:p>
      <w:pPr>
        <w:autoSpaceDE w:val="0"/>
        <w:autoSpaceDN w:val="0"/>
        <w:adjustRightInd w:val="0"/>
        <w:snapToGrid w:val="0"/>
        <w:spacing w:beforeLines="50" w:afterLines="50" w:line="360" w:lineRule="auto"/>
        <w:jc w:val="center"/>
        <w:rPr>
          <w:rFonts w:ascii="宋体" w:hAnsi="宋体"/>
          <w:b/>
          <w:sz w:val="44"/>
          <w:szCs w:val="44"/>
        </w:rPr>
      </w:pPr>
      <w:r>
        <w:rPr>
          <w:rFonts w:hint="eastAsia" w:ascii="宋体" w:hAnsi="宋体"/>
          <w:b/>
          <w:sz w:val="44"/>
          <w:szCs w:val="44"/>
        </w:rPr>
        <w:br w:type="page"/>
      </w:r>
    </w:p>
    <w:p>
      <w:pPr>
        <w:autoSpaceDE w:val="0"/>
        <w:autoSpaceDN w:val="0"/>
        <w:adjustRightInd w:val="0"/>
        <w:snapToGrid w:val="0"/>
        <w:spacing w:beforeLines="50" w:afterLines="50" w:line="360" w:lineRule="auto"/>
        <w:jc w:val="center"/>
        <w:rPr>
          <w:rFonts w:ascii="宋体" w:hAnsi="宋体"/>
          <w:b/>
          <w:sz w:val="44"/>
          <w:szCs w:val="44"/>
        </w:rPr>
      </w:pPr>
      <w:r>
        <w:rPr>
          <w:rFonts w:hint="eastAsia" w:ascii="宋体" w:hAnsi="宋体"/>
          <w:b/>
          <w:sz w:val="44"/>
          <w:szCs w:val="44"/>
        </w:rPr>
        <w:t>温馨提示！！！</w:t>
      </w:r>
    </w:p>
    <w:p>
      <w:pPr>
        <w:tabs>
          <w:tab w:val="left" w:pos="0"/>
        </w:tabs>
        <w:adjustRightInd w:val="0"/>
        <w:snapToGrid w:val="0"/>
        <w:spacing w:line="360" w:lineRule="auto"/>
        <w:jc w:val="center"/>
        <w:rPr>
          <w:rFonts w:ascii="宋体" w:hAnsi="宋体"/>
          <w:b/>
          <w:szCs w:val="21"/>
        </w:rPr>
      </w:pPr>
      <w:r>
        <w:rPr>
          <w:rFonts w:hint="eastAsia" w:ascii="宋体" w:hAnsi="宋体"/>
          <w:b/>
          <w:szCs w:val="21"/>
        </w:rPr>
        <w:t>（本提示内容非招标文件的组成部分，仅为善意提醒。如有不一致的地方，以招标文件为准）</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如无另行说明，提交投标文件时间为投标截止时间</w:t>
      </w:r>
      <w:r>
        <w:rPr>
          <w:rFonts w:hint="eastAsia" w:ascii="宋体" w:hAnsi="宋体"/>
          <w:b/>
          <w:szCs w:val="21"/>
          <w:u w:val="single"/>
        </w:rPr>
        <w:t>前30分钟</w:t>
      </w:r>
      <w:r>
        <w:rPr>
          <w:rFonts w:hint="eastAsia" w:ascii="宋体" w:hAnsi="宋体"/>
          <w:szCs w:val="21"/>
        </w:rPr>
        <w:t>内。</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为避免因迟到而失去投标资格，请</w:t>
      </w:r>
      <w:r>
        <w:rPr>
          <w:rFonts w:hint="eastAsia" w:ascii="宋体" w:hAnsi="宋体"/>
          <w:b/>
          <w:szCs w:val="21"/>
          <w:u w:val="single"/>
        </w:rPr>
        <w:t>适当提前到达</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投标文件应按顺序</w:t>
      </w:r>
      <w:r>
        <w:rPr>
          <w:rFonts w:hint="eastAsia" w:ascii="宋体" w:hAnsi="宋体"/>
          <w:b/>
          <w:szCs w:val="21"/>
          <w:u w:val="single"/>
        </w:rPr>
        <w:t>编制页码</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请仔细检查投标文件是否已按招标文件要求</w:t>
      </w:r>
      <w:r>
        <w:rPr>
          <w:rFonts w:hint="eastAsia" w:ascii="宋体" w:hAnsi="宋体"/>
          <w:b/>
          <w:szCs w:val="21"/>
          <w:u w:val="single"/>
        </w:rPr>
        <w:t>盖公章、签名、签署日期</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rPr>
      </w:pPr>
      <w:r>
        <w:rPr>
          <w:rFonts w:hint="eastAsia" w:ascii="宋体" w:hAnsi="宋体"/>
          <w:szCs w:val="21"/>
        </w:rPr>
        <w:t>请正确填写《开标一览表（报价表）》。多包组项目请仔细检查包组号，包组号与包组采购内</w:t>
      </w:r>
      <w:r>
        <w:rPr>
          <w:rFonts w:hint="eastAsia" w:ascii="宋体" w:hAnsi="宋体"/>
        </w:rPr>
        <w:t>容必须对应。</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如投标产品属于许可证管理范围内的，须提交相应的许可证。</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投标人为中型、小型、微型企业的，请提交《中小企业声明函》。</w:t>
      </w:r>
    </w:p>
    <w:p>
      <w:pPr>
        <w:numPr>
          <w:ilvl w:val="0"/>
          <w:numId w:val="2"/>
        </w:numPr>
        <w:tabs>
          <w:tab w:val="left" w:pos="709"/>
        </w:tabs>
        <w:adjustRightInd w:val="0"/>
        <w:snapToGrid w:val="0"/>
        <w:spacing w:line="360" w:lineRule="auto"/>
        <w:ind w:left="700" w:hanging="700"/>
        <w:rPr>
          <w:rFonts w:ascii="宋体" w:hAnsi="宋体"/>
          <w:b/>
          <w:szCs w:val="21"/>
        </w:rPr>
      </w:pPr>
      <w:r>
        <w:rPr>
          <w:rFonts w:hint="eastAsia" w:ascii="宋体" w:hAnsi="宋体"/>
          <w:szCs w:val="21"/>
        </w:rPr>
        <w:t>投标人如需对项目提出询问或质疑，应在规定时间内按招标文件附件中的询问函和质疑函的格式提交。</w:t>
      </w:r>
    </w:p>
    <w:p>
      <w:pPr>
        <w:tabs>
          <w:tab w:val="left" w:pos="709"/>
        </w:tabs>
        <w:adjustRightInd w:val="0"/>
        <w:snapToGrid w:val="0"/>
        <w:spacing w:line="360" w:lineRule="auto"/>
        <w:ind w:left="632" w:hanging="632" w:hangingChars="300"/>
        <w:rPr>
          <w:rFonts w:ascii="宋体"/>
          <w:b/>
          <w:szCs w:val="21"/>
        </w:rPr>
      </w:pPr>
      <w:r>
        <w:rPr>
          <w:rFonts w:hint="eastAsia" w:ascii="宋体" w:hAnsi="宋体"/>
          <w:b/>
          <w:szCs w:val="21"/>
        </w:rPr>
        <w:t>九、招标代理服务费发票类型开具须知：</w:t>
      </w:r>
      <w:r>
        <w:rPr>
          <w:rFonts w:hint="eastAsia" w:ascii="宋体" w:hAnsi="宋体"/>
          <w:szCs w:val="21"/>
        </w:rPr>
        <w:t>投标时，投标人必须按《开票资料说明函》确认“缴纳招标代理服务费”开具的发票类型，并提供开票资料和一般纳税人资格认定税务通知书或其他可证明具有该项资格证明文件复印件。</w:t>
      </w:r>
    </w:p>
    <w:p>
      <w:pPr>
        <w:tabs>
          <w:tab w:val="left" w:pos="709"/>
        </w:tabs>
        <w:adjustRightInd w:val="0"/>
        <w:snapToGrid w:val="0"/>
        <w:spacing w:line="360" w:lineRule="auto"/>
        <w:rPr>
          <w:rFonts w:ascii="宋体" w:hAnsi="宋体"/>
          <w:b/>
          <w:sz w:val="44"/>
          <w:szCs w:val="44"/>
        </w:rPr>
      </w:pPr>
    </w:p>
    <w:p>
      <w:pPr>
        <w:tabs>
          <w:tab w:val="left" w:pos="709"/>
        </w:tabs>
        <w:adjustRightInd w:val="0"/>
        <w:snapToGrid w:val="0"/>
        <w:spacing w:line="360" w:lineRule="auto"/>
        <w:jc w:val="center"/>
        <w:rPr>
          <w:rFonts w:ascii="宋体" w:hAnsi="宋体"/>
          <w:b/>
          <w:sz w:val="44"/>
          <w:szCs w:val="44"/>
        </w:rPr>
      </w:pPr>
      <w:r>
        <w:rPr>
          <w:rFonts w:hint="eastAsia" w:ascii="宋体" w:hAnsi="宋体"/>
          <w:b/>
          <w:sz w:val="44"/>
          <w:szCs w:val="44"/>
        </w:rPr>
        <w:br w:type="page"/>
      </w:r>
    </w:p>
    <w:p>
      <w:pPr>
        <w:tabs>
          <w:tab w:val="left" w:pos="709"/>
        </w:tabs>
        <w:adjustRightInd w:val="0"/>
        <w:snapToGrid w:val="0"/>
        <w:spacing w:line="360" w:lineRule="auto"/>
        <w:jc w:val="center"/>
        <w:rPr>
          <w:rFonts w:ascii="宋体" w:hAnsi="宋体"/>
          <w:b/>
          <w:sz w:val="44"/>
          <w:szCs w:val="44"/>
        </w:rPr>
      </w:pPr>
      <w:r>
        <w:rPr>
          <w:rFonts w:hint="eastAsia" w:ascii="宋体" w:hAnsi="宋体"/>
          <w:b/>
          <w:sz w:val="44"/>
          <w:szCs w:val="44"/>
        </w:rPr>
        <w:t>目 录</w:t>
      </w:r>
    </w:p>
    <w:p>
      <w:pPr>
        <w:pStyle w:val="14"/>
        <w:tabs>
          <w:tab w:val="right" w:leader="dot" w:pos="9746"/>
          <w:tab w:val="clear" w:pos="9060"/>
        </w:tabs>
      </w:pPr>
      <w:r>
        <w:rPr>
          <w:b w:val="0"/>
          <w:sz w:val="32"/>
          <w:szCs w:val="32"/>
        </w:rPr>
        <w:fldChar w:fldCharType="begin"/>
      </w:r>
      <w:r>
        <w:rPr>
          <w:rStyle w:val="23"/>
          <w:b w:val="0"/>
          <w:color w:val="auto"/>
          <w:sz w:val="32"/>
          <w:szCs w:val="32"/>
        </w:rPr>
        <w:instrText xml:space="preserve"> TOC \o "1-1" \h \z \u </w:instrText>
      </w:r>
      <w:r>
        <w:rPr>
          <w:b w:val="0"/>
          <w:sz w:val="32"/>
          <w:szCs w:val="32"/>
        </w:rPr>
        <w:fldChar w:fldCharType="separate"/>
      </w:r>
      <w:r>
        <w:fldChar w:fldCharType="begin"/>
      </w:r>
      <w:r>
        <w:instrText xml:space="preserve"> HYPERLINK \l "_Toc4954" </w:instrText>
      </w:r>
      <w:r>
        <w:fldChar w:fldCharType="separate"/>
      </w:r>
      <w:r>
        <w:rPr>
          <w:rFonts w:hint="eastAsia"/>
          <w:bCs/>
        </w:rPr>
        <w:t>第一章  投标邀请函</w:t>
      </w:r>
      <w:r>
        <w:tab/>
      </w:r>
      <w:r>
        <w:fldChar w:fldCharType="begin"/>
      </w:r>
      <w:r>
        <w:instrText xml:space="preserve"> PAGEREF _Toc4954 </w:instrText>
      </w:r>
      <w:r>
        <w:fldChar w:fldCharType="separate"/>
      </w:r>
      <w:r>
        <w:t>4</w:t>
      </w:r>
      <w:r>
        <w:fldChar w:fldCharType="end"/>
      </w:r>
      <w:r>
        <w:fldChar w:fldCharType="end"/>
      </w:r>
    </w:p>
    <w:p>
      <w:pPr>
        <w:pStyle w:val="14"/>
        <w:tabs>
          <w:tab w:val="right" w:leader="dot" w:pos="9746"/>
          <w:tab w:val="clear" w:pos="9060"/>
        </w:tabs>
      </w:pPr>
      <w:r>
        <w:fldChar w:fldCharType="begin"/>
      </w:r>
      <w:r>
        <w:instrText xml:space="preserve"> HYPERLINK \l "_Toc3939" </w:instrText>
      </w:r>
      <w:r>
        <w:fldChar w:fldCharType="separate"/>
      </w:r>
      <w:r>
        <w:rPr>
          <w:bCs/>
        </w:rPr>
        <w:t>第</w:t>
      </w:r>
      <w:r>
        <w:rPr>
          <w:rFonts w:hint="eastAsia"/>
          <w:bCs/>
        </w:rPr>
        <w:t>二</w:t>
      </w:r>
      <w:r>
        <w:rPr>
          <w:bCs/>
        </w:rPr>
        <w:t>章  投标资料表</w:t>
      </w:r>
      <w:r>
        <w:tab/>
      </w:r>
      <w:r>
        <w:fldChar w:fldCharType="begin"/>
      </w:r>
      <w:r>
        <w:instrText xml:space="preserve"> PAGEREF _Toc3939 </w:instrText>
      </w:r>
      <w:r>
        <w:fldChar w:fldCharType="separate"/>
      </w:r>
      <w:r>
        <w:t>7</w:t>
      </w:r>
      <w:r>
        <w:fldChar w:fldCharType="end"/>
      </w:r>
      <w:r>
        <w:fldChar w:fldCharType="end"/>
      </w:r>
    </w:p>
    <w:p>
      <w:pPr>
        <w:pStyle w:val="14"/>
        <w:tabs>
          <w:tab w:val="right" w:leader="dot" w:pos="9746"/>
          <w:tab w:val="clear" w:pos="9060"/>
        </w:tabs>
      </w:pPr>
      <w:r>
        <w:fldChar w:fldCharType="begin"/>
      </w:r>
      <w:r>
        <w:instrText xml:space="preserve"> HYPERLINK \l "_Toc16193" </w:instrText>
      </w:r>
      <w:r>
        <w:fldChar w:fldCharType="separate"/>
      </w:r>
      <w:r>
        <w:rPr>
          <w:rFonts w:hint="eastAsia"/>
          <w:bCs/>
        </w:rPr>
        <w:t>第三章  评分体系与标准</w:t>
      </w:r>
      <w:r>
        <w:tab/>
      </w:r>
      <w:r>
        <w:fldChar w:fldCharType="begin"/>
      </w:r>
      <w:r>
        <w:instrText xml:space="preserve"> PAGEREF _Toc16193 </w:instrText>
      </w:r>
      <w:r>
        <w:fldChar w:fldCharType="separate"/>
      </w:r>
      <w:r>
        <w:t>9</w:t>
      </w:r>
      <w:r>
        <w:fldChar w:fldCharType="end"/>
      </w:r>
      <w:r>
        <w:fldChar w:fldCharType="end"/>
      </w:r>
    </w:p>
    <w:p>
      <w:pPr>
        <w:pStyle w:val="14"/>
        <w:tabs>
          <w:tab w:val="right" w:leader="dot" w:pos="9746"/>
          <w:tab w:val="clear" w:pos="9060"/>
        </w:tabs>
      </w:pPr>
      <w:r>
        <w:fldChar w:fldCharType="begin"/>
      </w:r>
      <w:r>
        <w:instrText xml:space="preserve"> HYPERLINK \l "_Toc16012" </w:instrText>
      </w:r>
      <w:r>
        <w:fldChar w:fldCharType="separate"/>
      </w:r>
      <w:r>
        <w:rPr>
          <w:rFonts w:hint="eastAsia"/>
          <w:bCs/>
        </w:rPr>
        <w:t>第四章  用户需求书</w:t>
      </w:r>
      <w:r>
        <w:tab/>
      </w:r>
      <w:r>
        <w:fldChar w:fldCharType="begin"/>
      </w:r>
      <w:r>
        <w:instrText xml:space="preserve"> PAGEREF _Toc16012 </w:instrText>
      </w:r>
      <w:r>
        <w:fldChar w:fldCharType="separate"/>
      </w:r>
      <w:r>
        <w:t>14</w:t>
      </w:r>
      <w:r>
        <w:fldChar w:fldCharType="end"/>
      </w:r>
      <w:r>
        <w:fldChar w:fldCharType="end"/>
      </w:r>
    </w:p>
    <w:p>
      <w:pPr>
        <w:pStyle w:val="14"/>
        <w:tabs>
          <w:tab w:val="right" w:leader="dot" w:pos="9746"/>
          <w:tab w:val="clear" w:pos="9060"/>
        </w:tabs>
      </w:pPr>
      <w:r>
        <w:fldChar w:fldCharType="begin"/>
      </w:r>
      <w:r>
        <w:instrText xml:space="preserve"> HYPERLINK \l "_Toc12788" </w:instrText>
      </w:r>
      <w:r>
        <w:fldChar w:fldCharType="separate"/>
      </w:r>
      <w:r>
        <w:rPr>
          <w:rFonts w:hint="eastAsia"/>
          <w:bCs/>
        </w:rPr>
        <w:t>第五章  合同通用条款</w:t>
      </w:r>
      <w:r>
        <w:tab/>
      </w:r>
      <w:r>
        <w:fldChar w:fldCharType="begin"/>
      </w:r>
      <w:r>
        <w:instrText xml:space="preserve"> PAGEREF _Toc12788 </w:instrText>
      </w:r>
      <w:r>
        <w:fldChar w:fldCharType="separate"/>
      </w:r>
      <w:r>
        <w:t>22</w:t>
      </w:r>
      <w:r>
        <w:fldChar w:fldCharType="end"/>
      </w:r>
      <w:r>
        <w:fldChar w:fldCharType="end"/>
      </w:r>
    </w:p>
    <w:p>
      <w:pPr>
        <w:pStyle w:val="14"/>
        <w:tabs>
          <w:tab w:val="right" w:leader="dot" w:pos="9746"/>
          <w:tab w:val="clear" w:pos="9060"/>
        </w:tabs>
      </w:pPr>
      <w:r>
        <w:fldChar w:fldCharType="begin"/>
      </w:r>
      <w:r>
        <w:instrText xml:space="preserve"> HYPERLINK \l "_Toc30288" </w:instrText>
      </w:r>
      <w:r>
        <w:fldChar w:fldCharType="separate"/>
      </w:r>
      <w:r>
        <w:rPr>
          <w:rFonts w:hint="eastAsia"/>
          <w:bCs/>
        </w:rPr>
        <w:t>第六章  投标文件格式</w:t>
      </w:r>
      <w:r>
        <w:tab/>
      </w:r>
      <w:r>
        <w:fldChar w:fldCharType="begin"/>
      </w:r>
      <w:r>
        <w:instrText xml:space="preserve"> PAGEREF _Toc30288 </w:instrText>
      </w:r>
      <w:r>
        <w:fldChar w:fldCharType="separate"/>
      </w:r>
      <w:r>
        <w:t>26</w:t>
      </w:r>
      <w:r>
        <w:fldChar w:fldCharType="end"/>
      </w:r>
      <w:r>
        <w:fldChar w:fldCharType="end"/>
      </w:r>
    </w:p>
    <w:p>
      <w:pPr>
        <w:pStyle w:val="14"/>
        <w:tabs>
          <w:tab w:val="right" w:leader="dot" w:pos="9746"/>
          <w:tab w:val="clear" w:pos="9060"/>
        </w:tabs>
      </w:pPr>
      <w:r>
        <w:fldChar w:fldCharType="begin"/>
      </w:r>
      <w:r>
        <w:instrText xml:space="preserve"> HYPERLINK \l "_Toc8183" </w:instrText>
      </w:r>
      <w:r>
        <w:fldChar w:fldCharType="separate"/>
      </w:r>
      <w:r>
        <w:rPr>
          <w:rFonts w:hint="eastAsia"/>
          <w:bCs/>
        </w:rPr>
        <w:t>第七章  投标人须知（通用条款）</w:t>
      </w:r>
      <w:r>
        <w:tab/>
      </w:r>
      <w:r>
        <w:fldChar w:fldCharType="begin"/>
      </w:r>
      <w:r>
        <w:instrText xml:space="preserve"> PAGEREF _Toc8183 </w:instrText>
      </w:r>
      <w:r>
        <w:fldChar w:fldCharType="separate"/>
      </w:r>
      <w:r>
        <w:t>41</w:t>
      </w:r>
      <w:r>
        <w:fldChar w:fldCharType="end"/>
      </w:r>
      <w:r>
        <w:fldChar w:fldCharType="end"/>
      </w:r>
    </w:p>
    <w:p>
      <w:pPr>
        <w:ind w:left="2940" w:leftChars="1400"/>
        <w:jc w:val="left"/>
        <w:rPr>
          <w:rFonts w:cs="Calibri"/>
          <w:sz w:val="32"/>
          <w:szCs w:val="32"/>
          <w:shd w:val="clear" w:color="FFFFFF" w:fill="D9D9D9"/>
        </w:rPr>
      </w:pPr>
      <w:r>
        <w:rPr>
          <w:rFonts w:cs="Calibri"/>
          <w:szCs w:val="32"/>
        </w:rPr>
        <w:fldChar w:fldCharType="end"/>
      </w:r>
    </w:p>
    <w:p>
      <w:pPr>
        <w:rPr>
          <w:rFonts w:cs="Calibri"/>
          <w:sz w:val="32"/>
          <w:szCs w:val="32"/>
        </w:rPr>
      </w:pPr>
      <w:r>
        <w:rPr>
          <w:rFonts w:cs="Calibri"/>
          <w:sz w:val="32"/>
          <w:szCs w:val="32"/>
        </w:rPr>
        <w:br w:type="page"/>
      </w:r>
    </w:p>
    <w:p>
      <w:pPr>
        <w:pStyle w:val="14"/>
        <w:rPr>
          <w:sz w:val="24"/>
        </w:rPr>
      </w:pPr>
      <w:bookmarkStart w:id="0" w:name="_Toc463018928"/>
      <w:bookmarkStart w:id="1" w:name="_Toc480529433"/>
      <w:r>
        <w:rPr>
          <w:rFonts w:hint="eastAsia"/>
        </w:rPr>
        <w:t>（专用条款）</w:t>
      </w:r>
      <w:bookmarkEnd w:id="0"/>
      <w:bookmarkEnd w:id="1"/>
    </w:p>
    <w:p>
      <w:pPr>
        <w:adjustRightInd w:val="0"/>
        <w:snapToGrid w:val="0"/>
        <w:spacing w:beforeLines="50" w:afterLines="50"/>
        <w:jc w:val="center"/>
        <w:outlineLvl w:val="0"/>
        <w:rPr>
          <w:rFonts w:ascii="宋体" w:hAnsi="宋体"/>
          <w:b/>
          <w:bCs/>
          <w:sz w:val="30"/>
          <w:szCs w:val="30"/>
        </w:rPr>
      </w:pPr>
      <w:bookmarkStart w:id="2" w:name="_Toc480529434"/>
      <w:bookmarkStart w:id="3" w:name="_Toc4954"/>
      <w:bookmarkStart w:id="4" w:name="_Toc463018929"/>
      <w:r>
        <w:rPr>
          <w:rFonts w:hint="eastAsia" w:ascii="宋体" w:hAnsi="宋体"/>
          <w:b/>
          <w:bCs/>
          <w:sz w:val="28"/>
          <w:szCs w:val="28"/>
        </w:rPr>
        <w:t>第一章  投标邀请函</w:t>
      </w:r>
      <w:bookmarkEnd w:id="2"/>
      <w:bookmarkEnd w:id="3"/>
      <w:bookmarkEnd w:id="4"/>
    </w:p>
    <w:p>
      <w:pPr>
        <w:adjustRightInd w:val="0"/>
        <w:snapToGrid w:val="0"/>
        <w:spacing w:line="360" w:lineRule="auto"/>
        <w:ind w:firstLine="420" w:firstLineChars="200"/>
        <w:rPr>
          <w:rFonts w:ascii="宋体" w:hAnsi="宋体" w:cs="宋体"/>
          <w:bCs/>
          <w:szCs w:val="20"/>
        </w:rPr>
      </w:pPr>
      <w:r>
        <w:rPr>
          <w:rFonts w:hint="eastAsia" w:ascii="宋体" w:hAnsi="宋体"/>
          <w:bCs/>
          <w:szCs w:val="20"/>
        </w:rPr>
        <w:t>广州宝诚招标代理咨询有限公司（</w:t>
      </w:r>
      <w:r>
        <w:rPr>
          <w:rFonts w:ascii="宋体" w:hAnsi="宋体"/>
          <w:bCs/>
          <w:szCs w:val="20"/>
        </w:rPr>
        <w:t>以下简称</w:t>
      </w:r>
      <w:r>
        <w:rPr>
          <w:rFonts w:hint="eastAsia" w:ascii="宋体" w:hAnsi="宋体"/>
          <w:bCs/>
          <w:szCs w:val="20"/>
        </w:rPr>
        <w:t>‘</w:t>
      </w:r>
      <w:r>
        <w:rPr>
          <w:rFonts w:ascii="宋体" w:hAnsi="宋体"/>
          <w:bCs/>
          <w:szCs w:val="20"/>
        </w:rPr>
        <w:t>采购代理机构</w:t>
      </w:r>
      <w:r>
        <w:rPr>
          <w:rFonts w:hint="eastAsia" w:ascii="宋体" w:hAnsi="宋体"/>
          <w:bCs/>
          <w:szCs w:val="20"/>
        </w:rPr>
        <w:t>’）受</w:t>
      </w:r>
      <w:r>
        <w:rPr>
          <w:rFonts w:hint="eastAsia" w:ascii="宋体" w:hAnsi="宋体"/>
          <w:szCs w:val="21"/>
          <w:lang w:eastAsia="zh-CN"/>
        </w:rPr>
        <w:t>广州市番禺区慈善会</w:t>
      </w:r>
      <w:r>
        <w:rPr>
          <w:rFonts w:hint="eastAsia" w:ascii="宋体" w:hAnsi="宋体"/>
          <w:bCs/>
          <w:szCs w:val="20"/>
        </w:rPr>
        <w:t>（以下简称‘采购人’）的委托</w:t>
      </w:r>
      <w:r>
        <w:rPr>
          <w:rFonts w:hint="eastAsia" w:ascii="宋体" w:hAnsi="宋体"/>
          <w:bCs/>
          <w:szCs w:val="21"/>
        </w:rPr>
        <w:t>，对</w:t>
      </w:r>
      <w:r>
        <w:rPr>
          <w:rFonts w:hint="eastAsia" w:ascii="宋体" w:hAnsi="宋体"/>
          <w:szCs w:val="21"/>
          <w:lang w:eastAsia="zh-CN"/>
        </w:rPr>
        <w:t>广州市番禺区慈善会保险救助保障服务项目（重招）</w:t>
      </w:r>
      <w:r>
        <w:rPr>
          <w:rFonts w:hint="eastAsia" w:ascii="宋体" w:hAnsi="宋体"/>
          <w:bCs/>
          <w:szCs w:val="21"/>
        </w:rPr>
        <w:t>进行公开招标采购，</w:t>
      </w:r>
      <w:r>
        <w:rPr>
          <w:rFonts w:hint="eastAsia" w:ascii="宋体" w:hAnsi="宋体"/>
          <w:szCs w:val="21"/>
        </w:rPr>
        <w:t>欢迎</w:t>
      </w:r>
      <w:r>
        <w:rPr>
          <w:rFonts w:hint="eastAsia" w:ascii="宋体" w:hAnsi="宋体"/>
        </w:rPr>
        <w:t>符合条件的</w:t>
      </w:r>
      <w:r>
        <w:rPr>
          <w:rFonts w:hint="eastAsia" w:ascii="宋体" w:hAnsi="宋体"/>
          <w:bCs/>
          <w:szCs w:val="21"/>
        </w:rPr>
        <w:t>供应商</w:t>
      </w:r>
      <w:r>
        <w:rPr>
          <w:rFonts w:hint="eastAsia" w:ascii="宋体" w:hAnsi="宋体"/>
        </w:rPr>
        <w:t>投标。</w:t>
      </w:r>
    </w:p>
    <w:p>
      <w:pPr>
        <w:numPr>
          <w:ilvl w:val="0"/>
          <w:numId w:val="3"/>
        </w:numPr>
        <w:adjustRightInd w:val="0"/>
        <w:snapToGrid w:val="0"/>
        <w:spacing w:line="360" w:lineRule="auto"/>
        <w:rPr>
          <w:rFonts w:ascii="宋体" w:hAnsi="宋体"/>
        </w:rPr>
      </w:pPr>
      <w:r>
        <w:rPr>
          <w:rFonts w:hint="eastAsia" w:ascii="宋体" w:hAnsi="宋体"/>
          <w:bCs/>
          <w:szCs w:val="20"/>
        </w:rPr>
        <w:t>采购项目编号：</w:t>
      </w:r>
      <w:r>
        <w:rPr>
          <w:rFonts w:hint="eastAsia" w:ascii="宋体" w:hAnsi="宋体"/>
          <w:lang w:eastAsia="zh-CN"/>
        </w:rPr>
        <w:t>GZBC21FG06002-2</w:t>
      </w:r>
    </w:p>
    <w:p>
      <w:pPr>
        <w:numPr>
          <w:ilvl w:val="0"/>
          <w:numId w:val="3"/>
        </w:numPr>
        <w:adjustRightInd w:val="0"/>
        <w:snapToGrid w:val="0"/>
        <w:spacing w:line="360" w:lineRule="auto"/>
        <w:rPr>
          <w:rFonts w:ascii="宋体" w:hAnsi="宋体"/>
        </w:rPr>
      </w:pPr>
      <w:r>
        <w:rPr>
          <w:rFonts w:hint="eastAsia" w:ascii="宋体" w:hAnsi="宋体"/>
          <w:bCs/>
          <w:szCs w:val="20"/>
        </w:rPr>
        <w:t>采购项目名称：</w:t>
      </w:r>
      <w:r>
        <w:rPr>
          <w:rFonts w:hint="eastAsia" w:ascii="宋体" w:hAnsi="宋体"/>
          <w:lang w:eastAsia="zh-CN"/>
        </w:rPr>
        <w:t>广州市番禺区慈善会保险救助保障服务项目（重招）</w:t>
      </w:r>
    </w:p>
    <w:p>
      <w:pPr>
        <w:numPr>
          <w:ilvl w:val="0"/>
          <w:numId w:val="3"/>
        </w:numPr>
        <w:adjustRightInd w:val="0"/>
        <w:snapToGrid w:val="0"/>
        <w:spacing w:line="360" w:lineRule="auto"/>
        <w:rPr>
          <w:rFonts w:ascii="宋体" w:hAnsi="宋体"/>
          <w:bCs/>
          <w:szCs w:val="20"/>
        </w:rPr>
      </w:pPr>
      <w:r>
        <w:rPr>
          <w:rFonts w:hint="eastAsia" w:ascii="宋体" w:hAnsi="宋体" w:cs="宋体"/>
          <w:szCs w:val="21"/>
        </w:rPr>
        <w:t>采购项目预算金额：人民币</w:t>
      </w:r>
      <w:r>
        <w:rPr>
          <w:rFonts w:hint="eastAsia" w:ascii="宋体" w:hAnsi="宋体" w:cs="宋体"/>
          <w:szCs w:val="21"/>
          <w:lang w:eastAsia="zh-CN"/>
        </w:rPr>
        <w:t>300</w:t>
      </w:r>
      <w:r>
        <w:rPr>
          <w:rFonts w:hint="eastAsia" w:ascii="宋体" w:hAnsi="宋体" w:cs="宋体"/>
          <w:szCs w:val="21"/>
        </w:rPr>
        <w:t>万元</w:t>
      </w:r>
    </w:p>
    <w:p>
      <w:pPr>
        <w:numPr>
          <w:ilvl w:val="0"/>
          <w:numId w:val="3"/>
        </w:numPr>
        <w:adjustRightInd w:val="0"/>
        <w:snapToGrid w:val="0"/>
        <w:spacing w:line="360" w:lineRule="auto"/>
        <w:rPr>
          <w:rFonts w:ascii="宋体" w:hAnsi="宋体"/>
          <w:bCs/>
          <w:szCs w:val="20"/>
        </w:rPr>
      </w:pPr>
      <w:r>
        <w:rPr>
          <w:rFonts w:hint="eastAsia" w:ascii="宋体" w:hAnsi="宋体"/>
          <w:bCs/>
          <w:szCs w:val="20"/>
        </w:rPr>
        <w:t>采购数量：1项</w:t>
      </w:r>
    </w:p>
    <w:p>
      <w:pPr>
        <w:numPr>
          <w:ilvl w:val="0"/>
          <w:numId w:val="3"/>
        </w:numPr>
        <w:adjustRightInd w:val="0"/>
        <w:snapToGrid w:val="0"/>
        <w:spacing w:line="360" w:lineRule="auto"/>
        <w:rPr>
          <w:rFonts w:ascii="宋体" w:hAnsi="宋体"/>
          <w:bCs/>
          <w:szCs w:val="20"/>
        </w:rPr>
      </w:pPr>
      <w:r>
        <w:rPr>
          <w:rFonts w:hint="eastAsia" w:ascii="宋体" w:hAnsi="宋体"/>
          <w:bCs/>
          <w:szCs w:val="20"/>
        </w:rPr>
        <w:t>采购项目内容及需求 (采购项目技术规格、参数及要求，需要落实的政府采购政策)：</w:t>
      </w:r>
    </w:p>
    <w:p>
      <w:pPr>
        <w:numPr>
          <w:ilvl w:val="0"/>
          <w:numId w:val="4"/>
        </w:numPr>
        <w:adjustRightInd w:val="0"/>
        <w:snapToGrid w:val="0"/>
        <w:spacing w:line="360" w:lineRule="auto"/>
        <w:rPr>
          <w:rFonts w:ascii="宋体" w:hAnsi="宋体"/>
          <w:bCs/>
          <w:szCs w:val="20"/>
        </w:rPr>
      </w:pPr>
      <w:r>
        <w:rPr>
          <w:rFonts w:hint="eastAsia" w:ascii="宋体" w:hAnsi="宋体"/>
          <w:bCs/>
          <w:szCs w:val="20"/>
        </w:rPr>
        <w:t>服务详细技术要求：详见招标文件中的“用户需求书”</w:t>
      </w:r>
      <w:r>
        <w:rPr>
          <w:rFonts w:hint="eastAsia" w:ascii="宋体" w:hAnsi="宋体"/>
          <w:bCs/>
          <w:szCs w:val="21"/>
        </w:rPr>
        <w:t>。</w:t>
      </w:r>
    </w:p>
    <w:tbl>
      <w:tblPr>
        <w:tblStyle w:val="18"/>
        <w:tblW w:w="9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000000"/>
        <w:tblLayout w:type="fixed"/>
        <w:tblCellMar>
          <w:top w:w="0" w:type="dxa"/>
          <w:left w:w="108" w:type="dxa"/>
          <w:bottom w:w="0" w:type="dxa"/>
          <w:right w:w="108" w:type="dxa"/>
        </w:tblCellMar>
      </w:tblPr>
      <w:tblGrid>
        <w:gridCol w:w="3333"/>
        <w:gridCol w:w="2039"/>
        <w:gridCol w:w="2498"/>
        <w:gridCol w:w="2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000000"/>
          <w:tblCellMar>
            <w:top w:w="0" w:type="dxa"/>
            <w:left w:w="108" w:type="dxa"/>
            <w:bottom w:w="0" w:type="dxa"/>
            <w:right w:w="108" w:type="dxa"/>
          </w:tblCellMar>
        </w:tblPrEx>
        <w:trPr>
          <w:cantSplit/>
          <w:trHeight w:val="607" w:hRule="atLeast"/>
          <w:jc w:val="center"/>
        </w:trPr>
        <w:tc>
          <w:tcPr>
            <w:tcW w:w="3333" w:type="dxa"/>
            <w:shd w:val="clear" w:color="auto" w:fill="auto"/>
            <w:vAlign w:val="center"/>
          </w:tcPr>
          <w:p>
            <w:pPr>
              <w:widowControl/>
              <w:snapToGrid w:val="0"/>
              <w:jc w:val="center"/>
              <w:rPr>
                <w:rFonts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项目名称</w:t>
            </w:r>
          </w:p>
        </w:tc>
        <w:tc>
          <w:tcPr>
            <w:tcW w:w="2039" w:type="dxa"/>
            <w:shd w:val="clear" w:color="auto" w:fill="auto"/>
            <w:vAlign w:val="center"/>
          </w:tcPr>
          <w:p>
            <w:pPr>
              <w:widowControl/>
              <w:jc w:val="center"/>
              <w:rPr>
                <w:rFonts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采购类型</w:t>
            </w:r>
          </w:p>
        </w:tc>
        <w:tc>
          <w:tcPr>
            <w:tcW w:w="2498" w:type="dxa"/>
            <w:shd w:val="clear" w:color="auto" w:fill="auto"/>
            <w:vAlign w:val="center"/>
          </w:tcPr>
          <w:p>
            <w:pPr>
              <w:widowControl/>
              <w:jc w:val="center"/>
              <w:rPr>
                <w:rFonts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服务期限</w:t>
            </w:r>
          </w:p>
        </w:tc>
        <w:tc>
          <w:tcPr>
            <w:tcW w:w="2082" w:type="dxa"/>
            <w:shd w:val="clear" w:color="auto" w:fill="auto"/>
            <w:vAlign w:val="center"/>
          </w:tcPr>
          <w:p>
            <w:pPr>
              <w:widowControl/>
              <w:jc w:val="center"/>
              <w:rPr>
                <w:rFonts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8" w:hRule="atLeast"/>
          <w:jc w:val="center"/>
        </w:trPr>
        <w:tc>
          <w:tcPr>
            <w:tcW w:w="3333" w:type="dxa"/>
            <w:shd w:val="clear" w:color="auto" w:fill="auto"/>
            <w:vAlign w:val="center"/>
          </w:tcPr>
          <w:p>
            <w:pPr>
              <w:widowControl/>
              <w:jc w:val="center"/>
              <w:rPr>
                <w:rFonts w:hint="eastAsia" w:asciiTheme="minorEastAsia" w:hAnsiTheme="minorEastAsia" w:eastAsiaTheme="minorEastAsia" w:cstheme="minorEastAsia"/>
                <w:bCs/>
                <w:kern w:val="0"/>
                <w:szCs w:val="21"/>
                <w:lang w:eastAsia="zh-CN"/>
              </w:rPr>
            </w:pPr>
            <w:r>
              <w:rPr>
                <w:rFonts w:hint="eastAsia" w:asciiTheme="minorEastAsia" w:hAnsiTheme="minorEastAsia" w:eastAsiaTheme="minorEastAsia" w:cstheme="minorEastAsia"/>
                <w:bCs/>
                <w:kern w:val="0"/>
                <w:szCs w:val="21"/>
                <w:lang w:eastAsia="zh-CN"/>
              </w:rPr>
              <w:t>广州市番禺区慈善会保险救助保障服务项目（重招）</w:t>
            </w:r>
          </w:p>
        </w:tc>
        <w:tc>
          <w:tcPr>
            <w:tcW w:w="2039" w:type="dxa"/>
            <w:shd w:val="clear" w:color="auto" w:fill="auto"/>
            <w:vAlign w:val="center"/>
          </w:tcPr>
          <w:p>
            <w:pPr>
              <w:widowControl/>
              <w:jc w:val="center"/>
              <w:rPr>
                <w:rFonts w:asciiTheme="minorEastAsia" w:hAnsiTheme="minorEastAsia" w:eastAsiaTheme="minorEastAsia" w:cstheme="minorEastAsia"/>
                <w:bCs/>
                <w:kern w:val="0"/>
                <w:szCs w:val="21"/>
              </w:rPr>
            </w:pPr>
            <w:r>
              <w:rPr>
                <w:rFonts w:hint="eastAsia" w:asciiTheme="minorEastAsia" w:hAnsiTheme="minorEastAsia" w:eastAsiaTheme="minorEastAsia" w:cstheme="minorEastAsia"/>
                <w:bCs/>
                <w:kern w:val="0"/>
                <w:szCs w:val="21"/>
              </w:rPr>
              <w:t>服务</w:t>
            </w:r>
          </w:p>
        </w:tc>
        <w:tc>
          <w:tcPr>
            <w:tcW w:w="2498" w:type="dxa"/>
            <w:shd w:val="clear" w:color="auto" w:fill="auto"/>
            <w:vAlign w:val="center"/>
          </w:tcPr>
          <w:p>
            <w:pPr>
              <w:widowControl/>
              <w:jc w:val="center"/>
              <w:rPr>
                <w:rFonts w:asciiTheme="minorEastAsia" w:hAnsiTheme="minorEastAsia" w:eastAsiaTheme="minorEastAsia" w:cstheme="minorEastAsia"/>
                <w:bCs/>
                <w:kern w:val="0"/>
                <w:szCs w:val="21"/>
              </w:rPr>
            </w:pPr>
            <w:r>
              <w:rPr>
                <w:rFonts w:hint="eastAsia" w:asciiTheme="minorEastAsia" w:hAnsiTheme="minorEastAsia" w:eastAsiaTheme="minorEastAsia" w:cstheme="minorEastAsia"/>
                <w:bCs/>
                <w:kern w:val="0"/>
                <w:szCs w:val="21"/>
                <w:lang w:val="en-US" w:eastAsia="zh-CN"/>
              </w:rPr>
              <w:t>2021年8月至2022年7月</w:t>
            </w:r>
          </w:p>
        </w:tc>
        <w:tc>
          <w:tcPr>
            <w:tcW w:w="2082" w:type="dxa"/>
            <w:shd w:val="clear" w:color="auto" w:fill="auto"/>
            <w:vAlign w:val="center"/>
          </w:tcPr>
          <w:p>
            <w:pPr>
              <w:widowControl/>
              <w:jc w:val="center"/>
              <w:rPr>
                <w:rFonts w:asciiTheme="minorEastAsia" w:hAnsiTheme="minorEastAsia" w:eastAsiaTheme="minorEastAsia" w:cstheme="minorEastAsia"/>
                <w:bCs/>
                <w:kern w:val="0"/>
                <w:szCs w:val="21"/>
              </w:rPr>
            </w:pPr>
            <w:r>
              <w:rPr>
                <w:rFonts w:hint="eastAsia" w:asciiTheme="minorEastAsia" w:hAnsiTheme="minorEastAsia" w:eastAsiaTheme="minorEastAsia" w:cstheme="minorEastAsia"/>
                <w:bCs/>
                <w:kern w:val="0"/>
                <w:szCs w:val="21"/>
              </w:rPr>
              <w:t>人民币</w:t>
            </w:r>
            <w:r>
              <w:rPr>
                <w:rFonts w:hint="eastAsia" w:asciiTheme="minorEastAsia" w:hAnsiTheme="minorEastAsia" w:eastAsiaTheme="minorEastAsia" w:cstheme="minorEastAsia"/>
                <w:bCs/>
                <w:kern w:val="0"/>
                <w:szCs w:val="21"/>
                <w:lang w:eastAsia="zh-CN"/>
              </w:rPr>
              <w:t>300</w:t>
            </w:r>
            <w:r>
              <w:rPr>
                <w:rFonts w:hint="eastAsia" w:asciiTheme="minorEastAsia" w:hAnsiTheme="minorEastAsia" w:eastAsiaTheme="minorEastAsia" w:cstheme="minorEastAsia"/>
                <w:bCs/>
                <w:kern w:val="0"/>
                <w:szCs w:val="21"/>
              </w:rPr>
              <w:t>万元</w:t>
            </w:r>
          </w:p>
        </w:tc>
      </w:tr>
    </w:tbl>
    <w:p>
      <w:pPr>
        <w:adjustRightInd w:val="0"/>
        <w:snapToGrid w:val="0"/>
        <w:spacing w:line="360" w:lineRule="auto"/>
        <w:rPr>
          <w:rFonts w:ascii="宋体" w:hAnsi="宋体"/>
          <w:bCs/>
          <w:szCs w:val="20"/>
        </w:rPr>
      </w:pPr>
    </w:p>
    <w:p>
      <w:pPr>
        <w:numPr>
          <w:ilvl w:val="0"/>
          <w:numId w:val="4"/>
        </w:numPr>
        <w:adjustRightInd w:val="0"/>
        <w:snapToGrid w:val="0"/>
        <w:spacing w:line="360" w:lineRule="auto"/>
        <w:rPr>
          <w:rFonts w:ascii="宋体" w:hAnsi="宋体"/>
          <w:bCs/>
          <w:szCs w:val="20"/>
        </w:rPr>
      </w:pPr>
      <w:r>
        <w:rPr>
          <w:rFonts w:hint="eastAsia" w:ascii="宋体" w:hAnsi="宋体"/>
          <w:bCs/>
          <w:szCs w:val="20"/>
        </w:rPr>
        <w:t>需要落实的政府采购政策：《政府采购促进中小企业发展暂行办法》（财库[2011]181号）、《关于政府采购支持监狱企业发展有关问题的通知》(财库[2014]68号)、《关于环境标志产品政府采购实施的意见》（财库〔2006〕90号、《节能产品政府采购实施意见》的通知（财库〔2004〕185号）等。</w:t>
      </w:r>
    </w:p>
    <w:p>
      <w:pPr>
        <w:numPr>
          <w:ilvl w:val="0"/>
          <w:numId w:val="4"/>
        </w:numPr>
        <w:adjustRightInd w:val="0"/>
        <w:snapToGrid w:val="0"/>
        <w:spacing w:line="360" w:lineRule="auto"/>
        <w:rPr>
          <w:rFonts w:ascii="宋体" w:hAnsi="宋体"/>
          <w:bCs/>
          <w:szCs w:val="20"/>
        </w:rPr>
      </w:pPr>
      <w:r>
        <w:rPr>
          <w:rFonts w:hint="eastAsia" w:ascii="宋体" w:hAnsi="宋体"/>
          <w:bCs/>
          <w:szCs w:val="20"/>
        </w:rPr>
        <w:t>本项目</w:t>
      </w:r>
      <w:r>
        <w:rPr>
          <w:rFonts w:hint="eastAsia" w:ascii="宋体" w:hAnsi="宋体"/>
          <w:bCs/>
          <w:szCs w:val="20"/>
          <w:lang w:val="en-US" w:eastAsia="zh-CN"/>
        </w:rPr>
        <w:t>不</w:t>
      </w:r>
      <w:r>
        <w:rPr>
          <w:rFonts w:hint="eastAsia" w:ascii="宋体" w:hAnsi="宋体"/>
          <w:bCs/>
          <w:szCs w:val="20"/>
        </w:rPr>
        <w:t xml:space="preserve">属于政府采购项目。 </w:t>
      </w:r>
    </w:p>
    <w:p>
      <w:pPr>
        <w:numPr>
          <w:ilvl w:val="0"/>
          <w:numId w:val="3"/>
        </w:numPr>
        <w:tabs>
          <w:tab w:val="center" w:pos="4156"/>
        </w:tabs>
        <w:adjustRightInd w:val="0"/>
        <w:snapToGrid w:val="0"/>
        <w:spacing w:line="360" w:lineRule="auto"/>
        <w:rPr>
          <w:rFonts w:ascii="宋体" w:hAnsi="宋体"/>
          <w:bCs/>
          <w:szCs w:val="20"/>
        </w:rPr>
      </w:pPr>
      <w:r>
        <w:rPr>
          <w:rFonts w:hint="eastAsia" w:ascii="宋体" w:hAnsi="宋体"/>
          <w:bCs/>
          <w:szCs w:val="20"/>
        </w:rPr>
        <w:t>供应商资格：</w:t>
      </w:r>
      <w:r>
        <w:rPr>
          <w:rFonts w:hint="eastAsia" w:ascii="宋体" w:hAnsi="宋体"/>
          <w:bCs/>
          <w:szCs w:val="20"/>
        </w:rPr>
        <w:tab/>
      </w:r>
    </w:p>
    <w:p>
      <w:pPr>
        <w:numPr>
          <w:ilvl w:val="0"/>
          <w:numId w:val="5"/>
        </w:numPr>
        <w:adjustRightInd w:val="0"/>
        <w:snapToGrid w:val="0"/>
        <w:spacing w:line="360" w:lineRule="auto"/>
        <w:rPr>
          <w:rFonts w:ascii="宋体" w:hAnsi="宋体"/>
          <w:bCs/>
          <w:szCs w:val="20"/>
        </w:rPr>
      </w:pPr>
      <w:r>
        <w:rPr>
          <w:rFonts w:hint="eastAsia" w:ascii="宋体" w:hAnsi="宋体"/>
          <w:bCs/>
          <w:szCs w:val="20"/>
        </w:rPr>
        <w:t>供应商应具备《中华人民共和国政府采购法》第二十二条规定的条件：</w:t>
      </w:r>
    </w:p>
    <w:p>
      <w:pPr>
        <w:numPr>
          <w:ilvl w:val="0"/>
          <w:numId w:val="6"/>
        </w:numPr>
        <w:tabs>
          <w:tab w:val="left" w:pos="567"/>
        </w:tabs>
        <w:adjustRightInd w:val="0"/>
        <w:snapToGrid w:val="0"/>
        <w:spacing w:line="360" w:lineRule="auto"/>
        <w:ind w:left="567" w:hanging="425"/>
        <w:rPr>
          <w:rFonts w:ascii="宋体" w:hAnsi="宋体"/>
          <w:bCs/>
          <w:szCs w:val="21"/>
        </w:rPr>
      </w:pPr>
      <w:r>
        <w:rPr>
          <w:rFonts w:ascii="宋体" w:hAnsi="宋体" w:cs="宋体"/>
          <w:szCs w:val="21"/>
        </w:rPr>
        <w:t>供应商具有独立承担民事责任能力的在中华人民共和国境内注册的法人或其他组织（提供企业法人或者其他组织营业执照（或事业法人登记证或身份证等相关证明）副本复印件，分支机构投标，须取得具有法人资格的总公司出具给分支机构的授权书，并提供总公司和分支机构的营业执照复印件。已由总公司授权的，总公司取得的相关资质证书对分支机构有效，法律法规或者行业另有规定的除外</w:t>
      </w:r>
      <w:r>
        <w:rPr>
          <w:rFonts w:hint="eastAsia" w:ascii="宋体" w:hAnsi="宋体"/>
          <w:bCs/>
          <w:szCs w:val="21"/>
        </w:rPr>
        <w:t>；</w:t>
      </w:r>
    </w:p>
    <w:p>
      <w:pPr>
        <w:numPr>
          <w:ilvl w:val="0"/>
          <w:numId w:val="6"/>
        </w:numPr>
        <w:tabs>
          <w:tab w:val="left" w:pos="567"/>
        </w:tabs>
        <w:adjustRightInd w:val="0"/>
        <w:snapToGrid w:val="0"/>
        <w:spacing w:line="360" w:lineRule="auto"/>
        <w:ind w:left="567" w:hanging="425"/>
        <w:rPr>
          <w:rFonts w:ascii="宋体" w:hAnsi="宋体"/>
          <w:bCs/>
          <w:szCs w:val="20"/>
        </w:rPr>
      </w:pPr>
      <w:r>
        <w:rPr>
          <w:rFonts w:ascii="宋体" w:hAnsi="宋体" w:cs="宋体"/>
          <w:szCs w:val="21"/>
        </w:rPr>
        <w:t>供应商必须具有良好的商业信誉和健全的财务会计制度（提供 2019 年的财务状况报告或者 2020 年基本户开户银行出具的资信证明）</w:t>
      </w:r>
      <w:r>
        <w:rPr>
          <w:rFonts w:hint="eastAsia" w:ascii="宋体" w:hAnsi="宋体"/>
          <w:bCs/>
          <w:szCs w:val="21"/>
        </w:rPr>
        <w:t>；</w:t>
      </w:r>
    </w:p>
    <w:p>
      <w:pPr>
        <w:numPr>
          <w:ilvl w:val="0"/>
          <w:numId w:val="6"/>
        </w:numPr>
        <w:tabs>
          <w:tab w:val="left" w:pos="567"/>
        </w:tabs>
        <w:adjustRightInd w:val="0"/>
        <w:snapToGrid w:val="0"/>
        <w:spacing w:line="360" w:lineRule="auto"/>
        <w:ind w:left="567" w:hanging="425"/>
        <w:rPr>
          <w:rFonts w:ascii="宋体" w:hAnsi="宋体"/>
          <w:bCs/>
          <w:szCs w:val="20"/>
        </w:rPr>
      </w:pPr>
      <w:r>
        <w:rPr>
          <w:rFonts w:ascii="宋体" w:hAnsi="宋体" w:cs="宋体"/>
          <w:szCs w:val="21"/>
        </w:rPr>
        <w:t>供应商有依法缴纳税收和社会保障资金的良好记录（提供</w:t>
      </w:r>
      <w:r>
        <w:rPr>
          <w:rFonts w:hint="eastAsia" w:ascii="宋体" w:hAnsi="宋体" w:cs="宋体"/>
          <w:szCs w:val="21"/>
          <w:lang w:val="en-US" w:eastAsia="zh-CN"/>
        </w:rPr>
        <w:t>投标</w:t>
      </w:r>
      <w:r>
        <w:rPr>
          <w:rFonts w:ascii="宋体" w:hAnsi="宋体" w:cs="宋体"/>
          <w:szCs w:val="21"/>
        </w:rPr>
        <w:t>截止之日前 6 个月任意 1 个月依法缴纳税收和社会保障资金相关证明材料；如依法免税和依法不需要缴纳社会保障资金，则须提供相应文件证明其依法免税和不需要缴纳社会保障资金）</w:t>
      </w:r>
      <w:r>
        <w:rPr>
          <w:rFonts w:hint="eastAsia" w:ascii="宋体" w:hAnsi="宋体"/>
          <w:bCs/>
          <w:szCs w:val="20"/>
        </w:rPr>
        <w:t>；</w:t>
      </w:r>
    </w:p>
    <w:p>
      <w:pPr>
        <w:numPr>
          <w:ilvl w:val="0"/>
          <w:numId w:val="5"/>
        </w:numPr>
        <w:adjustRightInd w:val="0"/>
        <w:snapToGrid w:val="0"/>
        <w:spacing w:line="360" w:lineRule="auto"/>
        <w:rPr>
          <w:rFonts w:ascii="宋体" w:hAnsi="宋体" w:cs="宋体"/>
          <w:bCs/>
          <w:kern w:val="0"/>
          <w:szCs w:val="21"/>
        </w:rPr>
      </w:pPr>
      <w:r>
        <w:rPr>
          <w:rFonts w:hint="eastAsia" w:ascii="宋体" w:hAnsi="宋体"/>
          <w:bCs/>
          <w:szCs w:val="20"/>
        </w:rPr>
        <w:t>供应商</w:t>
      </w:r>
      <w:r>
        <w:rPr>
          <w:rFonts w:ascii="宋体" w:hAnsi="宋体" w:cs="宋体"/>
          <w:szCs w:val="21"/>
        </w:rPr>
        <w:t>已登记并领</w:t>
      </w:r>
      <w:r>
        <w:rPr>
          <w:rFonts w:hint="eastAsia" w:ascii="宋体" w:hAnsi="宋体" w:cs="宋体"/>
          <w:szCs w:val="21"/>
        </w:rPr>
        <w:t>取</w:t>
      </w:r>
      <w:r>
        <w:rPr>
          <w:rFonts w:ascii="宋体" w:hAnsi="宋体" w:cs="宋体"/>
          <w:szCs w:val="21"/>
        </w:rPr>
        <w:t>本项目</w:t>
      </w:r>
      <w:r>
        <w:rPr>
          <w:rFonts w:hint="default" w:ascii="宋体" w:hAnsi="宋体" w:cs="宋体"/>
          <w:szCs w:val="21"/>
          <w:lang w:val="en-US" w:eastAsia="zh-CN"/>
        </w:rPr>
        <w:t>招标</w:t>
      </w:r>
      <w:r>
        <w:rPr>
          <w:rFonts w:ascii="宋体" w:hAnsi="宋体" w:cs="宋体"/>
          <w:szCs w:val="21"/>
        </w:rPr>
        <w:t>文件</w:t>
      </w:r>
      <w:r>
        <w:rPr>
          <w:rFonts w:hint="default" w:ascii="宋体" w:hAnsi="宋体" w:cs="宋体"/>
          <w:bCs w:val="0"/>
          <w:kern w:val="2"/>
          <w:szCs w:val="21"/>
        </w:rPr>
        <w:t>。</w:t>
      </w:r>
    </w:p>
    <w:p>
      <w:pPr>
        <w:numPr>
          <w:ilvl w:val="0"/>
          <w:numId w:val="5"/>
        </w:numPr>
        <w:adjustRightInd w:val="0"/>
        <w:snapToGrid w:val="0"/>
        <w:spacing w:line="360" w:lineRule="auto"/>
        <w:rPr>
          <w:rFonts w:ascii="宋体" w:hAnsi="宋体"/>
          <w:szCs w:val="21"/>
        </w:rPr>
      </w:pPr>
      <w:r>
        <w:rPr>
          <w:rFonts w:hint="eastAsia" w:asciiTheme="minorEastAsia" w:hAnsiTheme="minorEastAsia" w:eastAsiaTheme="minorEastAsia" w:cstheme="minorEastAsia"/>
          <w:kern w:val="28"/>
          <w:szCs w:val="21"/>
        </w:rPr>
        <w:t>本项目不接受联合体投标。</w:t>
      </w:r>
    </w:p>
    <w:p>
      <w:pPr>
        <w:numPr>
          <w:ilvl w:val="0"/>
          <w:numId w:val="3"/>
        </w:numPr>
        <w:adjustRightInd w:val="0"/>
        <w:snapToGrid w:val="0"/>
        <w:spacing w:line="360" w:lineRule="auto"/>
        <w:rPr>
          <w:rFonts w:ascii="宋体" w:hAnsi="宋体" w:cs="宋体"/>
          <w:b/>
          <w:szCs w:val="21"/>
        </w:rPr>
      </w:pPr>
      <w:r>
        <w:rPr>
          <w:rFonts w:hint="eastAsia" w:ascii="宋体" w:hAnsi="宋体" w:cs="宋体"/>
          <w:b/>
          <w:kern w:val="0"/>
          <w:szCs w:val="21"/>
        </w:rPr>
        <w:t xml:space="preserve"> </w:t>
      </w:r>
      <w:r>
        <w:rPr>
          <w:rFonts w:hint="eastAsia" w:ascii="宋体" w:hAnsi="宋体"/>
          <w:b/>
          <w:szCs w:val="21"/>
        </w:rPr>
        <w:t>获取招标文件方式：</w:t>
      </w:r>
    </w:p>
    <w:p>
      <w:pPr>
        <w:numPr>
          <w:ilvl w:val="0"/>
          <w:numId w:val="7"/>
        </w:numPr>
        <w:tabs>
          <w:tab w:val="left" w:pos="426"/>
        </w:tabs>
        <w:adjustRightInd w:val="0"/>
        <w:snapToGrid w:val="0"/>
        <w:spacing w:line="360" w:lineRule="auto"/>
        <w:rPr>
          <w:rFonts w:ascii="宋体" w:hAnsi="宋体"/>
          <w:bCs/>
          <w:kern w:val="0"/>
          <w:szCs w:val="21"/>
        </w:rPr>
      </w:pPr>
      <w:r>
        <w:rPr>
          <w:rFonts w:hint="eastAsia" w:ascii="宋体" w:hAnsi="宋体"/>
          <w:bCs/>
          <w:kern w:val="0"/>
          <w:szCs w:val="21"/>
        </w:rPr>
        <w:t>购买招标文件经办人，需提供：</w:t>
      </w:r>
    </w:p>
    <w:p>
      <w:pPr>
        <w:pStyle w:val="6"/>
        <w:ind w:left="420" w:leftChars="200"/>
        <w:rPr>
          <w:rFonts w:ascii="宋体" w:hAnsi="宋体"/>
          <w:bCs/>
          <w:sz w:val="21"/>
          <w:szCs w:val="21"/>
        </w:rPr>
      </w:pPr>
      <w:r>
        <w:rPr>
          <w:rFonts w:hint="eastAsia" w:ascii="宋体" w:hAnsi="宋体"/>
          <w:bCs/>
          <w:sz w:val="21"/>
          <w:szCs w:val="21"/>
        </w:rPr>
        <w:t>A）有效的营业执照（或事业单位法人证书,或社会团体法人登记证书,或执业许可证）复印件；如投标人为自然人的需提供自然人身份证明；</w:t>
      </w:r>
    </w:p>
    <w:p>
      <w:pPr>
        <w:pStyle w:val="16"/>
        <w:widowControl w:val="0"/>
        <w:adjustRightInd w:val="0"/>
        <w:snapToGrid w:val="0"/>
        <w:spacing w:before="0" w:beforeAutospacing="0" w:after="0" w:afterAutospacing="0" w:line="360" w:lineRule="auto"/>
        <w:ind w:firstLine="420" w:firstLineChars="200"/>
        <w:jc w:val="both"/>
        <w:rPr>
          <w:bCs/>
          <w:sz w:val="21"/>
          <w:szCs w:val="21"/>
        </w:rPr>
      </w:pPr>
      <w:r>
        <w:rPr>
          <w:rFonts w:hint="eastAsia"/>
          <w:bCs/>
          <w:sz w:val="21"/>
          <w:szCs w:val="21"/>
        </w:rPr>
        <w:t>B)经办人如是法定代表人，需提供法定代表人证明书及法定代表人身份证复印件；</w:t>
      </w:r>
    </w:p>
    <w:p>
      <w:pPr>
        <w:pStyle w:val="16"/>
        <w:widowControl w:val="0"/>
        <w:adjustRightInd w:val="0"/>
        <w:snapToGrid w:val="0"/>
        <w:spacing w:before="0" w:beforeAutospacing="0" w:after="0" w:afterAutospacing="0" w:line="360" w:lineRule="auto"/>
        <w:ind w:firstLine="630" w:firstLineChars="300"/>
        <w:jc w:val="both"/>
        <w:rPr>
          <w:bCs/>
          <w:sz w:val="21"/>
          <w:szCs w:val="21"/>
        </w:rPr>
      </w:pPr>
      <w:r>
        <w:rPr>
          <w:rFonts w:hint="eastAsia"/>
          <w:bCs/>
          <w:sz w:val="21"/>
          <w:szCs w:val="21"/>
        </w:rPr>
        <w:t>经办人如是投标人授权代表，需提供法定代表人授权委托书及授权代表身份证复印件；</w:t>
      </w:r>
    </w:p>
    <w:p>
      <w:pPr>
        <w:pStyle w:val="16"/>
        <w:widowControl w:val="0"/>
        <w:adjustRightInd w:val="0"/>
        <w:snapToGrid w:val="0"/>
        <w:spacing w:before="0" w:beforeAutospacing="0" w:after="0" w:afterAutospacing="0" w:line="360" w:lineRule="auto"/>
        <w:ind w:left="420" w:leftChars="200"/>
        <w:jc w:val="both"/>
        <w:rPr>
          <w:b/>
          <w:sz w:val="21"/>
          <w:szCs w:val="21"/>
        </w:rPr>
      </w:pPr>
      <w:r>
        <w:rPr>
          <w:rFonts w:hint="eastAsia"/>
          <w:bCs/>
          <w:sz w:val="21"/>
          <w:szCs w:val="21"/>
        </w:rPr>
        <w:t xml:space="preserve">C)供应商应登入采购代理机构网站（ </w:t>
      </w:r>
      <w:r>
        <w:fldChar w:fldCharType="begin"/>
      </w:r>
      <w:r>
        <w:instrText xml:space="preserve"> HYPERLINK "http://www.baochengdaili.com/），点击网站左下方" </w:instrText>
      </w:r>
      <w:r>
        <w:fldChar w:fldCharType="separate"/>
      </w:r>
      <w:r>
        <w:rPr>
          <w:rFonts w:hint="eastAsia"/>
          <w:bCs/>
          <w:sz w:val="21"/>
          <w:szCs w:val="21"/>
        </w:rPr>
        <w:t>http://www.baochengdaili.com/），点击网站左下方“文件下载”的更多，选择最后一页中的“《购买文件登记表》”下载。</w:t>
      </w:r>
      <w:r>
        <w:rPr>
          <w:rFonts w:hint="eastAsia"/>
          <w:bCs/>
          <w:sz w:val="21"/>
          <w:szCs w:val="21"/>
        </w:rPr>
        <w:fldChar w:fldCharType="end"/>
      </w:r>
    </w:p>
    <w:p>
      <w:pPr>
        <w:numPr>
          <w:ilvl w:val="0"/>
          <w:numId w:val="7"/>
        </w:numPr>
        <w:tabs>
          <w:tab w:val="left" w:pos="426"/>
        </w:tabs>
        <w:adjustRightInd w:val="0"/>
        <w:snapToGrid w:val="0"/>
        <w:spacing w:line="360" w:lineRule="auto"/>
        <w:rPr>
          <w:rFonts w:ascii="宋体" w:hAnsi="宋体"/>
          <w:b/>
          <w:szCs w:val="21"/>
        </w:rPr>
      </w:pPr>
      <w:r>
        <w:rPr>
          <w:rFonts w:hint="eastAsia" w:ascii="宋体" w:hAnsi="宋体"/>
          <w:bCs/>
          <w:szCs w:val="21"/>
        </w:rPr>
        <w:t>采购代理机构在招标文件发售期间</w:t>
      </w:r>
      <w:r>
        <w:rPr>
          <w:rFonts w:ascii="宋体" w:hAnsi="宋体"/>
          <w:bCs/>
          <w:szCs w:val="21"/>
        </w:rPr>
        <w:t>通过“</w:t>
      </w:r>
      <w:r>
        <w:rPr>
          <w:rFonts w:ascii="宋体" w:hAnsi="宋体"/>
          <w:b/>
          <w:szCs w:val="21"/>
          <w:u w:val="single"/>
        </w:rPr>
        <w:t>信用中国</w:t>
      </w:r>
      <w:r>
        <w:rPr>
          <w:rFonts w:ascii="宋体" w:hAnsi="宋体"/>
          <w:bCs/>
          <w:szCs w:val="21"/>
        </w:rPr>
        <w:t>”（www.creditchina.gov.cn）</w:t>
      </w:r>
      <w:r>
        <w:rPr>
          <w:rFonts w:hint="eastAsia" w:ascii="宋体" w:hAnsi="宋体"/>
          <w:bCs/>
          <w:szCs w:val="21"/>
        </w:rPr>
        <w:t>和</w:t>
      </w:r>
      <w:r>
        <w:rPr>
          <w:rFonts w:hint="eastAsia" w:ascii="宋体" w:hAnsi="宋体"/>
          <w:b/>
          <w:szCs w:val="21"/>
          <w:u w:val="single"/>
        </w:rPr>
        <w:t>“</w:t>
      </w:r>
      <w:r>
        <w:rPr>
          <w:rFonts w:ascii="宋体" w:hAnsi="宋体"/>
          <w:b/>
          <w:szCs w:val="21"/>
          <w:u w:val="single"/>
        </w:rPr>
        <w:t>中国政府采购网</w:t>
      </w:r>
      <w:r>
        <w:rPr>
          <w:rFonts w:hint="eastAsia" w:ascii="宋体" w:hAnsi="宋体"/>
          <w:b/>
          <w:szCs w:val="21"/>
          <w:u w:val="single"/>
        </w:rPr>
        <w:t>”</w:t>
      </w:r>
      <w:r>
        <w:rPr>
          <w:rFonts w:ascii="宋体" w:hAnsi="宋体"/>
          <w:bCs/>
          <w:szCs w:val="21"/>
        </w:rPr>
        <w:t>（www.ccgp.gov.cn）查询</w:t>
      </w:r>
      <w:r>
        <w:rPr>
          <w:rFonts w:hint="eastAsia" w:ascii="宋体" w:hAnsi="宋体"/>
          <w:bCs/>
          <w:szCs w:val="21"/>
        </w:rPr>
        <w:t>供应商信用记录。采购代理机构</w:t>
      </w:r>
      <w:r>
        <w:rPr>
          <w:rFonts w:ascii="宋体" w:hAnsi="宋体"/>
          <w:bCs/>
          <w:szCs w:val="21"/>
        </w:rPr>
        <w:t>对供应商信用记录进行甄别，对列入失信被执行人、重大税收违法案件当事人名单、政府采购严重违法失信行为记录名单及其他不符合《中华人民共和国政府采购法》第二十二条规定条件的供应商，拒绝其参与政府采购活动</w:t>
      </w:r>
      <w:r>
        <w:rPr>
          <w:rFonts w:hint="eastAsia" w:ascii="宋体" w:hAnsi="宋体"/>
          <w:bCs/>
          <w:szCs w:val="21"/>
        </w:rPr>
        <w:t>（处罚期限届满的除外）</w:t>
      </w:r>
      <w:r>
        <w:rPr>
          <w:rFonts w:ascii="宋体" w:hAnsi="宋体"/>
          <w:bCs/>
          <w:szCs w:val="21"/>
        </w:rPr>
        <w:t>。</w:t>
      </w:r>
    </w:p>
    <w:p>
      <w:pPr>
        <w:pStyle w:val="30"/>
        <w:tabs>
          <w:tab w:val="left" w:pos="426"/>
        </w:tabs>
        <w:adjustRightInd w:val="0"/>
        <w:snapToGrid w:val="0"/>
        <w:spacing w:line="360" w:lineRule="auto"/>
        <w:ind w:left="420" w:firstLine="0" w:firstLineChars="0"/>
      </w:pPr>
      <w:r>
        <w:rPr>
          <w:rFonts w:hint="eastAsia" w:ascii="宋体" w:hAnsi="宋体"/>
          <w:b/>
          <w:szCs w:val="21"/>
        </w:rPr>
        <w:t>注1：已办理报名并成功购买招标文件的供应商参加投标的，不代表通过资格、符合性评审。</w:t>
      </w:r>
    </w:p>
    <w:p>
      <w:pPr>
        <w:numPr>
          <w:ilvl w:val="0"/>
          <w:numId w:val="3"/>
        </w:numPr>
        <w:adjustRightInd w:val="0"/>
        <w:snapToGrid w:val="0"/>
        <w:spacing w:line="360" w:lineRule="auto"/>
        <w:rPr>
          <w:rFonts w:hAnsi="宋体"/>
          <w:szCs w:val="18"/>
        </w:rPr>
      </w:pPr>
      <w:r>
        <w:rPr>
          <w:rFonts w:hint="eastAsia" w:ascii="宋体" w:hAnsi="宋体"/>
          <w:szCs w:val="21"/>
        </w:rPr>
        <w:t>符合资格的供应商应当在</w:t>
      </w:r>
      <w:r>
        <w:rPr>
          <w:rFonts w:hint="eastAsia" w:ascii="宋体" w:hAnsi="宋体"/>
          <w:color w:val="FF0000"/>
          <w:szCs w:val="21"/>
        </w:rPr>
        <w:t>2021年</w:t>
      </w:r>
      <w:r>
        <w:rPr>
          <w:rFonts w:hint="eastAsia" w:ascii="宋体" w:hAnsi="宋体"/>
          <w:color w:val="FF0000"/>
          <w:szCs w:val="21"/>
          <w:lang w:val="en-US" w:eastAsia="zh-CN"/>
        </w:rPr>
        <w:t>7</w:t>
      </w:r>
      <w:r>
        <w:rPr>
          <w:rFonts w:hint="eastAsia" w:ascii="宋体" w:hAnsi="宋体"/>
          <w:bCs/>
          <w:color w:val="FF0000"/>
          <w:szCs w:val="21"/>
        </w:rPr>
        <w:t>月</w:t>
      </w:r>
      <w:r>
        <w:rPr>
          <w:rFonts w:hint="eastAsia" w:ascii="宋体" w:hAnsi="宋体"/>
          <w:bCs/>
          <w:color w:val="FF0000"/>
          <w:szCs w:val="21"/>
          <w:lang w:val="en-US" w:eastAsia="zh-CN"/>
        </w:rPr>
        <w:t>16</w:t>
      </w:r>
      <w:r>
        <w:rPr>
          <w:rFonts w:hint="eastAsia" w:ascii="宋体" w:hAnsi="宋体"/>
          <w:bCs/>
          <w:color w:val="FF0000"/>
          <w:szCs w:val="21"/>
        </w:rPr>
        <w:t>日</w:t>
      </w:r>
      <w:r>
        <w:rPr>
          <w:rFonts w:hint="eastAsia" w:ascii="宋体" w:hAnsi="宋体"/>
          <w:color w:val="FF0000"/>
          <w:szCs w:val="21"/>
        </w:rPr>
        <w:t>至2021年</w:t>
      </w:r>
      <w:r>
        <w:rPr>
          <w:rFonts w:hint="eastAsia" w:ascii="宋体" w:hAnsi="宋体"/>
          <w:color w:val="FF0000"/>
          <w:szCs w:val="21"/>
          <w:lang w:val="en-US" w:eastAsia="zh-CN"/>
        </w:rPr>
        <w:t>7</w:t>
      </w:r>
      <w:r>
        <w:rPr>
          <w:rFonts w:hint="eastAsia" w:ascii="宋体" w:hAnsi="宋体"/>
          <w:bCs/>
          <w:color w:val="FF0000"/>
          <w:szCs w:val="21"/>
        </w:rPr>
        <w:t>月</w:t>
      </w:r>
      <w:r>
        <w:rPr>
          <w:rFonts w:hint="eastAsia" w:ascii="宋体" w:hAnsi="宋体"/>
          <w:color w:val="FF0000"/>
          <w:szCs w:val="21"/>
          <w:lang w:val="en-US" w:eastAsia="zh-CN"/>
        </w:rPr>
        <w:t>22</w:t>
      </w:r>
      <w:r>
        <w:rPr>
          <w:rFonts w:hint="eastAsia" w:ascii="宋体" w:hAnsi="宋体"/>
          <w:bCs/>
          <w:color w:val="FF0000"/>
          <w:szCs w:val="21"/>
        </w:rPr>
        <w:t>日</w:t>
      </w:r>
      <w:r>
        <w:rPr>
          <w:rFonts w:hint="eastAsia" w:ascii="宋体" w:hAnsi="宋体"/>
          <w:szCs w:val="21"/>
        </w:rPr>
        <w:t>期间（办公时间内：工作日9：00-17：30，法定节假日除外，不少于5个工作日）到广州宝诚招标代理咨询有限公司（详细地址：</w:t>
      </w:r>
      <w:r>
        <w:rPr>
          <w:rFonts w:hint="eastAsia" w:ascii="宋体" w:hAnsi="宋体"/>
          <w:szCs w:val="21"/>
          <w:lang w:eastAsia="zh-CN"/>
        </w:rPr>
        <w:t>广州市番禺区南村镇海顺路66号（建设银行背后）二栋17A，1806房（又称：敏捷上城国际1期2栋1806）</w:t>
      </w:r>
      <w:r>
        <w:rPr>
          <w:rFonts w:hint="eastAsia" w:ascii="宋体" w:hAnsi="宋体"/>
          <w:szCs w:val="21"/>
        </w:rPr>
        <w:t>）。购买招标文件，招标文件每套售价人民币300.00元，售后不退。</w:t>
      </w:r>
      <w:r>
        <w:rPr>
          <w:rFonts w:hint="eastAsia" w:hAnsi="宋体"/>
          <w:szCs w:val="18"/>
        </w:rPr>
        <w:t>如采用汇款方式购买招标文件请汇至以下账户：</w:t>
      </w:r>
    </w:p>
    <w:p>
      <w:pPr>
        <w:pStyle w:val="10"/>
        <w:spacing w:line="360" w:lineRule="auto"/>
        <w:ind w:firstLine="420" w:firstLineChars="200"/>
        <w:rPr>
          <w:rFonts w:ascii="Times New Roman" w:hAnsi="宋体"/>
          <w:kern w:val="2"/>
          <w:sz w:val="21"/>
          <w:szCs w:val="18"/>
        </w:rPr>
      </w:pPr>
      <w:r>
        <w:rPr>
          <w:rFonts w:hint="eastAsia" w:ascii="Times New Roman" w:hAnsi="宋体"/>
          <w:kern w:val="2"/>
          <w:sz w:val="21"/>
          <w:szCs w:val="18"/>
        </w:rPr>
        <w:t>收款人名称：广州宝诚招标代理咨询有限公司</w:t>
      </w:r>
    </w:p>
    <w:p>
      <w:pPr>
        <w:pStyle w:val="10"/>
        <w:spacing w:line="360" w:lineRule="auto"/>
        <w:ind w:firstLine="420" w:firstLineChars="200"/>
        <w:rPr>
          <w:rFonts w:ascii="Times New Roman" w:hAnsi="宋体"/>
          <w:kern w:val="2"/>
          <w:sz w:val="21"/>
          <w:szCs w:val="18"/>
        </w:rPr>
      </w:pPr>
      <w:r>
        <w:rPr>
          <w:rFonts w:hint="eastAsia" w:ascii="Times New Roman" w:hAnsi="宋体"/>
          <w:kern w:val="2"/>
          <w:sz w:val="21"/>
          <w:szCs w:val="18"/>
        </w:rPr>
        <w:t>开户银行：中国民生银行股份有限公司广州华南支行（人民币）</w:t>
      </w:r>
    </w:p>
    <w:p>
      <w:pPr>
        <w:pStyle w:val="10"/>
        <w:spacing w:line="360" w:lineRule="auto"/>
        <w:ind w:firstLine="420" w:firstLineChars="200"/>
        <w:rPr>
          <w:rFonts w:hint="eastAsia" w:ascii="宋体" w:hAnsi="宋体" w:eastAsia="宋体" w:cs="宋体"/>
        </w:rPr>
      </w:pPr>
      <w:r>
        <w:rPr>
          <w:rFonts w:hint="eastAsia" w:ascii="宋体" w:hAnsi="宋体" w:eastAsia="宋体" w:cs="宋体"/>
          <w:kern w:val="2"/>
          <w:sz w:val="21"/>
          <w:szCs w:val="18"/>
        </w:rPr>
        <w:t>账    号：696614971</w:t>
      </w:r>
    </w:p>
    <w:p>
      <w:pPr>
        <w:numPr>
          <w:ilvl w:val="0"/>
          <w:numId w:val="3"/>
        </w:numPr>
        <w:adjustRightInd w:val="0"/>
        <w:snapToGrid w:val="0"/>
        <w:spacing w:line="360" w:lineRule="auto"/>
        <w:rPr>
          <w:rFonts w:ascii="宋体" w:hAnsi="宋体" w:cs="宋体"/>
          <w:bCs/>
          <w:kern w:val="0"/>
          <w:szCs w:val="21"/>
        </w:rPr>
      </w:pPr>
      <w:r>
        <w:rPr>
          <w:rFonts w:hint="eastAsia" w:ascii="宋体" w:hAnsi="宋体"/>
          <w:bCs/>
          <w:szCs w:val="20"/>
        </w:rPr>
        <w:t>投标截止时间：</w:t>
      </w:r>
      <w:r>
        <w:rPr>
          <w:rFonts w:hint="eastAsia" w:ascii="宋体" w:hAnsi="宋体"/>
          <w:bCs/>
          <w:color w:val="FF0000"/>
          <w:szCs w:val="20"/>
        </w:rPr>
        <w:t>2021年</w:t>
      </w:r>
      <w:r>
        <w:rPr>
          <w:rFonts w:hint="eastAsia" w:ascii="宋体" w:hAnsi="宋体"/>
          <w:bCs/>
          <w:color w:val="FF0000"/>
          <w:szCs w:val="20"/>
          <w:lang w:val="en-US" w:eastAsia="zh-CN"/>
        </w:rPr>
        <w:t>7</w:t>
      </w:r>
      <w:r>
        <w:rPr>
          <w:rFonts w:hint="eastAsia" w:ascii="宋体" w:hAnsi="宋体"/>
          <w:bCs/>
          <w:color w:val="FF0000"/>
          <w:szCs w:val="20"/>
        </w:rPr>
        <w:t>月</w:t>
      </w:r>
      <w:r>
        <w:rPr>
          <w:rFonts w:hint="eastAsia" w:ascii="宋体" w:hAnsi="宋体"/>
          <w:bCs/>
          <w:color w:val="FF0000"/>
          <w:szCs w:val="20"/>
          <w:lang w:val="en-US" w:eastAsia="zh-CN"/>
        </w:rPr>
        <w:t>27</w:t>
      </w:r>
      <w:r>
        <w:rPr>
          <w:rFonts w:hint="eastAsia" w:ascii="宋体" w:hAnsi="宋体"/>
          <w:bCs/>
          <w:color w:val="FF0000"/>
          <w:szCs w:val="20"/>
        </w:rPr>
        <w:t>日10时00分</w:t>
      </w:r>
      <w:r>
        <w:rPr>
          <w:rFonts w:hint="eastAsia" w:ascii="宋体" w:hAnsi="宋体"/>
          <w:bCs/>
          <w:szCs w:val="20"/>
        </w:rPr>
        <w:t>。</w:t>
      </w:r>
    </w:p>
    <w:p>
      <w:pPr>
        <w:numPr>
          <w:ilvl w:val="0"/>
          <w:numId w:val="3"/>
        </w:numPr>
        <w:adjustRightInd w:val="0"/>
        <w:snapToGrid w:val="0"/>
        <w:spacing w:line="360" w:lineRule="auto"/>
        <w:rPr>
          <w:rFonts w:ascii="宋体" w:hAnsi="宋体" w:cs="宋体"/>
          <w:bCs/>
          <w:kern w:val="0"/>
          <w:szCs w:val="21"/>
        </w:rPr>
      </w:pPr>
      <w:r>
        <w:rPr>
          <w:rFonts w:hint="eastAsia" w:ascii="宋体" w:hAnsi="宋体"/>
          <w:bCs/>
          <w:szCs w:val="20"/>
        </w:rPr>
        <w:t>提交投标文件地点：</w:t>
      </w:r>
      <w:r>
        <w:rPr>
          <w:rFonts w:hint="eastAsia" w:ascii="宋体" w:hAnsi="宋体" w:cs="宋体"/>
          <w:bCs/>
          <w:kern w:val="0"/>
          <w:szCs w:val="21"/>
          <w:lang w:eastAsia="zh-CN"/>
        </w:rPr>
        <w:t>广州市番禺区南村镇海顺路66号（建设银行背后）二栋17A，1806房（又称：敏捷上城国际1期2栋1806）</w:t>
      </w:r>
      <w:r>
        <w:rPr>
          <w:rFonts w:hint="eastAsia" w:ascii="宋体" w:hAnsi="宋体" w:cs="宋体"/>
          <w:bCs/>
          <w:kern w:val="0"/>
          <w:szCs w:val="21"/>
        </w:rPr>
        <w:t>）。广州宝诚招标代理咨询有限公司会议室。</w:t>
      </w:r>
    </w:p>
    <w:p>
      <w:pPr>
        <w:numPr>
          <w:ilvl w:val="0"/>
          <w:numId w:val="3"/>
        </w:numPr>
        <w:tabs>
          <w:tab w:val="left" w:pos="567"/>
          <w:tab w:val="clear" w:pos="425"/>
        </w:tabs>
        <w:adjustRightInd w:val="0"/>
        <w:snapToGrid w:val="0"/>
        <w:spacing w:line="360" w:lineRule="auto"/>
        <w:ind w:left="728" w:hanging="728"/>
        <w:rPr>
          <w:rFonts w:ascii="宋体" w:hAnsi="宋体"/>
          <w:bCs/>
          <w:szCs w:val="20"/>
        </w:rPr>
      </w:pPr>
      <w:r>
        <w:rPr>
          <w:rFonts w:hint="eastAsia" w:ascii="宋体" w:hAnsi="宋体"/>
          <w:bCs/>
          <w:szCs w:val="20"/>
        </w:rPr>
        <w:t>开标时间：</w:t>
      </w:r>
      <w:r>
        <w:rPr>
          <w:rFonts w:hint="eastAsia" w:ascii="宋体" w:hAnsi="宋体"/>
          <w:bCs/>
          <w:color w:val="FF0000"/>
          <w:szCs w:val="20"/>
        </w:rPr>
        <w:t>2021年</w:t>
      </w:r>
      <w:r>
        <w:rPr>
          <w:rFonts w:hint="eastAsia" w:ascii="宋体" w:hAnsi="宋体"/>
          <w:bCs/>
          <w:color w:val="FF0000"/>
          <w:szCs w:val="20"/>
          <w:lang w:val="en-US" w:eastAsia="zh-CN"/>
        </w:rPr>
        <w:t>7</w:t>
      </w:r>
      <w:r>
        <w:rPr>
          <w:rFonts w:hint="eastAsia" w:ascii="宋体" w:hAnsi="宋体"/>
          <w:bCs/>
          <w:color w:val="FF0000"/>
          <w:szCs w:val="20"/>
        </w:rPr>
        <w:t>月</w:t>
      </w:r>
      <w:r>
        <w:rPr>
          <w:rFonts w:hint="eastAsia" w:ascii="宋体" w:hAnsi="宋体"/>
          <w:bCs/>
          <w:color w:val="FF0000"/>
          <w:szCs w:val="20"/>
          <w:lang w:val="en-US" w:eastAsia="zh-CN"/>
        </w:rPr>
        <w:t>27</w:t>
      </w:r>
      <w:r>
        <w:rPr>
          <w:rFonts w:hint="eastAsia" w:ascii="宋体" w:hAnsi="宋体"/>
          <w:bCs/>
          <w:color w:val="FF0000"/>
          <w:szCs w:val="20"/>
        </w:rPr>
        <w:t>日10时00分</w:t>
      </w:r>
      <w:r>
        <w:rPr>
          <w:rFonts w:hint="eastAsia" w:ascii="宋体" w:hAnsi="宋体"/>
          <w:bCs/>
          <w:szCs w:val="20"/>
        </w:rPr>
        <w:t>。</w:t>
      </w:r>
    </w:p>
    <w:p>
      <w:pPr>
        <w:numPr>
          <w:ilvl w:val="0"/>
          <w:numId w:val="3"/>
        </w:numPr>
        <w:tabs>
          <w:tab w:val="left" w:pos="567"/>
          <w:tab w:val="clear" w:pos="425"/>
        </w:tabs>
        <w:adjustRightInd w:val="0"/>
        <w:snapToGrid w:val="0"/>
        <w:spacing w:line="360" w:lineRule="auto"/>
        <w:ind w:left="728" w:hanging="728"/>
        <w:rPr>
          <w:rFonts w:ascii="宋体" w:hAnsi="宋体"/>
          <w:bCs/>
          <w:szCs w:val="20"/>
        </w:rPr>
      </w:pPr>
      <w:r>
        <w:rPr>
          <w:rFonts w:hint="eastAsia" w:ascii="宋体" w:hAnsi="宋体"/>
          <w:bCs/>
          <w:szCs w:val="20"/>
        </w:rPr>
        <w:t>开标地点：</w:t>
      </w:r>
      <w:r>
        <w:rPr>
          <w:rFonts w:hint="eastAsia" w:ascii="宋体" w:hAnsi="宋体"/>
          <w:szCs w:val="21"/>
          <w:lang w:eastAsia="zh-CN"/>
        </w:rPr>
        <w:t>广州市番禺区南村镇海顺路66号（建设银行背后）二栋17A，1806房（又称：敏捷上城国际1期2栋1806）</w:t>
      </w:r>
      <w:r>
        <w:rPr>
          <w:rFonts w:hint="eastAsia" w:ascii="宋体" w:hAnsi="宋体"/>
          <w:szCs w:val="21"/>
        </w:rPr>
        <w:t>）。</w:t>
      </w:r>
      <w:r>
        <w:rPr>
          <w:rFonts w:hint="eastAsia" w:ascii="宋体" w:hAnsi="宋体" w:cs="宋体"/>
          <w:bCs/>
          <w:kern w:val="0"/>
          <w:szCs w:val="21"/>
        </w:rPr>
        <w:t>广州宝诚招标代理咨询有限公司会议室。</w:t>
      </w:r>
      <w:r>
        <w:rPr>
          <w:rFonts w:hint="eastAsia" w:ascii="宋体" w:hAnsi="宋体"/>
          <w:bCs/>
          <w:szCs w:val="20"/>
        </w:rPr>
        <w:t xml:space="preserve"> </w:t>
      </w:r>
    </w:p>
    <w:p>
      <w:pPr>
        <w:numPr>
          <w:ilvl w:val="0"/>
          <w:numId w:val="3"/>
        </w:numPr>
        <w:tabs>
          <w:tab w:val="left" w:pos="567"/>
          <w:tab w:val="clear" w:pos="425"/>
        </w:tabs>
        <w:adjustRightInd w:val="0"/>
        <w:snapToGrid w:val="0"/>
        <w:spacing w:line="360" w:lineRule="auto"/>
        <w:ind w:left="728" w:hanging="728"/>
        <w:rPr>
          <w:rFonts w:ascii="宋体" w:hAnsi="宋体"/>
          <w:b/>
          <w:bCs/>
          <w:szCs w:val="20"/>
        </w:rPr>
      </w:pPr>
      <w:r>
        <w:rPr>
          <w:rFonts w:hint="eastAsia" w:ascii="宋体" w:hAnsi="宋体"/>
          <w:bCs/>
          <w:szCs w:val="20"/>
        </w:rPr>
        <w:t>本公告期限（5个工作日）自</w:t>
      </w:r>
      <w:r>
        <w:rPr>
          <w:rFonts w:hint="eastAsia" w:ascii="宋体" w:hAnsi="宋体"/>
          <w:color w:val="FF0000"/>
          <w:szCs w:val="21"/>
        </w:rPr>
        <w:t>2021年</w:t>
      </w:r>
      <w:r>
        <w:rPr>
          <w:rFonts w:hint="eastAsia" w:ascii="宋体" w:hAnsi="宋体"/>
          <w:color w:val="FF0000"/>
          <w:szCs w:val="21"/>
          <w:lang w:val="en-US" w:eastAsia="zh-CN"/>
        </w:rPr>
        <w:t>7</w:t>
      </w:r>
      <w:r>
        <w:rPr>
          <w:rFonts w:hint="eastAsia" w:ascii="宋体" w:hAnsi="宋体"/>
          <w:bCs/>
          <w:color w:val="FF0000"/>
          <w:szCs w:val="21"/>
        </w:rPr>
        <w:t>月</w:t>
      </w:r>
      <w:r>
        <w:rPr>
          <w:rFonts w:hint="eastAsia" w:ascii="宋体" w:hAnsi="宋体"/>
          <w:bCs/>
          <w:color w:val="FF0000"/>
          <w:szCs w:val="21"/>
          <w:lang w:val="en-US" w:eastAsia="zh-CN"/>
        </w:rPr>
        <w:t>16</w:t>
      </w:r>
      <w:r>
        <w:rPr>
          <w:rFonts w:hint="eastAsia" w:ascii="宋体" w:hAnsi="宋体"/>
          <w:bCs/>
          <w:color w:val="FF0000"/>
          <w:szCs w:val="21"/>
        </w:rPr>
        <w:t>日</w:t>
      </w:r>
      <w:r>
        <w:rPr>
          <w:rFonts w:hint="eastAsia" w:ascii="宋体" w:hAnsi="宋体"/>
          <w:color w:val="FF0000"/>
          <w:szCs w:val="21"/>
        </w:rPr>
        <w:t>至2021年</w:t>
      </w:r>
      <w:r>
        <w:rPr>
          <w:rFonts w:hint="eastAsia" w:ascii="宋体" w:hAnsi="宋体"/>
          <w:color w:val="FF0000"/>
          <w:szCs w:val="21"/>
          <w:lang w:val="en-US" w:eastAsia="zh-CN"/>
        </w:rPr>
        <w:t>7</w:t>
      </w:r>
      <w:r>
        <w:rPr>
          <w:rFonts w:hint="eastAsia" w:ascii="宋体" w:hAnsi="宋体"/>
          <w:bCs/>
          <w:color w:val="FF0000"/>
          <w:szCs w:val="21"/>
        </w:rPr>
        <w:t>月</w:t>
      </w:r>
      <w:r>
        <w:rPr>
          <w:rFonts w:hint="eastAsia" w:ascii="宋体" w:hAnsi="宋体"/>
          <w:bCs/>
          <w:color w:val="FF0000"/>
          <w:szCs w:val="21"/>
          <w:lang w:val="en-US" w:eastAsia="zh-CN"/>
        </w:rPr>
        <w:t>22</w:t>
      </w:r>
      <w:r>
        <w:rPr>
          <w:rFonts w:hint="eastAsia" w:ascii="宋体" w:hAnsi="宋体"/>
          <w:bCs/>
          <w:color w:val="FF0000"/>
          <w:szCs w:val="21"/>
        </w:rPr>
        <w:t>日</w:t>
      </w:r>
      <w:r>
        <w:rPr>
          <w:rFonts w:hint="eastAsia" w:ascii="宋体" w:hAnsi="宋体"/>
          <w:bCs/>
          <w:szCs w:val="20"/>
        </w:rPr>
        <w:t>止。</w:t>
      </w:r>
    </w:p>
    <w:p>
      <w:pPr>
        <w:numPr>
          <w:ilvl w:val="0"/>
          <w:numId w:val="3"/>
        </w:numPr>
        <w:tabs>
          <w:tab w:val="left" w:pos="728"/>
        </w:tabs>
        <w:adjustRightInd w:val="0"/>
        <w:snapToGrid w:val="0"/>
        <w:spacing w:line="360" w:lineRule="auto"/>
        <w:rPr>
          <w:rFonts w:ascii="宋体" w:hAnsi="宋体"/>
          <w:b/>
          <w:bCs/>
          <w:szCs w:val="20"/>
        </w:rPr>
      </w:pPr>
      <w:r>
        <w:rPr>
          <w:rFonts w:hint="eastAsia" w:ascii="宋体" w:hAnsi="宋体"/>
          <w:b/>
          <w:bCs/>
          <w:szCs w:val="20"/>
        </w:rPr>
        <w:t>本项目相关公告在以下媒体发布：</w:t>
      </w:r>
    </w:p>
    <w:p>
      <w:pPr>
        <w:adjustRightInd w:val="0"/>
        <w:snapToGrid w:val="0"/>
        <w:spacing w:line="360" w:lineRule="auto"/>
        <w:ind w:firstLine="420" w:firstLineChars="200"/>
        <w:rPr>
          <w:rFonts w:ascii="宋体" w:hAnsi="宋体"/>
          <w:bCs/>
          <w:szCs w:val="21"/>
        </w:rPr>
      </w:pPr>
      <w:r>
        <w:rPr>
          <w:rFonts w:hint="eastAsia" w:ascii="宋体" w:hAnsi="宋体"/>
          <w:szCs w:val="21"/>
        </w:rPr>
        <w:t>采购代理机构网站（</w:t>
      </w:r>
      <w:r>
        <w:rPr>
          <w:rFonts w:hint="eastAsia" w:ascii="宋体" w:hAnsi="宋体"/>
          <w:bCs/>
          <w:szCs w:val="21"/>
        </w:rPr>
        <w:t xml:space="preserve"> http://www.baochengdaili.com/）。</w:t>
      </w:r>
    </w:p>
    <w:p>
      <w:pPr>
        <w:tabs>
          <w:tab w:val="left" w:pos="728"/>
        </w:tabs>
        <w:adjustRightInd w:val="0"/>
        <w:snapToGrid w:val="0"/>
        <w:spacing w:line="360" w:lineRule="auto"/>
        <w:ind w:firstLine="420" w:firstLineChars="200"/>
        <w:rPr>
          <w:rFonts w:ascii="宋体" w:hAnsi="宋体" w:cs="宋体"/>
          <w:b/>
          <w:bCs/>
          <w:szCs w:val="21"/>
        </w:rPr>
      </w:pPr>
      <w:r>
        <w:rPr>
          <w:rFonts w:hint="eastAsia" w:ascii="宋体" w:hAnsi="宋体"/>
          <w:bCs/>
          <w:szCs w:val="20"/>
        </w:rPr>
        <w:t>法定媒体：</w:t>
      </w:r>
      <w:r>
        <w:rPr>
          <w:rFonts w:hint="eastAsia" w:ascii="宋体" w:hAnsi="宋体"/>
          <w:bCs/>
          <w:szCs w:val="20"/>
          <w:lang w:val="en-US" w:eastAsia="zh-CN"/>
        </w:rPr>
        <w:t>中国采购与招标网</w:t>
      </w:r>
      <w:bookmarkStart w:id="102" w:name="_GoBack"/>
      <w:bookmarkEnd w:id="102"/>
      <w:r>
        <w:rPr>
          <w:rFonts w:hint="eastAsia" w:ascii="宋体" w:hAnsi="宋体"/>
          <w:bCs/>
          <w:szCs w:val="20"/>
        </w:rPr>
        <w:t>。相关公告在法定媒体上公布之日即视为有效送达，不再另行通知。</w:t>
      </w:r>
    </w:p>
    <w:p>
      <w:pPr>
        <w:numPr>
          <w:ilvl w:val="0"/>
          <w:numId w:val="3"/>
        </w:numPr>
        <w:tabs>
          <w:tab w:val="left" w:pos="728"/>
        </w:tabs>
        <w:adjustRightInd w:val="0"/>
        <w:snapToGrid w:val="0"/>
        <w:spacing w:line="360" w:lineRule="auto"/>
        <w:rPr>
          <w:rFonts w:ascii="宋体" w:hAnsi="宋体" w:cs="宋体"/>
          <w:b/>
          <w:bCs/>
          <w:szCs w:val="21"/>
        </w:rPr>
      </w:pPr>
      <w:r>
        <w:rPr>
          <w:rFonts w:ascii="宋体" w:hAnsi="宋体"/>
          <w:b/>
          <w:szCs w:val="21"/>
        </w:rPr>
        <w:t>联系</w:t>
      </w:r>
      <w:r>
        <w:rPr>
          <w:rFonts w:hint="eastAsia" w:ascii="宋体" w:hAnsi="宋体"/>
          <w:b/>
          <w:szCs w:val="21"/>
        </w:rPr>
        <w:t>事项：</w:t>
      </w:r>
    </w:p>
    <w:tbl>
      <w:tblPr>
        <w:tblStyle w:val="18"/>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7"/>
              <w:numPr>
                <w:ilvl w:val="0"/>
                <w:numId w:val="0"/>
              </w:numPr>
              <w:adjustRightInd w:val="0"/>
              <w:snapToGrid w:val="0"/>
              <w:spacing w:line="360" w:lineRule="auto"/>
              <w:ind w:left="514" w:right="111" w:rightChars="53" w:hanging="514" w:hangingChars="245"/>
              <w:rPr>
                <w:rFonts w:ascii="宋体" w:hAnsi="宋体"/>
                <w:szCs w:val="21"/>
              </w:rPr>
            </w:pPr>
            <w:r>
              <w:rPr>
                <w:rFonts w:hint="eastAsia" w:ascii="宋体" w:hAnsi="宋体"/>
                <w:szCs w:val="21"/>
              </w:rPr>
              <w:t>(一)采购代理机构：广州宝诚招标代理咨询有限公司</w:t>
            </w:r>
          </w:p>
        </w:tc>
        <w:tc>
          <w:tcPr>
            <w:tcW w:w="4650" w:type="dxa"/>
            <w:shd w:val="clear" w:color="auto" w:fill="F8FCFF"/>
            <w:vAlign w:val="center"/>
          </w:tcPr>
          <w:p>
            <w:pPr>
              <w:pStyle w:val="27"/>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地址：</w:t>
            </w:r>
            <w:r>
              <w:rPr>
                <w:rFonts w:hint="eastAsia" w:ascii="宋体" w:hAnsi="宋体"/>
                <w:szCs w:val="21"/>
                <w:lang w:eastAsia="zh-CN"/>
              </w:rPr>
              <w:t>广州市番禺区南村镇海顺路66号（建设银行背后）二栋17A，1806房（又称：敏捷上城国际1期2栋1806）</w:t>
            </w:r>
            <w:r>
              <w:rPr>
                <w:rFonts w:hint="eastAsia" w:ascii="宋体" w:hAnsi="宋体"/>
                <w:szCs w:val="21"/>
              </w:rPr>
              <w:t>）。</w:t>
            </w:r>
          </w:p>
        </w:tc>
      </w:tr>
      <w:tr>
        <w:tblPrEx>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7"/>
              <w:numPr>
                <w:ilvl w:val="0"/>
                <w:numId w:val="0"/>
              </w:numPr>
              <w:tabs>
                <w:tab w:val="left" w:pos="851"/>
              </w:tabs>
              <w:adjustRightInd w:val="0"/>
              <w:snapToGrid w:val="0"/>
              <w:spacing w:line="360" w:lineRule="auto"/>
              <w:ind w:firstLine="420" w:firstLineChars="200"/>
              <w:rPr>
                <w:rFonts w:ascii="宋体" w:hAnsi="宋体"/>
                <w:szCs w:val="21"/>
              </w:rPr>
            </w:pPr>
            <w:r>
              <w:rPr>
                <w:rFonts w:hint="eastAsia" w:ascii="宋体" w:hAnsi="宋体"/>
                <w:szCs w:val="21"/>
              </w:rPr>
              <w:t>联系人：高先生</w:t>
            </w:r>
          </w:p>
        </w:tc>
        <w:tc>
          <w:tcPr>
            <w:tcW w:w="4650" w:type="dxa"/>
            <w:shd w:val="clear" w:color="auto" w:fill="F8FCFF"/>
            <w:vAlign w:val="center"/>
          </w:tcPr>
          <w:p>
            <w:pPr>
              <w:pStyle w:val="27"/>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联系电话：020-37887429</w:t>
            </w:r>
          </w:p>
        </w:tc>
      </w:tr>
      <w:tr>
        <w:tblPrEx>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7"/>
              <w:numPr>
                <w:ilvl w:val="0"/>
                <w:numId w:val="0"/>
              </w:numPr>
              <w:tabs>
                <w:tab w:val="left" w:pos="851"/>
              </w:tabs>
              <w:adjustRightInd w:val="0"/>
              <w:snapToGrid w:val="0"/>
              <w:spacing w:line="360" w:lineRule="auto"/>
              <w:ind w:firstLine="420" w:firstLineChars="200"/>
              <w:rPr>
                <w:rFonts w:ascii="宋体" w:hAnsi="宋体"/>
                <w:szCs w:val="21"/>
              </w:rPr>
            </w:pPr>
            <w:r>
              <w:rPr>
                <w:rFonts w:hint="eastAsia" w:ascii="宋体" w:hAnsi="宋体"/>
                <w:szCs w:val="21"/>
              </w:rPr>
              <w:t>传真：020-37887429</w:t>
            </w:r>
          </w:p>
        </w:tc>
        <w:tc>
          <w:tcPr>
            <w:tcW w:w="4650" w:type="dxa"/>
            <w:shd w:val="clear" w:color="auto" w:fill="F8FCFF"/>
            <w:vAlign w:val="center"/>
          </w:tcPr>
          <w:p>
            <w:pPr>
              <w:pStyle w:val="27"/>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邮编：510650</w:t>
            </w:r>
          </w:p>
        </w:tc>
      </w:tr>
    </w:tbl>
    <w:p>
      <w:pPr>
        <w:rPr>
          <w:rFonts w:ascii="宋体" w:hAnsi="宋体" w:cs="宋体"/>
          <w:bCs/>
          <w:kern w:val="0"/>
          <w:szCs w:val="21"/>
        </w:rPr>
      </w:pPr>
    </w:p>
    <w:tbl>
      <w:tblPr>
        <w:tblStyle w:val="18"/>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7"/>
              <w:numPr>
                <w:ilvl w:val="0"/>
                <w:numId w:val="0"/>
              </w:numPr>
              <w:tabs>
                <w:tab w:val="left" w:pos="851"/>
              </w:tabs>
              <w:adjustRightInd w:val="0"/>
              <w:snapToGrid w:val="0"/>
              <w:spacing w:line="360" w:lineRule="auto"/>
              <w:rPr>
                <w:rFonts w:hint="eastAsia" w:ascii="宋体" w:hAnsi="宋体" w:eastAsia="宋体"/>
                <w:color w:val="auto"/>
                <w:szCs w:val="21"/>
                <w:lang w:eastAsia="zh-CN"/>
              </w:rPr>
            </w:pPr>
            <w:r>
              <w:rPr>
                <w:rFonts w:hint="eastAsia" w:ascii="宋体" w:hAnsi="宋体"/>
                <w:color w:val="auto"/>
                <w:szCs w:val="21"/>
              </w:rPr>
              <w:t xml:space="preserve">(二)采购人： </w:t>
            </w:r>
            <w:r>
              <w:rPr>
                <w:rFonts w:hint="eastAsia" w:ascii="宋体" w:hAnsi="宋体"/>
                <w:color w:val="auto"/>
                <w:szCs w:val="21"/>
                <w:lang w:eastAsia="zh-CN"/>
              </w:rPr>
              <w:t>广州市番禺区慈善会</w:t>
            </w:r>
          </w:p>
        </w:tc>
        <w:tc>
          <w:tcPr>
            <w:tcW w:w="4650" w:type="dxa"/>
            <w:shd w:val="clear" w:color="auto" w:fill="F8FCFF"/>
            <w:vAlign w:val="center"/>
          </w:tcPr>
          <w:p>
            <w:pPr>
              <w:pStyle w:val="27"/>
              <w:numPr>
                <w:ilvl w:val="0"/>
                <w:numId w:val="0"/>
              </w:numPr>
              <w:tabs>
                <w:tab w:val="left" w:pos="851"/>
              </w:tabs>
              <w:adjustRightInd w:val="0"/>
              <w:snapToGrid w:val="0"/>
              <w:spacing w:line="360" w:lineRule="auto"/>
              <w:rPr>
                <w:rFonts w:hint="default" w:ascii="宋体" w:hAnsi="宋体" w:eastAsia="宋体"/>
                <w:color w:val="auto"/>
                <w:szCs w:val="21"/>
                <w:lang w:val="en-US" w:eastAsia="zh-CN"/>
              </w:rPr>
            </w:pPr>
            <w:r>
              <w:rPr>
                <w:rFonts w:hint="eastAsia" w:ascii="宋体" w:hAnsi="宋体"/>
                <w:color w:val="auto"/>
                <w:szCs w:val="21"/>
              </w:rPr>
              <w:t>地址： /</w:t>
            </w:r>
          </w:p>
        </w:tc>
      </w:tr>
      <w:tr>
        <w:tblPrEx>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7"/>
              <w:numPr>
                <w:ilvl w:val="0"/>
                <w:numId w:val="0"/>
              </w:numPr>
              <w:tabs>
                <w:tab w:val="left" w:pos="851"/>
              </w:tabs>
              <w:adjustRightInd w:val="0"/>
              <w:snapToGrid w:val="0"/>
              <w:spacing w:line="360" w:lineRule="auto"/>
              <w:ind w:firstLine="420" w:firstLineChars="200"/>
              <w:rPr>
                <w:rFonts w:hint="default" w:ascii="宋体" w:hAnsi="宋体" w:eastAsia="宋体"/>
                <w:color w:val="auto"/>
                <w:szCs w:val="21"/>
                <w:lang w:val="en-US" w:eastAsia="zh-CN"/>
              </w:rPr>
            </w:pPr>
            <w:r>
              <w:rPr>
                <w:rFonts w:hint="eastAsia" w:ascii="宋体" w:hAnsi="宋体"/>
                <w:color w:val="auto"/>
                <w:szCs w:val="21"/>
              </w:rPr>
              <w:t xml:space="preserve">联系人： </w:t>
            </w:r>
            <w:r>
              <w:rPr>
                <w:rFonts w:hint="eastAsia" w:ascii="宋体" w:hAnsi="宋体"/>
                <w:color w:val="auto"/>
                <w:szCs w:val="21"/>
                <w:lang w:val="en-US" w:eastAsia="zh-CN"/>
              </w:rPr>
              <w:t xml:space="preserve"> 兰小姐</w:t>
            </w:r>
          </w:p>
        </w:tc>
        <w:tc>
          <w:tcPr>
            <w:tcW w:w="4650" w:type="dxa"/>
            <w:shd w:val="clear" w:color="auto" w:fill="F8FCFF"/>
            <w:vAlign w:val="center"/>
          </w:tcPr>
          <w:p>
            <w:pPr>
              <w:pStyle w:val="27"/>
              <w:numPr>
                <w:ilvl w:val="0"/>
                <w:numId w:val="0"/>
              </w:numPr>
              <w:tabs>
                <w:tab w:val="left" w:pos="851"/>
              </w:tabs>
              <w:adjustRightInd w:val="0"/>
              <w:snapToGrid w:val="0"/>
              <w:spacing w:line="360" w:lineRule="auto"/>
              <w:rPr>
                <w:rFonts w:hint="eastAsia" w:ascii="宋体" w:hAnsi="宋体" w:eastAsia="宋体"/>
                <w:color w:val="auto"/>
                <w:szCs w:val="21"/>
                <w:lang w:eastAsia="zh-CN"/>
              </w:rPr>
            </w:pPr>
            <w:r>
              <w:rPr>
                <w:rFonts w:hint="eastAsia" w:ascii="宋体" w:hAnsi="宋体"/>
                <w:color w:val="auto"/>
                <w:szCs w:val="21"/>
              </w:rPr>
              <w:t>联系电话： /</w:t>
            </w:r>
          </w:p>
        </w:tc>
      </w:tr>
      <w:tr>
        <w:tblPrEx>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7"/>
              <w:numPr>
                <w:ilvl w:val="0"/>
                <w:numId w:val="0"/>
              </w:numPr>
              <w:tabs>
                <w:tab w:val="left" w:pos="851"/>
              </w:tabs>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传真：/</w:t>
            </w:r>
          </w:p>
        </w:tc>
        <w:tc>
          <w:tcPr>
            <w:tcW w:w="4650" w:type="dxa"/>
            <w:shd w:val="clear" w:color="auto" w:fill="F8FCFF"/>
            <w:vAlign w:val="center"/>
          </w:tcPr>
          <w:p>
            <w:pPr>
              <w:pStyle w:val="27"/>
              <w:numPr>
                <w:ilvl w:val="0"/>
                <w:numId w:val="0"/>
              </w:numPr>
              <w:tabs>
                <w:tab w:val="left" w:pos="851"/>
              </w:tabs>
              <w:adjustRightInd w:val="0"/>
              <w:snapToGrid w:val="0"/>
              <w:spacing w:line="360" w:lineRule="auto"/>
              <w:rPr>
                <w:rFonts w:ascii="宋体" w:hAnsi="宋体"/>
                <w:color w:val="auto"/>
                <w:szCs w:val="21"/>
              </w:rPr>
            </w:pPr>
            <w:r>
              <w:rPr>
                <w:rFonts w:hint="eastAsia" w:ascii="宋体" w:hAnsi="宋体"/>
                <w:color w:val="auto"/>
                <w:szCs w:val="21"/>
              </w:rPr>
              <w:t>邮编： /</w:t>
            </w:r>
          </w:p>
        </w:tc>
      </w:tr>
    </w:tbl>
    <w:p>
      <w:pPr>
        <w:tabs>
          <w:tab w:val="right" w:pos="9180"/>
        </w:tabs>
        <w:adjustRightInd w:val="0"/>
        <w:snapToGrid w:val="0"/>
        <w:spacing w:line="360" w:lineRule="auto"/>
        <w:ind w:firstLine="435"/>
        <w:jc w:val="right"/>
        <w:rPr>
          <w:rFonts w:ascii="宋体" w:hAnsi="宋体"/>
          <w:b/>
        </w:rPr>
      </w:pPr>
    </w:p>
    <w:p>
      <w:pPr>
        <w:rPr>
          <w:rFonts w:ascii="宋体" w:hAnsi="宋体"/>
          <w:color w:val="FF0000"/>
        </w:rPr>
        <w:sectPr>
          <w:headerReference r:id="rId4" w:type="first"/>
          <w:footerReference r:id="rId6" w:type="first"/>
          <w:headerReference r:id="rId3" w:type="default"/>
          <w:footerReference r:id="rId5" w:type="default"/>
          <w:pgSz w:w="11906" w:h="16838"/>
          <w:pgMar w:top="1440" w:right="1080" w:bottom="1440" w:left="1080" w:header="623" w:footer="567" w:gutter="0"/>
          <w:pgBorders>
            <w:top w:val="none" w:sz="0" w:space="0"/>
            <w:left w:val="none" w:sz="0" w:space="0"/>
            <w:bottom w:val="none" w:sz="0" w:space="0"/>
            <w:right w:val="none" w:sz="0" w:space="0"/>
          </w:pgBorders>
          <w:cols w:space="720" w:num="1"/>
          <w:titlePg/>
          <w:docGrid w:type="lines" w:linePitch="312" w:charSpace="0"/>
        </w:sectPr>
      </w:pPr>
    </w:p>
    <w:p>
      <w:pPr>
        <w:adjustRightInd w:val="0"/>
        <w:snapToGrid w:val="0"/>
        <w:spacing w:beforeLines="50" w:afterLines="50"/>
        <w:jc w:val="center"/>
        <w:outlineLvl w:val="0"/>
        <w:rPr>
          <w:rFonts w:ascii="宋体" w:hAnsi="宋体"/>
          <w:b/>
          <w:bCs/>
          <w:sz w:val="28"/>
          <w:szCs w:val="28"/>
        </w:rPr>
      </w:pPr>
      <w:bookmarkStart w:id="5" w:name="_Toc3939"/>
      <w:r>
        <w:rPr>
          <w:rFonts w:ascii="宋体" w:hAnsi="宋体"/>
          <w:b/>
          <w:bCs/>
          <w:sz w:val="28"/>
          <w:szCs w:val="28"/>
        </w:rPr>
        <w:t>第</w:t>
      </w:r>
      <w:r>
        <w:rPr>
          <w:rFonts w:hint="eastAsia" w:ascii="宋体" w:hAnsi="宋体"/>
          <w:b/>
          <w:bCs/>
          <w:sz w:val="28"/>
          <w:szCs w:val="28"/>
        </w:rPr>
        <w:t>二</w:t>
      </w:r>
      <w:r>
        <w:rPr>
          <w:rFonts w:ascii="宋体" w:hAnsi="宋体"/>
          <w:b/>
          <w:bCs/>
          <w:sz w:val="28"/>
          <w:szCs w:val="28"/>
        </w:rPr>
        <w:t>章  投标资料表</w:t>
      </w:r>
      <w:bookmarkEnd w:id="5"/>
    </w:p>
    <w:p>
      <w:pPr>
        <w:spacing w:line="360" w:lineRule="auto"/>
        <w:ind w:right="-174" w:rightChars="-83"/>
        <w:rPr>
          <w:rFonts w:ascii="宋体" w:hAnsi="宋体"/>
          <w:b/>
        </w:rPr>
      </w:pPr>
      <w:r>
        <w:rPr>
          <w:rFonts w:hint="eastAsia" w:ascii="宋体" w:hAnsi="宋体"/>
          <w:b/>
        </w:rPr>
        <w:t>说明：该资料表的条款项号是与第七章《投标人须知》条款项号对应的条款，是对第七章《投标人须知》的补充、修改和完善，如果有矛盾的话，应以本资料表为准。</w:t>
      </w:r>
    </w:p>
    <w:tbl>
      <w:tblPr>
        <w:tblStyle w:val="18"/>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016"/>
        <w:gridCol w:w="65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354" w:type="dxa"/>
            <w:vAlign w:val="center"/>
          </w:tcPr>
          <w:p>
            <w:pPr>
              <w:adjustRightInd w:val="0"/>
              <w:snapToGrid w:val="0"/>
              <w:spacing w:line="320" w:lineRule="exact"/>
              <w:jc w:val="center"/>
              <w:rPr>
                <w:rFonts w:ascii="宋体" w:hAnsi="宋体"/>
                <w:b/>
                <w:szCs w:val="21"/>
              </w:rPr>
            </w:pPr>
            <w:r>
              <w:rPr>
                <w:rFonts w:ascii="宋体" w:hAnsi="宋体"/>
                <w:b/>
                <w:szCs w:val="21"/>
              </w:rPr>
              <w:t>条款号</w:t>
            </w:r>
          </w:p>
        </w:tc>
        <w:tc>
          <w:tcPr>
            <w:tcW w:w="2016" w:type="dxa"/>
            <w:vAlign w:val="center"/>
          </w:tcPr>
          <w:p>
            <w:pPr>
              <w:adjustRightInd w:val="0"/>
              <w:snapToGrid w:val="0"/>
              <w:spacing w:line="320" w:lineRule="exact"/>
              <w:jc w:val="center"/>
              <w:rPr>
                <w:rFonts w:ascii="宋体" w:hAnsi="宋体"/>
                <w:b/>
                <w:szCs w:val="21"/>
              </w:rPr>
            </w:pPr>
            <w:r>
              <w:rPr>
                <w:rFonts w:hint="eastAsia" w:ascii="宋体" w:hAnsi="宋体"/>
                <w:b/>
                <w:szCs w:val="21"/>
              </w:rPr>
              <w:t>内容</w:t>
            </w:r>
          </w:p>
        </w:tc>
        <w:tc>
          <w:tcPr>
            <w:tcW w:w="6592" w:type="dxa"/>
            <w:vAlign w:val="center"/>
          </w:tcPr>
          <w:p>
            <w:pPr>
              <w:adjustRightInd w:val="0"/>
              <w:snapToGrid w:val="0"/>
              <w:spacing w:line="320" w:lineRule="exact"/>
              <w:jc w:val="center"/>
              <w:rPr>
                <w:rFonts w:ascii="宋体" w:hAnsi="宋体"/>
                <w:b/>
                <w:szCs w:val="21"/>
              </w:rPr>
            </w:pPr>
            <w:r>
              <w:rPr>
                <w:rFonts w:hint="eastAsia" w:ascii="宋体" w:hAnsi="宋体"/>
                <w:b/>
                <w:szCs w:val="21"/>
              </w:rPr>
              <w:t>说明与要求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9962" w:type="dxa"/>
            <w:gridSpan w:val="3"/>
            <w:vAlign w:val="center"/>
          </w:tcPr>
          <w:p>
            <w:pPr>
              <w:adjustRightInd w:val="0"/>
              <w:snapToGrid w:val="0"/>
              <w:spacing w:line="320" w:lineRule="exact"/>
              <w:jc w:val="center"/>
              <w:rPr>
                <w:rFonts w:ascii="宋体" w:hAnsi="宋体"/>
                <w:b/>
                <w:szCs w:val="21"/>
              </w:rPr>
            </w:pPr>
            <w:r>
              <w:rPr>
                <w:rFonts w:ascii="宋体" w:hAnsi="宋体"/>
                <w:b/>
                <w:szCs w:val="21"/>
              </w:rPr>
              <w:t>一、说明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1.1</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采购人名称</w:t>
            </w:r>
          </w:p>
        </w:tc>
        <w:tc>
          <w:tcPr>
            <w:tcW w:w="6592" w:type="dxa"/>
            <w:vAlign w:val="center"/>
          </w:tcPr>
          <w:p>
            <w:pPr>
              <w:adjustRightInd w:val="0"/>
              <w:snapToGrid w:val="0"/>
              <w:spacing w:line="320" w:lineRule="exact"/>
              <w:rPr>
                <w:rFonts w:hint="eastAsia" w:ascii="宋体" w:hAnsi="宋体" w:eastAsia="宋体" w:cs="宋体"/>
                <w:szCs w:val="21"/>
                <w:lang w:eastAsia="zh-CN"/>
              </w:rPr>
            </w:pPr>
            <w:r>
              <w:rPr>
                <w:rFonts w:hint="eastAsia" w:ascii="宋体" w:hAnsi="宋体"/>
                <w:szCs w:val="21"/>
                <w:lang w:eastAsia="zh-CN"/>
              </w:rPr>
              <w:t>广州市番禺区慈善会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1.2</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采购代理机构</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名称：广州宝诚招标代理咨询有限公司</w:t>
            </w:r>
          </w:p>
          <w:p>
            <w:pPr>
              <w:adjustRightInd w:val="0"/>
              <w:snapToGrid w:val="0"/>
              <w:spacing w:line="320" w:lineRule="exact"/>
              <w:rPr>
                <w:rFonts w:ascii="宋体" w:hAnsi="宋体"/>
                <w:szCs w:val="21"/>
              </w:rPr>
            </w:pPr>
            <w:r>
              <w:rPr>
                <w:rFonts w:ascii="宋体" w:hAnsi="宋体"/>
                <w:szCs w:val="21"/>
              </w:rPr>
              <w:t>地址：</w:t>
            </w:r>
            <w:r>
              <w:rPr>
                <w:rFonts w:hint="eastAsia" w:ascii="宋体" w:hAnsi="宋体"/>
                <w:szCs w:val="21"/>
                <w:lang w:eastAsia="zh-CN"/>
              </w:rPr>
              <w:t>广州市番禺区南村镇海顺路66号（建设银行背后）二栋17A，1806房（又称：敏捷上城国际1期2栋1806）</w:t>
            </w:r>
            <w:r>
              <w:rPr>
                <w:rFonts w:hint="eastAsia" w:ascii="宋体" w:hAnsi="宋体"/>
                <w:szCs w:val="21"/>
              </w:rPr>
              <w:t>）</w:t>
            </w:r>
          </w:p>
          <w:p>
            <w:pPr>
              <w:adjustRightInd w:val="0"/>
              <w:snapToGrid w:val="0"/>
              <w:spacing w:line="320" w:lineRule="exact"/>
              <w:rPr>
                <w:rFonts w:ascii="宋体" w:hAnsi="宋体"/>
                <w:szCs w:val="21"/>
              </w:rPr>
            </w:pPr>
            <w:r>
              <w:rPr>
                <w:rFonts w:ascii="宋体" w:hAnsi="宋体"/>
                <w:szCs w:val="21"/>
              </w:rPr>
              <w:t>电话：</w:t>
            </w:r>
            <w:r>
              <w:rPr>
                <w:rFonts w:hint="eastAsia" w:ascii="宋体" w:hAnsi="宋体"/>
                <w:szCs w:val="21"/>
              </w:rPr>
              <w:t>020-37887429</w:t>
            </w:r>
          </w:p>
          <w:p>
            <w:pPr>
              <w:adjustRightInd w:val="0"/>
              <w:snapToGrid w:val="0"/>
              <w:spacing w:line="320" w:lineRule="exact"/>
              <w:rPr>
                <w:rFonts w:ascii="宋体" w:hAnsi="宋体"/>
                <w:szCs w:val="21"/>
              </w:rPr>
            </w:pPr>
            <w:r>
              <w:rPr>
                <w:rFonts w:ascii="宋体" w:hAnsi="宋体"/>
                <w:szCs w:val="21"/>
              </w:rPr>
              <w:t>传真：</w:t>
            </w:r>
            <w:r>
              <w:rPr>
                <w:rFonts w:hint="eastAsia" w:ascii="宋体" w:hAnsi="宋体"/>
                <w:szCs w:val="21"/>
              </w:rPr>
              <w:t>020-37887429</w:t>
            </w:r>
          </w:p>
          <w:p>
            <w:pPr>
              <w:adjustRightInd w:val="0"/>
              <w:snapToGrid w:val="0"/>
              <w:spacing w:line="320" w:lineRule="exact"/>
              <w:rPr>
                <w:rFonts w:ascii="宋体" w:hAnsi="宋体"/>
                <w:szCs w:val="21"/>
              </w:rPr>
            </w:pPr>
            <w:r>
              <w:rPr>
                <w:rFonts w:hint="eastAsia" w:ascii="宋体" w:hAnsi="宋体"/>
                <w:szCs w:val="21"/>
              </w:rPr>
              <w:t>电子邮箱：GZBCZB</w:t>
            </w:r>
            <w:r>
              <w:rPr>
                <w:rFonts w:ascii="宋体" w:hAnsi="宋体"/>
                <w:szCs w:val="21"/>
              </w:rPr>
              <w:t>@163.com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资金性质</w:t>
            </w:r>
          </w:p>
        </w:tc>
        <w:tc>
          <w:tcPr>
            <w:tcW w:w="6592" w:type="dxa"/>
            <w:vAlign w:val="center"/>
          </w:tcPr>
          <w:p>
            <w:pPr>
              <w:adjustRightInd w:val="0"/>
              <w:snapToGrid w:val="0"/>
              <w:spacing w:line="320" w:lineRule="exact"/>
              <w:rPr>
                <w:rFonts w:ascii="宋体" w:hAnsi="宋体"/>
                <w:szCs w:val="21"/>
              </w:rPr>
            </w:pPr>
            <w:r>
              <w:rPr>
                <w:rFonts w:hint="eastAsia" w:ascii="宋体" w:hAnsi="宋体" w:cs="宋体"/>
                <w:szCs w:val="21"/>
              </w:rPr>
              <w:t>财政性资金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1.4</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实施政府采购信用担保</w:t>
            </w:r>
          </w:p>
        </w:tc>
        <w:tc>
          <w:tcPr>
            <w:tcW w:w="6592" w:type="dxa"/>
            <w:vAlign w:val="center"/>
          </w:tcPr>
          <w:p>
            <w:pPr>
              <w:adjustRightInd w:val="0"/>
              <w:snapToGrid w:val="0"/>
              <w:spacing w:line="320" w:lineRule="exact"/>
              <w:rPr>
                <w:rFonts w:ascii="宋体" w:hAnsi="宋体"/>
                <w:szCs w:val="21"/>
              </w:rPr>
            </w:pPr>
            <w:r>
              <w:rPr>
                <w:rFonts w:hint="eastAsia" w:ascii="宋体" w:hAnsi="宋体"/>
                <w:bCs/>
              </w:rPr>
              <w:t>适用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1.5</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专业担保机构的选择</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推荐担保机构及联系方式：</w:t>
            </w:r>
          </w:p>
          <w:tbl>
            <w:tblPr>
              <w:tblStyle w:val="18"/>
              <w:tblW w:w="6366" w:type="dxa"/>
              <w:tblInd w:w="0" w:type="dxa"/>
              <w:tblLayout w:type="fixed"/>
              <w:tblCellMar>
                <w:top w:w="0" w:type="dxa"/>
                <w:left w:w="108" w:type="dxa"/>
                <w:bottom w:w="0" w:type="dxa"/>
                <w:right w:w="108" w:type="dxa"/>
              </w:tblCellMar>
            </w:tblPr>
            <w:tblGrid>
              <w:gridCol w:w="1283"/>
              <w:gridCol w:w="1537"/>
              <w:gridCol w:w="2480"/>
              <w:gridCol w:w="1066"/>
            </w:tblGrid>
            <w:tr>
              <w:tblPrEx>
                <w:tblCellMar>
                  <w:top w:w="0" w:type="dxa"/>
                  <w:left w:w="108" w:type="dxa"/>
                  <w:bottom w:w="0" w:type="dxa"/>
                  <w:right w:w="108" w:type="dxa"/>
                </w:tblCellMar>
              </w:tblPrEx>
              <w:trPr>
                <w:trHeight w:val="103"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名称</w:t>
                  </w:r>
                </w:p>
              </w:tc>
              <w:tc>
                <w:tcPr>
                  <w:tcW w:w="1537"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地址</w:t>
                  </w:r>
                </w:p>
              </w:tc>
              <w:tc>
                <w:tcPr>
                  <w:tcW w:w="2480"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联系电话</w:t>
                  </w:r>
                </w:p>
              </w:tc>
              <w:tc>
                <w:tcPr>
                  <w:tcW w:w="1066"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联系人</w:t>
                  </w:r>
                </w:p>
              </w:tc>
            </w:tr>
            <w:tr>
              <w:tblPrEx>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中国投资担保有限公司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北京市海淀区西三环北路100号金玉大厦九楼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010-888228</w:t>
                  </w:r>
                  <w:r>
                    <w:rPr>
                      <w:rFonts w:hint="eastAsia" w:hAnsi="宋体"/>
                      <w:color w:val="auto"/>
                      <w:sz w:val="21"/>
                      <w:szCs w:val="21"/>
                      <w:lang w:eastAsia="zh-CN"/>
                    </w:rPr>
                    <w:t>300</w:t>
                  </w:r>
                  <w:r>
                    <w:rPr>
                      <w:rFonts w:hint="eastAsia" w:hAnsi="宋体"/>
                      <w:color w:val="auto"/>
                      <w:sz w:val="21"/>
                      <w:szCs w:val="21"/>
                    </w:rPr>
                    <w:t>/</w:t>
                  </w:r>
                </w:p>
                <w:p>
                  <w:pPr>
                    <w:pStyle w:val="7"/>
                    <w:jc w:val="center"/>
                    <w:rPr>
                      <w:rFonts w:hAnsi="宋体"/>
                      <w:color w:val="auto"/>
                      <w:sz w:val="21"/>
                      <w:szCs w:val="21"/>
                    </w:rPr>
                  </w:pPr>
                  <w:r>
                    <w:rPr>
                      <w:rFonts w:hint="eastAsia" w:hAnsi="宋体"/>
                      <w:color w:val="auto"/>
                      <w:sz w:val="21"/>
                      <w:szCs w:val="21"/>
                    </w:rPr>
                    <w:t>15011155178 010-88822659/</w:t>
                  </w:r>
                </w:p>
                <w:p>
                  <w:pPr>
                    <w:pStyle w:val="7"/>
                    <w:jc w:val="center"/>
                    <w:rPr>
                      <w:rFonts w:hAnsi="宋体"/>
                      <w:color w:val="auto"/>
                      <w:sz w:val="21"/>
                      <w:szCs w:val="21"/>
                    </w:rPr>
                  </w:pPr>
                  <w:r>
                    <w:rPr>
                      <w:rFonts w:hint="eastAsia" w:hAnsi="宋体"/>
                      <w:color w:val="auto"/>
                      <w:sz w:val="21"/>
                      <w:szCs w:val="21"/>
                    </w:rPr>
                    <w:t>18001263459</w:t>
                  </w:r>
                </w:p>
              </w:tc>
              <w:tc>
                <w:tcPr>
                  <w:tcW w:w="1066"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安国山</w:t>
                  </w:r>
                </w:p>
                <w:p>
                  <w:pPr>
                    <w:pStyle w:val="7"/>
                    <w:jc w:val="center"/>
                    <w:rPr>
                      <w:rFonts w:hAnsi="宋体"/>
                      <w:color w:val="auto"/>
                      <w:sz w:val="21"/>
                      <w:szCs w:val="21"/>
                    </w:rPr>
                  </w:pPr>
                  <w:r>
                    <w:rPr>
                      <w:rFonts w:hint="eastAsia" w:hAnsi="宋体"/>
                      <w:color w:val="auto"/>
                      <w:sz w:val="21"/>
                      <w:szCs w:val="21"/>
                    </w:rPr>
                    <w:t>何 嘉</w:t>
                  </w:r>
                </w:p>
              </w:tc>
            </w:tr>
            <w:tr>
              <w:tblPrEx>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广东省融资再担保公司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广州市东风中路481号粤财大厦</w:t>
                  </w:r>
                </w:p>
              </w:tc>
              <w:tc>
                <w:tcPr>
                  <w:tcW w:w="2480"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020-83063201</w:t>
                  </w:r>
                </w:p>
                <w:p>
                  <w:pPr>
                    <w:pStyle w:val="7"/>
                    <w:jc w:val="center"/>
                    <w:rPr>
                      <w:rFonts w:hAnsi="宋体"/>
                      <w:color w:val="auto"/>
                      <w:sz w:val="21"/>
                      <w:szCs w:val="21"/>
                    </w:rPr>
                  </w:pPr>
                  <w:r>
                    <w:rPr>
                      <w:rFonts w:hint="eastAsia" w:hAnsi="宋体"/>
                      <w:color w:val="auto"/>
                      <w:sz w:val="21"/>
                      <w:szCs w:val="21"/>
                    </w:rPr>
                    <w:t>13660420475</w:t>
                  </w:r>
                </w:p>
              </w:tc>
              <w:tc>
                <w:tcPr>
                  <w:tcW w:w="1066"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李世杰</w:t>
                  </w:r>
                </w:p>
              </w:tc>
            </w:tr>
            <w:tr>
              <w:tblPrEx>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东莞市金鼎融资担保有限公司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东莞市东城区君豪商业中心9楼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13729</w:t>
                  </w:r>
                  <w:r>
                    <w:rPr>
                      <w:rFonts w:hint="eastAsia" w:hAnsi="宋体"/>
                      <w:color w:val="auto"/>
                      <w:sz w:val="21"/>
                      <w:szCs w:val="21"/>
                      <w:lang w:eastAsia="zh-CN"/>
                    </w:rPr>
                    <w:t>300</w:t>
                  </w:r>
                  <w:r>
                    <w:rPr>
                      <w:rFonts w:hint="eastAsia" w:hAnsi="宋体"/>
                      <w:color w:val="auto"/>
                      <w:sz w:val="21"/>
                      <w:szCs w:val="21"/>
                    </w:rPr>
                    <w:t>0608</w:t>
                  </w:r>
                </w:p>
                <w:p>
                  <w:pPr>
                    <w:pStyle w:val="7"/>
                    <w:jc w:val="center"/>
                    <w:rPr>
                      <w:rFonts w:hAnsi="宋体"/>
                      <w:color w:val="auto"/>
                      <w:sz w:val="21"/>
                      <w:szCs w:val="21"/>
                    </w:rPr>
                  </w:pPr>
                  <w:r>
                    <w:rPr>
                      <w:rFonts w:hint="eastAsia" w:hAnsi="宋体"/>
                      <w:color w:val="auto"/>
                      <w:sz w:val="21"/>
                      <w:szCs w:val="21"/>
                    </w:rPr>
                    <w:t>13712393608</w:t>
                  </w:r>
                </w:p>
                <w:p>
                  <w:pPr>
                    <w:pStyle w:val="7"/>
                    <w:jc w:val="center"/>
                    <w:rPr>
                      <w:rFonts w:hAnsi="宋体"/>
                      <w:color w:val="auto"/>
                      <w:sz w:val="21"/>
                      <w:szCs w:val="21"/>
                    </w:rPr>
                  </w:pPr>
                  <w:r>
                    <w:rPr>
                      <w:rFonts w:hint="eastAsia" w:hAnsi="宋体"/>
                      <w:color w:val="auto"/>
                      <w:sz w:val="21"/>
                      <w:szCs w:val="21"/>
                    </w:rPr>
                    <w:t>0769-2332688-8013</w:t>
                  </w:r>
                </w:p>
                <w:p>
                  <w:pPr>
                    <w:pStyle w:val="7"/>
                    <w:jc w:val="center"/>
                    <w:rPr>
                      <w:rFonts w:hAnsi="宋体"/>
                      <w:color w:val="auto"/>
                      <w:sz w:val="21"/>
                      <w:szCs w:val="21"/>
                    </w:rPr>
                  </w:pPr>
                  <w:r>
                    <w:rPr>
                      <w:rFonts w:hint="eastAsia" w:hAnsi="宋体"/>
                      <w:color w:val="auto"/>
                      <w:sz w:val="21"/>
                      <w:szCs w:val="21"/>
                    </w:rPr>
                    <w:t>传真：0769-23326788</w:t>
                  </w:r>
                </w:p>
              </w:tc>
              <w:tc>
                <w:tcPr>
                  <w:tcW w:w="1066" w:type="dxa"/>
                  <w:tcBorders>
                    <w:top w:val="single" w:color="auto" w:sz="4" w:space="0"/>
                    <w:left w:val="single" w:color="auto" w:sz="4" w:space="0"/>
                    <w:bottom w:val="single" w:color="auto" w:sz="4" w:space="0"/>
                    <w:right w:val="single" w:color="auto" w:sz="4" w:space="0"/>
                  </w:tcBorders>
                  <w:vAlign w:val="center"/>
                </w:tcPr>
                <w:p>
                  <w:pPr>
                    <w:pStyle w:val="7"/>
                    <w:jc w:val="center"/>
                    <w:rPr>
                      <w:rFonts w:hAnsi="宋体"/>
                      <w:color w:val="auto"/>
                      <w:sz w:val="21"/>
                      <w:szCs w:val="21"/>
                    </w:rPr>
                  </w:pPr>
                  <w:r>
                    <w:rPr>
                      <w:rFonts w:hint="eastAsia" w:hAnsi="宋体"/>
                      <w:color w:val="auto"/>
                      <w:sz w:val="21"/>
                      <w:szCs w:val="21"/>
                    </w:rPr>
                    <w:t>谭彪</w:t>
                  </w:r>
                </w:p>
                <w:p>
                  <w:pPr>
                    <w:pStyle w:val="7"/>
                    <w:jc w:val="center"/>
                    <w:rPr>
                      <w:rFonts w:hAnsi="宋体"/>
                      <w:color w:val="auto"/>
                      <w:sz w:val="21"/>
                      <w:szCs w:val="21"/>
                    </w:rPr>
                  </w:pPr>
                  <w:r>
                    <w:rPr>
                      <w:rFonts w:hint="eastAsia" w:hAnsi="宋体"/>
                      <w:color w:val="auto"/>
                      <w:sz w:val="21"/>
                      <w:szCs w:val="21"/>
                    </w:rPr>
                    <w:t>朱建明</w:t>
                  </w:r>
                </w:p>
              </w:tc>
            </w:tr>
          </w:tbl>
          <w:p>
            <w:pPr>
              <w:adjustRightInd w:val="0"/>
              <w:snapToGrid w:val="0"/>
              <w:spacing w:line="320" w:lineRule="exac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hint="eastAsia" w:ascii="宋体" w:hAnsi="宋体"/>
                <w:b/>
                <w:szCs w:val="21"/>
              </w:rPr>
              <w:t>二、招标文件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2.1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集中答疑会或现场考察</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采购人不集中组织，由投标人自行踏勘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9962" w:type="dxa"/>
            <w:gridSpan w:val="3"/>
            <w:vAlign w:val="center"/>
          </w:tcPr>
          <w:p>
            <w:pPr>
              <w:adjustRightInd w:val="0"/>
              <w:snapToGrid w:val="0"/>
              <w:spacing w:line="320" w:lineRule="exact"/>
              <w:jc w:val="center"/>
              <w:rPr>
                <w:rFonts w:ascii="宋体" w:hAnsi="宋体"/>
                <w:b/>
                <w:szCs w:val="21"/>
              </w:rPr>
            </w:pPr>
            <w:r>
              <w:rPr>
                <w:rFonts w:ascii="宋体" w:hAnsi="宋体"/>
                <w:b/>
                <w:szCs w:val="21"/>
              </w:rPr>
              <w:t>三、投标文件的编制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3.1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投标分项报价</w:t>
            </w:r>
          </w:p>
        </w:tc>
        <w:tc>
          <w:tcPr>
            <w:tcW w:w="6592" w:type="dxa"/>
            <w:vAlign w:val="center"/>
          </w:tcPr>
          <w:p>
            <w:pPr>
              <w:autoSpaceDE w:val="0"/>
              <w:autoSpaceDN w:val="0"/>
              <w:adjustRightInd w:val="0"/>
              <w:snapToGrid w:val="0"/>
              <w:spacing w:line="360" w:lineRule="auto"/>
              <w:rPr>
                <w:rFonts w:ascii="宋体" w:hAnsi="宋体"/>
                <w:szCs w:val="21"/>
              </w:rPr>
            </w:pPr>
            <w:r>
              <w:rPr>
                <w:rFonts w:hint="eastAsia" w:ascii="宋体" w:hAnsi="宋体" w:cs="宋体"/>
                <w:szCs w:val="21"/>
              </w:rPr>
              <w:t>包含但不仅仅限于以下内容：</w:t>
            </w:r>
          </w:p>
          <w:p>
            <w:pPr>
              <w:numPr>
                <w:ilvl w:val="0"/>
                <w:numId w:val="8"/>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招标文件要求全部服务所需的费用；</w:t>
            </w:r>
          </w:p>
          <w:p>
            <w:pPr>
              <w:numPr>
                <w:ilvl w:val="0"/>
                <w:numId w:val="8"/>
              </w:numPr>
              <w:tabs>
                <w:tab w:val="left" w:pos="334"/>
              </w:tabs>
              <w:autoSpaceDE w:val="0"/>
              <w:autoSpaceDN w:val="0"/>
              <w:adjustRightInd w:val="0"/>
              <w:snapToGrid w:val="0"/>
              <w:spacing w:line="360" w:lineRule="auto"/>
              <w:jc w:val="left"/>
              <w:rPr>
                <w:rFonts w:ascii="宋体" w:hAnsi="宋体"/>
                <w:szCs w:val="21"/>
              </w:rPr>
            </w:pPr>
            <w:r>
              <w:rPr>
                <w:rFonts w:hint="eastAsia" w:ascii="宋体" w:hAnsi="宋体" w:cs="宋体"/>
                <w:szCs w:val="21"/>
              </w:rPr>
              <w:t>履行合同所有相关服务所需的费用；</w:t>
            </w:r>
          </w:p>
          <w:p>
            <w:pPr>
              <w:numPr>
                <w:ilvl w:val="0"/>
                <w:numId w:val="8"/>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所有的税费；</w:t>
            </w:r>
          </w:p>
          <w:p>
            <w:pPr>
              <w:numPr>
                <w:ilvl w:val="0"/>
                <w:numId w:val="8"/>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其他一切隐含及不可预见的费用。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3.2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报价是唯一或固定不变</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3.3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备选方案</w:t>
            </w:r>
          </w:p>
        </w:tc>
        <w:tc>
          <w:tcPr>
            <w:tcW w:w="6592" w:type="dxa"/>
            <w:vAlign w:val="center"/>
          </w:tcPr>
          <w:p>
            <w:pPr>
              <w:adjustRightInd w:val="0"/>
              <w:snapToGrid w:val="0"/>
              <w:spacing w:line="320" w:lineRule="exact"/>
              <w:rPr>
                <w:rFonts w:ascii="宋体" w:hAnsi="宋体" w:cs="宋体"/>
                <w:szCs w:val="21"/>
              </w:rPr>
            </w:pPr>
            <w:r>
              <w:rPr>
                <w:rFonts w:hint="eastAsia" w:ascii="宋体" w:hAnsi="宋体"/>
                <w:szCs w:val="21"/>
              </w:rPr>
              <w:t>不允许有备选方案，否则将被视为无效投标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3.4</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附加条件报价</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不允许附加条件报价，</w:t>
            </w:r>
            <w:r>
              <w:rPr>
                <w:rFonts w:hint="eastAsia" w:ascii="宋体" w:hAnsi="宋体" w:cs="宋体"/>
                <w:szCs w:val="21"/>
              </w:rPr>
              <w:t>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354" w:type="dxa"/>
            <w:vAlign w:val="center"/>
          </w:tcPr>
          <w:p>
            <w:pPr>
              <w:adjustRightInd w:val="0"/>
              <w:snapToGrid w:val="0"/>
              <w:spacing w:line="320" w:lineRule="exact"/>
              <w:jc w:val="center"/>
              <w:rPr>
                <w:rFonts w:ascii="宋体" w:hAnsi="宋体"/>
                <w:color w:val="FF0000"/>
                <w:szCs w:val="21"/>
              </w:rPr>
            </w:pPr>
            <w:r>
              <w:rPr>
                <w:rFonts w:hint="eastAsia" w:ascii="宋体" w:hAnsi="宋体"/>
                <w:szCs w:val="21"/>
              </w:rPr>
              <w:t>3.5</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投标保证金</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本项目无须递交投标保证金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3.6</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投标有效期</w:t>
            </w:r>
          </w:p>
        </w:tc>
        <w:tc>
          <w:tcPr>
            <w:tcW w:w="6592" w:type="dxa"/>
            <w:vAlign w:val="center"/>
          </w:tcPr>
          <w:p>
            <w:pPr>
              <w:adjustRightInd w:val="0"/>
              <w:snapToGrid w:val="0"/>
              <w:spacing w:line="320" w:lineRule="exact"/>
              <w:rPr>
                <w:rFonts w:ascii="宋体" w:hAnsi="宋体"/>
                <w:szCs w:val="21"/>
              </w:rPr>
            </w:pPr>
            <w:r>
              <w:rPr>
                <w:rFonts w:ascii="宋体" w:hAnsi="宋体"/>
                <w:szCs w:val="21"/>
              </w:rPr>
              <w:t>90天</w:t>
            </w: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3.7</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投标文件份数</w:t>
            </w:r>
          </w:p>
        </w:tc>
        <w:tc>
          <w:tcPr>
            <w:tcW w:w="6592" w:type="dxa"/>
            <w:vAlign w:val="center"/>
          </w:tcPr>
          <w:p>
            <w:pPr>
              <w:adjustRightInd w:val="0"/>
              <w:snapToGrid w:val="0"/>
              <w:spacing w:line="320" w:lineRule="exact"/>
              <w:jc w:val="left"/>
              <w:rPr>
                <w:rFonts w:ascii="宋体" w:hAnsi="宋体"/>
                <w:szCs w:val="21"/>
              </w:rPr>
            </w:pPr>
            <w:r>
              <w:rPr>
                <w:rFonts w:hint="eastAsia" w:ascii="宋体" w:hAnsi="宋体"/>
                <w:szCs w:val="21"/>
              </w:rPr>
              <w:t xml:space="preserve">1.响应文件正本 1 套，副本 4 套； </w:t>
            </w:r>
          </w:p>
          <w:p>
            <w:pPr>
              <w:adjustRightInd w:val="0"/>
              <w:snapToGrid w:val="0"/>
              <w:spacing w:line="320" w:lineRule="exact"/>
              <w:jc w:val="left"/>
              <w:rPr>
                <w:rFonts w:ascii="宋体" w:hAnsi="宋体"/>
                <w:szCs w:val="21"/>
              </w:rPr>
            </w:pPr>
            <w:r>
              <w:rPr>
                <w:rFonts w:hint="eastAsia" w:ascii="宋体" w:hAnsi="宋体"/>
                <w:szCs w:val="21"/>
              </w:rPr>
              <w:t>2.</w:t>
            </w:r>
            <w:r>
              <w:rPr>
                <w:rFonts w:hint="eastAsia" w:ascii="宋体" w:hAnsi="宋体"/>
                <w:szCs w:val="21"/>
                <w:lang w:val="en-US" w:eastAsia="zh-CN"/>
              </w:rPr>
              <w:t>开标</w:t>
            </w:r>
            <w:r>
              <w:rPr>
                <w:rFonts w:hint="eastAsia" w:ascii="宋体" w:hAnsi="宋体"/>
                <w:szCs w:val="21"/>
              </w:rPr>
              <w:t>信封 1 份（含签字盖章的报价函、</w:t>
            </w:r>
            <w:r>
              <w:rPr>
                <w:rFonts w:hint="eastAsia" w:ascii="宋体" w:hAnsi="宋体"/>
                <w:szCs w:val="21"/>
                <w:lang w:val="en-US" w:eastAsia="zh-CN"/>
              </w:rPr>
              <w:t>开标</w:t>
            </w:r>
            <w:r>
              <w:rPr>
                <w:rFonts w:hint="eastAsia" w:ascii="宋体" w:hAnsi="宋体"/>
                <w:szCs w:val="21"/>
              </w:rPr>
              <w:t>一览表、报价明细表、 中小微企业声明函（含属于监狱企业的证明文件及《残疾人福利性单位声明函》）单独密封提交，并在封套上标明“</w:t>
            </w:r>
            <w:r>
              <w:rPr>
                <w:rFonts w:hint="eastAsia" w:ascii="宋体" w:hAnsi="宋体"/>
                <w:szCs w:val="21"/>
                <w:lang w:val="en-US" w:eastAsia="zh-CN"/>
              </w:rPr>
              <w:t>开标</w:t>
            </w:r>
            <w:r>
              <w:rPr>
                <w:rFonts w:hint="eastAsia" w:ascii="宋体" w:hAnsi="宋体"/>
                <w:szCs w:val="21"/>
              </w:rPr>
              <w:t>信封”字样。</w:t>
            </w:r>
            <w:r>
              <w:rPr>
                <w:rFonts w:hint="eastAsia" w:ascii="宋体" w:hAnsi="宋体"/>
                <w:szCs w:val="21"/>
                <w:lang w:val="en-US" w:eastAsia="zh-CN"/>
              </w:rPr>
              <w:t>开标</w:t>
            </w:r>
            <w:r>
              <w:rPr>
                <w:rFonts w:hint="eastAsia" w:ascii="宋体" w:hAnsi="宋体"/>
                <w:szCs w:val="21"/>
              </w:rPr>
              <w:t xml:space="preserve">信封内的文件无需装订或热熔））； </w:t>
            </w:r>
          </w:p>
          <w:p>
            <w:pPr>
              <w:adjustRightInd w:val="0"/>
              <w:snapToGrid w:val="0"/>
              <w:spacing w:line="320" w:lineRule="exact"/>
              <w:jc w:val="left"/>
              <w:rPr>
                <w:rFonts w:ascii="宋体" w:hAnsi="宋体"/>
                <w:szCs w:val="21"/>
              </w:rPr>
            </w:pPr>
            <w:r>
              <w:rPr>
                <w:rFonts w:hint="eastAsia" w:ascii="宋体" w:hAnsi="宋体"/>
                <w:szCs w:val="21"/>
              </w:rPr>
              <w:t>3.电子文件 1 份（电子文件为 U 盘介质，内含 WORD 文档一份，PDF 格式一份，PDF 内容必须是纸质响应文件正本扫描件（含盖章、签署）， 不留密码，无病毒，不压缩。）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ascii="宋体" w:hAnsi="宋体"/>
                <w:b/>
                <w:szCs w:val="21"/>
              </w:rPr>
              <w:t>五、开标与评标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5.1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szCs w:val="21"/>
              </w:rPr>
              <w:t>评标委员会组成</w:t>
            </w:r>
          </w:p>
        </w:tc>
        <w:tc>
          <w:tcPr>
            <w:tcW w:w="6592" w:type="dxa"/>
            <w:vAlign w:val="center"/>
          </w:tcPr>
          <w:p>
            <w:pPr>
              <w:adjustRightInd w:val="0"/>
              <w:snapToGrid w:val="0"/>
              <w:spacing w:line="320" w:lineRule="exact"/>
              <w:rPr>
                <w:rFonts w:ascii="宋体" w:hAnsi="宋体" w:cs="宋体"/>
                <w:kern w:val="0"/>
                <w:szCs w:val="21"/>
              </w:rPr>
            </w:pPr>
            <w:r>
              <w:rPr>
                <w:rFonts w:hint="eastAsia" w:ascii="宋体" w:hAnsi="宋体"/>
                <w:bCs/>
                <w:szCs w:val="21"/>
              </w:rPr>
              <w:t>评标委员会由5人组成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5.2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rPr>
              <w:t>评标方法</w:t>
            </w:r>
          </w:p>
        </w:tc>
        <w:tc>
          <w:tcPr>
            <w:tcW w:w="6592" w:type="dxa"/>
            <w:vAlign w:val="center"/>
          </w:tcPr>
          <w:p>
            <w:pPr>
              <w:adjustRightInd w:val="0"/>
              <w:snapToGrid w:val="0"/>
              <w:spacing w:line="320" w:lineRule="exact"/>
              <w:rPr>
                <w:rFonts w:ascii="宋体" w:hAnsi="宋体"/>
                <w:bCs/>
                <w:szCs w:val="21"/>
              </w:rPr>
            </w:pPr>
            <w:r>
              <w:rPr>
                <w:rFonts w:hint="eastAsia" w:ascii="宋体" w:hAnsi="宋体"/>
                <w:bCs/>
              </w:rPr>
              <w:t>采用综合评分法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51"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5.3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rPr>
              <w:t>定标原则</w:t>
            </w:r>
          </w:p>
        </w:tc>
        <w:tc>
          <w:tcPr>
            <w:tcW w:w="6592" w:type="dxa"/>
            <w:vAlign w:val="center"/>
          </w:tcPr>
          <w:p>
            <w:pPr>
              <w:adjustRightInd w:val="0"/>
              <w:snapToGrid w:val="0"/>
              <w:spacing w:line="320" w:lineRule="exact"/>
              <w:rPr>
                <w:rFonts w:ascii="宋体" w:hAnsi="宋体"/>
                <w:bCs/>
              </w:rPr>
            </w:pPr>
            <w:r>
              <w:rPr>
                <w:rFonts w:hint="eastAsia" w:ascii="宋体" w:hAnsi="宋体"/>
                <w:bCs/>
              </w:rPr>
              <w:t>推荐综合得分排名第一的投标人为第一中标候选人，排名第二的投标人为第二中标候选人。</w:t>
            </w:r>
          </w:p>
          <w:p>
            <w:pPr>
              <w:adjustRightInd w:val="0"/>
              <w:snapToGrid w:val="0"/>
              <w:spacing w:line="320" w:lineRule="exact"/>
              <w:rPr>
                <w:rFonts w:ascii="宋体" w:hAnsi="宋体"/>
                <w:bCs/>
              </w:rPr>
            </w:pPr>
            <w:r>
              <w:rPr>
                <w:rFonts w:hint="eastAsia" w:ascii="宋体" w:hAnsi="宋体"/>
                <w:bCs/>
              </w:rPr>
              <w:t>如第二中标候选人报价高于第一中标候选人报价20%以上的，只推荐一名中标候选人。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ascii="宋体" w:hAnsi="宋体"/>
                <w:b/>
                <w:szCs w:val="21"/>
              </w:rPr>
              <w:t>六、授予合同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6.1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合同签订时间</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自《中标通知书》发出之日起三十日内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6.2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履约保证金</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详见用户需求书、合同</w:t>
            </w:r>
          </w:p>
        </w:tc>
      </w:tr>
    </w:tbl>
    <w:p>
      <w:pPr>
        <w:rPr>
          <w:rFonts w:ascii="宋体" w:hAnsi="宋体" w:cs="宋体"/>
          <w:bCs/>
          <w:kern w:val="0"/>
          <w:szCs w:val="21"/>
        </w:rPr>
      </w:pPr>
      <w:r>
        <w:rPr>
          <w:rFonts w:hint="eastAsia" w:ascii="宋体" w:hAnsi="宋体" w:cs="宋体"/>
          <w:bCs/>
          <w:kern w:val="0"/>
          <w:szCs w:val="21"/>
        </w:rPr>
        <w:br w:type="page"/>
      </w:r>
    </w:p>
    <w:p>
      <w:pPr>
        <w:spacing w:line="360" w:lineRule="auto"/>
        <w:jc w:val="center"/>
        <w:outlineLvl w:val="0"/>
        <w:rPr>
          <w:rFonts w:ascii="宋体" w:hAnsi="宋体"/>
          <w:b/>
          <w:bCs/>
          <w:sz w:val="28"/>
        </w:rPr>
      </w:pPr>
      <w:bookmarkStart w:id="6" w:name="_Toc433648010"/>
      <w:bookmarkStart w:id="7" w:name="_Toc480529436"/>
      <w:bookmarkStart w:id="8" w:name="_Toc16193"/>
      <w:r>
        <w:rPr>
          <w:rFonts w:hint="eastAsia" w:ascii="宋体" w:hAnsi="宋体"/>
          <w:b/>
          <w:bCs/>
          <w:sz w:val="28"/>
          <w:szCs w:val="28"/>
        </w:rPr>
        <w:t>第三章  评分体系与标准</w:t>
      </w:r>
      <w:bookmarkEnd w:id="6"/>
      <w:bookmarkEnd w:id="7"/>
      <w:bookmarkEnd w:id="8"/>
    </w:p>
    <w:p>
      <w:pPr>
        <w:numPr>
          <w:ilvl w:val="0"/>
          <w:numId w:val="9"/>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本评标办法采用综合评分法。</w:t>
      </w:r>
    </w:p>
    <w:p>
      <w:pPr>
        <w:numPr>
          <w:ilvl w:val="0"/>
          <w:numId w:val="9"/>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评标步骤：代理机构对投标文件进行资格性审查，评标委员会对投标文件符合性审查，对通过初审的投标文件进行技术、商务及价格的详细评审，最后评标委员会出具评标报告。（初审分资格审核和符合性审查）</w:t>
      </w:r>
    </w:p>
    <w:p>
      <w:pPr>
        <w:numPr>
          <w:ilvl w:val="0"/>
          <w:numId w:val="9"/>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szCs w:val="21"/>
        </w:rPr>
        <w:t>评标委员会成员对需要共同认定的事项存在争议的，按照少数服从多数的原则作出结论。</w:t>
      </w:r>
    </w:p>
    <w:p>
      <w:pPr>
        <w:numPr>
          <w:ilvl w:val="0"/>
          <w:numId w:val="9"/>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pPr>
        <w:numPr>
          <w:ilvl w:val="0"/>
          <w:numId w:val="9"/>
        </w:numPr>
        <w:tabs>
          <w:tab w:val="left" w:pos="630"/>
        </w:tabs>
        <w:autoSpaceDE w:val="0"/>
        <w:autoSpaceDN w:val="0"/>
        <w:adjustRightInd w:val="0"/>
        <w:snapToGrid w:val="0"/>
        <w:spacing w:line="360" w:lineRule="auto"/>
        <w:rPr>
          <w:rFonts w:ascii="宋体" w:hAnsi="宋体" w:cs="宋体"/>
          <w:b/>
          <w:szCs w:val="21"/>
        </w:rPr>
      </w:pPr>
      <w:r>
        <w:rPr>
          <w:rFonts w:hint="eastAsia" w:ascii="宋体" w:hAnsi="宋体" w:cs="SimSun-Identity-H"/>
          <w:b/>
          <w:kern w:val="0"/>
          <w:szCs w:val="21"/>
        </w:rPr>
        <w:t>评分权值</w:t>
      </w:r>
    </w:p>
    <w:tbl>
      <w:tblPr>
        <w:tblStyle w:val="18"/>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38"/>
        <w:gridCol w:w="3312"/>
        <w:gridCol w:w="34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3238" w:type="dxa"/>
            <w:vAlign w:val="center"/>
          </w:tcPr>
          <w:p>
            <w:pPr>
              <w:snapToGrid w:val="0"/>
              <w:spacing w:line="360" w:lineRule="auto"/>
              <w:jc w:val="center"/>
              <w:rPr>
                <w:rFonts w:ascii="宋体" w:hAnsi="宋体"/>
                <w:b/>
                <w:bCs/>
              </w:rPr>
            </w:pPr>
            <w:r>
              <w:rPr>
                <w:rFonts w:hint="eastAsia" w:ascii="宋体" w:hAnsi="宋体"/>
                <w:b/>
                <w:bCs/>
              </w:rPr>
              <w:t>技术部分</w:t>
            </w:r>
          </w:p>
        </w:tc>
        <w:tc>
          <w:tcPr>
            <w:tcW w:w="3312" w:type="dxa"/>
            <w:vAlign w:val="center"/>
          </w:tcPr>
          <w:p>
            <w:pPr>
              <w:snapToGrid w:val="0"/>
              <w:spacing w:line="360" w:lineRule="auto"/>
              <w:jc w:val="center"/>
              <w:rPr>
                <w:rFonts w:ascii="宋体" w:hAnsi="宋体"/>
                <w:b/>
                <w:bCs/>
              </w:rPr>
            </w:pPr>
            <w:r>
              <w:rPr>
                <w:rFonts w:hint="eastAsia" w:ascii="宋体" w:hAnsi="宋体"/>
                <w:b/>
                <w:bCs/>
              </w:rPr>
              <w:t>商务部分</w:t>
            </w:r>
          </w:p>
        </w:tc>
        <w:tc>
          <w:tcPr>
            <w:tcW w:w="3412" w:type="dxa"/>
            <w:vAlign w:val="center"/>
          </w:tcPr>
          <w:p>
            <w:pPr>
              <w:snapToGrid w:val="0"/>
              <w:spacing w:line="360" w:lineRule="auto"/>
              <w:jc w:val="center"/>
              <w:rPr>
                <w:rFonts w:ascii="宋体" w:hAnsi="宋体"/>
                <w:b/>
                <w:bCs/>
              </w:rPr>
            </w:pPr>
            <w:r>
              <w:rPr>
                <w:rFonts w:hint="eastAsia" w:ascii="宋体" w:hAnsi="宋体"/>
                <w:b/>
                <w:bCs/>
              </w:rPr>
              <w:t>价格部分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238" w:type="dxa"/>
            <w:vAlign w:val="center"/>
          </w:tcPr>
          <w:p>
            <w:pPr>
              <w:snapToGrid w:val="0"/>
              <w:jc w:val="center"/>
              <w:rPr>
                <w:rFonts w:ascii="宋体" w:hAnsi="宋体"/>
                <w:b/>
                <w:bCs/>
              </w:rPr>
            </w:pPr>
            <w:r>
              <w:rPr>
                <w:rFonts w:hint="eastAsia" w:ascii="宋体" w:hAnsi="宋体"/>
                <w:b/>
                <w:bCs/>
                <w:lang w:val="en-US" w:eastAsia="zh-CN"/>
              </w:rPr>
              <w:t>75</w:t>
            </w:r>
            <w:r>
              <w:rPr>
                <w:rFonts w:hint="eastAsia" w:ascii="宋体" w:hAnsi="宋体"/>
                <w:b/>
                <w:bCs/>
              </w:rPr>
              <w:t>%</w:t>
            </w:r>
          </w:p>
        </w:tc>
        <w:tc>
          <w:tcPr>
            <w:tcW w:w="3312" w:type="dxa"/>
            <w:vAlign w:val="center"/>
          </w:tcPr>
          <w:p>
            <w:pPr>
              <w:snapToGrid w:val="0"/>
              <w:jc w:val="center"/>
              <w:rPr>
                <w:rFonts w:ascii="宋体" w:hAnsi="宋体"/>
                <w:b/>
                <w:bCs/>
              </w:rPr>
            </w:pPr>
            <w:r>
              <w:rPr>
                <w:rFonts w:hint="eastAsia" w:ascii="宋体" w:hAnsi="宋体"/>
                <w:b/>
                <w:bCs/>
                <w:lang w:val="en-US" w:eastAsia="zh-CN"/>
              </w:rPr>
              <w:t>25</w:t>
            </w:r>
            <w:r>
              <w:rPr>
                <w:rFonts w:hint="eastAsia" w:ascii="宋体" w:hAnsi="宋体"/>
                <w:b/>
                <w:bCs/>
              </w:rPr>
              <w:t>%</w:t>
            </w:r>
          </w:p>
        </w:tc>
        <w:tc>
          <w:tcPr>
            <w:tcW w:w="3412" w:type="dxa"/>
            <w:vAlign w:val="center"/>
          </w:tcPr>
          <w:p>
            <w:pPr>
              <w:snapToGrid w:val="0"/>
              <w:jc w:val="center"/>
              <w:rPr>
                <w:rFonts w:ascii="宋体" w:hAnsi="宋体"/>
                <w:b/>
                <w:bCs/>
              </w:rPr>
            </w:pPr>
            <w:r>
              <w:rPr>
                <w:rFonts w:hint="eastAsia" w:ascii="宋体" w:hAnsi="宋体"/>
                <w:b/>
                <w:bCs/>
                <w:lang w:val="en-US" w:eastAsia="zh-CN"/>
              </w:rPr>
              <w:t>0</w:t>
            </w:r>
            <w:r>
              <w:rPr>
                <w:rFonts w:hint="eastAsia" w:ascii="宋体" w:hAnsi="宋体"/>
                <w:b/>
                <w:bCs/>
              </w:rPr>
              <w:t>%</w:t>
            </w:r>
          </w:p>
        </w:tc>
      </w:tr>
    </w:tbl>
    <w:p>
      <w:pPr>
        <w:numPr>
          <w:ilvl w:val="0"/>
          <w:numId w:val="9"/>
        </w:numPr>
        <w:snapToGrid w:val="0"/>
        <w:spacing w:line="360" w:lineRule="auto"/>
        <w:rPr>
          <w:rFonts w:ascii="宋体" w:hAnsi="宋体" w:cs="宋体"/>
          <w:snapToGrid w:val="0"/>
          <w:kern w:val="0"/>
        </w:rPr>
      </w:pPr>
      <w:r>
        <w:rPr>
          <w:rFonts w:hint="eastAsia" w:ascii="宋体" w:hAnsi="宋体"/>
          <w:bCs/>
        </w:rPr>
        <w:t>商务、技术评分分别去掉一个最高分和一个最低分后余下的评委评分分值的算术平均值（四舍五入后，</w:t>
      </w:r>
      <w:r>
        <w:rPr>
          <w:rFonts w:hint="eastAsia" w:ascii="宋体" w:hAnsi="宋体" w:cs="Arial"/>
          <w:szCs w:val="20"/>
        </w:rPr>
        <w:t>小数点后保留两位有效数</w:t>
      </w:r>
      <w:r>
        <w:rPr>
          <w:rFonts w:hint="eastAsia" w:ascii="宋体" w:hAnsi="宋体"/>
          <w:bCs/>
        </w:rPr>
        <w:t>）。</w:t>
      </w:r>
    </w:p>
    <w:p>
      <w:pPr>
        <w:numPr>
          <w:ilvl w:val="0"/>
          <w:numId w:val="9"/>
        </w:numPr>
        <w:snapToGrid w:val="0"/>
        <w:spacing w:line="360" w:lineRule="auto"/>
        <w:rPr>
          <w:rFonts w:ascii="宋体" w:hAnsi="宋体" w:cs="宋体"/>
          <w:snapToGrid w:val="0"/>
          <w:kern w:val="0"/>
        </w:rPr>
      </w:pPr>
      <w:r>
        <w:rPr>
          <w:rFonts w:hint="eastAsia" w:ascii="宋体" w:hAnsi="宋体"/>
          <w:bCs/>
        </w:rPr>
        <w:t>招标文件要求提交的与评价指标体系相关的各类有效资料，投标人如未按要求提交的，该项评分为零分。</w:t>
      </w:r>
    </w:p>
    <w:p>
      <w:pPr>
        <w:spacing w:line="360" w:lineRule="auto"/>
        <w:ind w:left="1000" w:leftChars="100" w:hanging="790" w:hangingChars="328"/>
        <w:jc w:val="center"/>
        <w:rPr>
          <w:rFonts w:ascii="宋体" w:hAnsi="宋体"/>
          <w:b/>
          <w:sz w:val="24"/>
        </w:rPr>
      </w:pPr>
      <w:r>
        <w:rPr>
          <w:rFonts w:hint="eastAsia" w:ascii="宋体" w:hAnsi="宋体"/>
          <w:b/>
          <w:sz w:val="24"/>
        </w:rPr>
        <w:t>资格性审查表</w:t>
      </w:r>
    </w:p>
    <w:tbl>
      <w:tblPr>
        <w:tblStyle w:val="18"/>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9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ind w:left="-120" w:leftChars="-57"/>
              <w:jc w:val="center"/>
              <w:rPr>
                <w:rFonts w:ascii="宋体" w:hAnsi="宋体"/>
                <w:b/>
                <w:szCs w:val="21"/>
              </w:rPr>
            </w:pPr>
            <w:r>
              <w:rPr>
                <w:rFonts w:hint="eastAsia" w:ascii="宋体" w:hAnsi="宋体"/>
                <w:b/>
                <w:szCs w:val="21"/>
              </w:rPr>
              <w:t>序号</w:t>
            </w:r>
          </w:p>
        </w:tc>
        <w:tc>
          <w:tcPr>
            <w:tcW w:w="9001" w:type="dxa"/>
            <w:tcBorders>
              <w:tl2br w:val="nil"/>
              <w:tr2bl w:val="nil"/>
            </w:tcBorders>
            <w:vAlign w:val="center"/>
          </w:tcPr>
          <w:p>
            <w:pPr>
              <w:spacing w:line="360" w:lineRule="auto"/>
              <w:jc w:val="center"/>
              <w:rPr>
                <w:rFonts w:ascii="宋体" w:hAnsi="宋体"/>
                <w:b/>
                <w:szCs w:val="21"/>
              </w:rPr>
            </w:pPr>
            <w:r>
              <w:rPr>
                <w:rFonts w:hint="eastAsia" w:ascii="宋体" w:hAnsi="宋体"/>
                <w:b/>
                <w:szCs w:val="21"/>
              </w:rPr>
              <w:t>资格性审查内容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ascii="宋体" w:hAnsi="宋体"/>
                <w:szCs w:val="21"/>
              </w:rPr>
            </w:pPr>
            <w:r>
              <w:rPr>
                <w:rFonts w:hint="eastAsia" w:ascii="宋体" w:hAnsi="宋体"/>
                <w:szCs w:val="21"/>
              </w:rPr>
              <w:t>1</w:t>
            </w:r>
          </w:p>
        </w:tc>
        <w:tc>
          <w:tcPr>
            <w:tcW w:w="9001" w:type="dxa"/>
            <w:tcBorders>
              <w:tl2br w:val="nil"/>
              <w:tr2bl w:val="nil"/>
            </w:tcBorders>
            <w:vAlign w:val="center"/>
          </w:tcPr>
          <w:p>
            <w:pPr>
              <w:spacing w:line="360" w:lineRule="auto"/>
              <w:rPr>
                <w:rFonts w:ascii="宋体" w:hAnsi="宋体"/>
                <w:bCs/>
                <w:szCs w:val="21"/>
              </w:rPr>
            </w:pPr>
            <w:r>
              <w:rPr>
                <w:rFonts w:hint="eastAsia" w:ascii="宋体" w:hAnsi="宋体" w:cs="宋体"/>
                <w:szCs w:val="21"/>
              </w:rPr>
              <w:t>具备招标文件中规定资格要求的及资格证明文件齐全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ascii="宋体" w:hAnsi="宋体"/>
                <w:szCs w:val="21"/>
              </w:rPr>
            </w:pPr>
            <w:r>
              <w:rPr>
                <w:rFonts w:hint="eastAsia" w:ascii="宋体" w:hAnsi="宋体"/>
                <w:szCs w:val="21"/>
              </w:rPr>
              <w:t>2</w:t>
            </w:r>
          </w:p>
        </w:tc>
        <w:tc>
          <w:tcPr>
            <w:tcW w:w="9001" w:type="dxa"/>
            <w:tcBorders>
              <w:tl2br w:val="nil"/>
              <w:tr2bl w:val="nil"/>
            </w:tcBorders>
            <w:vAlign w:val="center"/>
          </w:tcPr>
          <w:p>
            <w:pPr>
              <w:spacing w:line="360" w:lineRule="auto"/>
              <w:rPr>
                <w:rFonts w:ascii="宋体" w:hAnsi="宋体"/>
                <w:bCs/>
                <w:szCs w:val="21"/>
              </w:rPr>
            </w:pPr>
            <w:r>
              <w:rPr>
                <w:rFonts w:ascii="宋体" w:hAnsi="宋体" w:cs="宋体"/>
                <w:szCs w:val="21"/>
              </w:rPr>
              <w:t>供应商已登记并领</w:t>
            </w:r>
            <w:r>
              <w:rPr>
                <w:rFonts w:hint="eastAsia" w:ascii="宋体" w:hAnsi="宋体" w:cs="宋体"/>
                <w:szCs w:val="21"/>
              </w:rPr>
              <w:t>取</w:t>
            </w:r>
            <w:r>
              <w:rPr>
                <w:rFonts w:ascii="宋体" w:hAnsi="宋体" w:cs="宋体"/>
                <w:szCs w:val="21"/>
              </w:rPr>
              <w:t>本项目</w:t>
            </w:r>
            <w:r>
              <w:rPr>
                <w:rFonts w:hint="eastAsia" w:ascii="宋体" w:hAnsi="宋体" w:cs="宋体"/>
                <w:szCs w:val="21"/>
              </w:rPr>
              <w:t>招标</w:t>
            </w:r>
            <w:r>
              <w:rPr>
                <w:rFonts w:ascii="宋体" w:hAnsi="宋体" w:cs="宋体"/>
                <w:szCs w:val="21"/>
              </w:rPr>
              <w:t>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ascii="宋体" w:hAnsi="宋体"/>
                <w:szCs w:val="21"/>
              </w:rPr>
            </w:pPr>
            <w:r>
              <w:rPr>
                <w:rFonts w:hint="eastAsia" w:ascii="宋体" w:hAnsi="宋体"/>
                <w:szCs w:val="21"/>
              </w:rPr>
              <w:t>3</w:t>
            </w:r>
          </w:p>
        </w:tc>
        <w:tc>
          <w:tcPr>
            <w:tcW w:w="9001" w:type="dxa"/>
            <w:tcBorders>
              <w:tl2br w:val="nil"/>
              <w:tr2bl w:val="nil"/>
            </w:tcBorders>
            <w:vAlign w:val="center"/>
          </w:tcPr>
          <w:p>
            <w:pPr>
              <w:spacing w:line="360" w:lineRule="auto"/>
              <w:rPr>
                <w:rFonts w:ascii="宋体" w:hAnsi="宋体"/>
                <w:bCs/>
                <w:szCs w:val="21"/>
              </w:rPr>
            </w:pPr>
            <w:r>
              <w:rPr>
                <w:rFonts w:hint="eastAsia" w:ascii="宋体" w:hAnsi="宋体" w:cs="宋体"/>
                <w:szCs w:val="21"/>
              </w:rPr>
              <w:t>本项目不接受联合体投标</w:t>
            </w:r>
          </w:p>
        </w:tc>
      </w:tr>
    </w:tbl>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r>
        <w:rPr>
          <w:rFonts w:hint="eastAsia" w:ascii="宋体" w:hAnsi="宋体"/>
          <w:b/>
          <w:sz w:val="24"/>
        </w:rPr>
        <w:t>符合性审查表</w:t>
      </w:r>
    </w:p>
    <w:tbl>
      <w:tblPr>
        <w:tblStyle w:val="18"/>
        <w:tblW w:w="9962"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92"/>
        <w:gridCol w:w="917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top w:val="single" w:color="auto" w:sz="12" w:space="0"/>
              <w:bottom w:val="single" w:color="auto" w:sz="4" w:space="0"/>
            </w:tcBorders>
            <w:vAlign w:val="center"/>
          </w:tcPr>
          <w:p>
            <w:pPr>
              <w:spacing w:line="360" w:lineRule="auto"/>
              <w:ind w:left="-120" w:leftChars="-57"/>
              <w:jc w:val="center"/>
              <w:rPr>
                <w:rFonts w:ascii="宋体" w:hAnsi="宋体"/>
                <w:b/>
                <w:szCs w:val="21"/>
              </w:rPr>
            </w:pPr>
            <w:r>
              <w:rPr>
                <w:rFonts w:hint="eastAsia" w:ascii="宋体" w:hAnsi="宋体"/>
                <w:b/>
                <w:szCs w:val="21"/>
              </w:rPr>
              <w:t>序号</w:t>
            </w:r>
          </w:p>
        </w:tc>
        <w:tc>
          <w:tcPr>
            <w:tcW w:w="9170" w:type="dxa"/>
            <w:tcBorders>
              <w:top w:val="single" w:color="auto" w:sz="12" w:space="0"/>
            </w:tcBorders>
            <w:vAlign w:val="center"/>
          </w:tcPr>
          <w:p>
            <w:pPr>
              <w:spacing w:line="360" w:lineRule="auto"/>
              <w:jc w:val="center"/>
              <w:rPr>
                <w:rFonts w:ascii="宋体" w:hAnsi="宋体"/>
                <w:b/>
                <w:szCs w:val="21"/>
              </w:rPr>
            </w:pPr>
            <w:r>
              <w:rPr>
                <w:rFonts w:hint="eastAsia" w:ascii="宋体" w:hAnsi="宋体"/>
                <w:b/>
                <w:szCs w:val="21"/>
              </w:rPr>
              <w:t>符合性审查内容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ascii="宋体" w:hAnsi="宋体"/>
                <w:szCs w:val="21"/>
              </w:rPr>
            </w:pPr>
            <w:r>
              <w:rPr>
                <w:rFonts w:hint="eastAsia" w:ascii="宋体" w:hAnsi="宋体"/>
                <w:szCs w:val="21"/>
              </w:rPr>
              <w:t>1</w:t>
            </w:r>
          </w:p>
        </w:tc>
        <w:tc>
          <w:tcPr>
            <w:tcW w:w="9170" w:type="dxa"/>
            <w:vAlign w:val="center"/>
          </w:tcPr>
          <w:p>
            <w:pPr>
              <w:outlineLvl w:val="2"/>
              <w:rPr>
                <w:rFonts w:ascii="宋体" w:hAnsi="宋体"/>
                <w:szCs w:val="21"/>
              </w:rPr>
            </w:pPr>
            <w:r>
              <w:rPr>
                <w:rFonts w:hint="eastAsia" w:ascii="宋体" w:hAnsi="宋体" w:cs="宋体"/>
                <w:szCs w:val="21"/>
              </w:rPr>
              <w:t>投标函、投标人资格声明函已提交并按照招标文件规定要求签署、盖章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ascii="宋体" w:hAnsi="宋体"/>
                <w:szCs w:val="21"/>
              </w:rPr>
            </w:pPr>
            <w:r>
              <w:rPr>
                <w:rFonts w:hint="eastAsia" w:ascii="宋体" w:hAnsi="宋体"/>
                <w:szCs w:val="21"/>
              </w:rPr>
              <w:t>2</w:t>
            </w:r>
          </w:p>
        </w:tc>
        <w:tc>
          <w:tcPr>
            <w:tcW w:w="9170" w:type="dxa"/>
            <w:vAlign w:val="center"/>
          </w:tcPr>
          <w:p>
            <w:pPr>
              <w:outlineLvl w:val="2"/>
              <w:rPr>
                <w:rFonts w:ascii="宋体" w:hAnsi="宋体" w:cs="宋体"/>
                <w:szCs w:val="21"/>
              </w:rPr>
            </w:pPr>
            <w:r>
              <w:rPr>
                <w:rFonts w:hint="eastAsia" w:ascii="宋体" w:hAnsi="宋体" w:cs="宋体"/>
                <w:szCs w:val="21"/>
              </w:rPr>
              <w:t>法定代表人证明书或法定代表人授权委托书已提交并按照招标文件规定要求签署、盖章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ascii="宋体" w:hAnsi="宋体"/>
                <w:szCs w:val="21"/>
              </w:rPr>
            </w:pPr>
            <w:r>
              <w:rPr>
                <w:rFonts w:hint="eastAsia" w:ascii="宋体" w:hAnsi="宋体"/>
                <w:szCs w:val="21"/>
              </w:rPr>
              <w:t>3</w:t>
            </w:r>
          </w:p>
        </w:tc>
        <w:tc>
          <w:tcPr>
            <w:tcW w:w="9170" w:type="dxa"/>
            <w:vAlign w:val="center"/>
          </w:tcPr>
          <w:p>
            <w:pPr>
              <w:outlineLvl w:val="2"/>
              <w:rPr>
                <w:rFonts w:ascii="宋体" w:hAnsi="宋体" w:cs="宋体"/>
                <w:szCs w:val="21"/>
              </w:rPr>
            </w:pPr>
            <w:r>
              <w:rPr>
                <w:rFonts w:hint="eastAsia" w:ascii="宋体" w:hAnsi="宋体" w:cs="宋体"/>
                <w:szCs w:val="21"/>
              </w:rPr>
              <w:t>公平竞争承诺书已提交并按照招标文件规定盖章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ascii="宋体" w:hAnsi="宋体"/>
                <w:szCs w:val="21"/>
              </w:rPr>
            </w:pPr>
            <w:r>
              <w:rPr>
                <w:rFonts w:hint="eastAsia" w:ascii="宋体" w:hAnsi="宋体"/>
                <w:szCs w:val="21"/>
              </w:rPr>
              <w:t>4</w:t>
            </w:r>
          </w:p>
        </w:tc>
        <w:tc>
          <w:tcPr>
            <w:tcW w:w="9170" w:type="dxa"/>
            <w:vAlign w:val="center"/>
          </w:tcPr>
          <w:p>
            <w:pPr>
              <w:spacing w:line="360" w:lineRule="auto"/>
              <w:rPr>
                <w:rFonts w:ascii="宋体" w:hAnsi="宋体"/>
                <w:szCs w:val="21"/>
              </w:rPr>
            </w:pPr>
            <w:r>
              <w:rPr>
                <w:rFonts w:hint="eastAsia" w:ascii="宋体" w:hAnsi="宋体"/>
                <w:szCs w:val="21"/>
              </w:rPr>
              <w:t>投标报价是固定价且未超过本项目采购预算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ascii="宋体" w:hAnsi="宋体"/>
                <w:szCs w:val="21"/>
              </w:rPr>
            </w:pPr>
            <w:r>
              <w:rPr>
                <w:rFonts w:hint="eastAsia" w:ascii="宋体" w:hAnsi="宋体"/>
                <w:szCs w:val="21"/>
              </w:rPr>
              <w:t>5</w:t>
            </w:r>
          </w:p>
        </w:tc>
        <w:tc>
          <w:tcPr>
            <w:tcW w:w="9170" w:type="dxa"/>
            <w:vAlign w:val="center"/>
          </w:tcPr>
          <w:p>
            <w:pPr>
              <w:spacing w:line="360" w:lineRule="auto"/>
              <w:rPr>
                <w:rFonts w:ascii="宋体" w:hAnsi="宋体"/>
                <w:szCs w:val="21"/>
              </w:rPr>
            </w:pPr>
            <w:r>
              <w:rPr>
                <w:rFonts w:hint="eastAsia" w:ascii="宋体" w:hAnsi="宋体" w:cs="宋体"/>
                <w:szCs w:val="21"/>
              </w:rPr>
              <w:t>服务期满足招标文件要求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default" w:ascii="宋体" w:hAnsi="宋体" w:eastAsia="宋体"/>
                <w:szCs w:val="21"/>
                <w:lang w:val="en-US" w:eastAsia="zh-CN"/>
              </w:rPr>
            </w:pPr>
            <w:r>
              <w:rPr>
                <w:rFonts w:hint="eastAsia" w:ascii="宋体" w:hAnsi="宋体"/>
                <w:szCs w:val="21"/>
                <w:lang w:val="en-US" w:eastAsia="zh-CN"/>
              </w:rPr>
              <w:t>6</w:t>
            </w:r>
          </w:p>
        </w:tc>
        <w:tc>
          <w:tcPr>
            <w:tcW w:w="9170" w:type="dxa"/>
            <w:vAlign w:val="center"/>
          </w:tcPr>
          <w:p>
            <w:pPr>
              <w:spacing w:line="360" w:lineRule="auto"/>
              <w:rPr>
                <w:rFonts w:ascii="宋体" w:hAnsi="宋体" w:cs="宋体"/>
                <w:szCs w:val="21"/>
              </w:rPr>
            </w:pPr>
            <w:r>
              <w:rPr>
                <w:rFonts w:hint="eastAsia" w:ascii="宋体" w:hAnsi="宋体" w:cs="宋体"/>
                <w:szCs w:val="21"/>
              </w:rPr>
              <w:t>未出现恶意竞争低于成本价的情形投标人投标报价合理的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Cs w:val="21"/>
                <w:lang w:eastAsia="zh-CN"/>
              </w:rPr>
            </w:pPr>
            <w:r>
              <w:rPr>
                <w:rFonts w:hint="eastAsia" w:ascii="宋体" w:hAnsi="宋体"/>
                <w:szCs w:val="21"/>
                <w:lang w:val="en-US" w:eastAsia="zh-CN"/>
              </w:rPr>
              <w:t>7</w:t>
            </w:r>
          </w:p>
        </w:tc>
        <w:tc>
          <w:tcPr>
            <w:tcW w:w="9170" w:type="dxa"/>
            <w:vAlign w:val="center"/>
          </w:tcPr>
          <w:p>
            <w:pPr>
              <w:spacing w:line="360" w:lineRule="auto"/>
              <w:rPr>
                <w:rFonts w:ascii="宋体" w:hAnsi="宋体" w:cs="宋体"/>
                <w:szCs w:val="21"/>
              </w:rPr>
            </w:pPr>
            <w:r>
              <w:rPr>
                <w:rFonts w:hint="eastAsia" w:ascii="宋体" w:hAnsi="宋体"/>
                <w:szCs w:val="21"/>
              </w:rPr>
              <w:t>无招标文件中规定的被视为无效投标的其它条款的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12" w:space="0"/>
            </w:tcBorders>
            <w:vAlign w:val="center"/>
          </w:tcPr>
          <w:p>
            <w:pPr>
              <w:spacing w:line="360" w:lineRule="auto"/>
              <w:jc w:val="center"/>
              <w:rPr>
                <w:rFonts w:hint="eastAsia" w:ascii="宋体" w:hAnsi="宋体" w:eastAsia="宋体"/>
                <w:szCs w:val="21"/>
                <w:lang w:eastAsia="zh-CN"/>
              </w:rPr>
            </w:pPr>
            <w:r>
              <w:rPr>
                <w:rFonts w:hint="eastAsia" w:ascii="宋体" w:hAnsi="宋体"/>
                <w:szCs w:val="21"/>
                <w:lang w:val="en-US" w:eastAsia="zh-CN"/>
              </w:rPr>
              <w:t>8</w:t>
            </w:r>
          </w:p>
        </w:tc>
        <w:tc>
          <w:tcPr>
            <w:tcW w:w="9170" w:type="dxa"/>
            <w:tcBorders>
              <w:bottom w:val="single" w:color="auto" w:sz="12" w:space="0"/>
            </w:tcBorders>
            <w:vAlign w:val="center"/>
          </w:tcPr>
          <w:p>
            <w:pPr>
              <w:spacing w:line="360" w:lineRule="auto"/>
              <w:rPr>
                <w:rFonts w:ascii="宋体" w:hAnsi="宋体"/>
                <w:szCs w:val="21"/>
              </w:rPr>
            </w:pPr>
            <w:r>
              <w:rPr>
                <w:rFonts w:hint="eastAsia" w:ascii="宋体" w:hAnsi="宋体"/>
                <w:szCs w:val="21"/>
              </w:rPr>
              <w:t>未出现法律、法规、规章规定属于投标无效的其他情形</w:t>
            </w:r>
          </w:p>
        </w:tc>
      </w:tr>
    </w:tbl>
    <w:p>
      <w:pPr>
        <w:spacing w:line="360" w:lineRule="auto"/>
        <w:ind w:left="420"/>
        <w:jc w:val="center"/>
        <w:outlineLvl w:val="0"/>
        <w:rPr>
          <w:rFonts w:ascii="宋体" w:hAnsi="宋体"/>
          <w:b/>
          <w:bCs/>
          <w:sz w:val="28"/>
          <w:szCs w:val="28"/>
        </w:rPr>
      </w:pPr>
      <w:r>
        <w:rPr>
          <w:rFonts w:hint="eastAsia" w:ascii="宋体" w:hAnsi="宋体"/>
          <w:b/>
          <w:bCs/>
          <w:sz w:val="28"/>
          <w:szCs w:val="28"/>
        </w:rPr>
        <w:br w:type="page"/>
      </w:r>
    </w:p>
    <w:p>
      <w:pPr>
        <w:jc w:val="center"/>
        <w:rPr>
          <w:rFonts w:hint="eastAsia" w:ascii="宋体" w:hAnsi="宋体" w:eastAsia="宋体" w:cs="宋体"/>
          <w:b/>
          <w:bCs/>
          <w:sz w:val="28"/>
          <w:szCs w:val="28"/>
          <w:lang w:val="en-US" w:eastAsia="zh-CN"/>
        </w:rPr>
      </w:pPr>
      <w:bookmarkStart w:id="9" w:name="_Toc7324"/>
      <w:bookmarkStart w:id="10" w:name="_Toc26151"/>
      <w:bookmarkStart w:id="11" w:name="_Toc17196"/>
      <w:r>
        <w:rPr>
          <w:rFonts w:hint="eastAsia" w:ascii="宋体" w:hAnsi="宋体" w:cs="宋体"/>
          <w:b/>
          <w:bCs/>
          <w:sz w:val="28"/>
          <w:szCs w:val="28"/>
          <w:lang w:val="en-US" w:eastAsia="zh-CN"/>
        </w:rPr>
        <w:t>技术</w:t>
      </w:r>
      <w:r>
        <w:rPr>
          <w:rFonts w:hint="eastAsia" w:ascii="宋体" w:hAnsi="宋体" w:eastAsia="宋体" w:cs="宋体"/>
          <w:b/>
          <w:bCs/>
          <w:sz w:val="28"/>
          <w:szCs w:val="28"/>
          <w:lang w:val="en-US" w:eastAsia="zh-CN"/>
        </w:rPr>
        <w:t>评分标准</w:t>
      </w:r>
      <w:r>
        <w:rPr>
          <w:rFonts w:hint="eastAsia" w:ascii="宋体" w:hAnsi="宋体" w:cs="宋体"/>
          <w:b/>
          <w:bCs/>
          <w:sz w:val="28"/>
          <w:szCs w:val="28"/>
          <w:lang w:val="en-US" w:eastAsia="zh-CN"/>
        </w:rPr>
        <w:t>（75分）</w:t>
      </w:r>
    </w:p>
    <w:tbl>
      <w:tblPr>
        <w:tblStyle w:val="19"/>
        <w:tblW w:w="9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4"/>
        <w:gridCol w:w="1186"/>
        <w:gridCol w:w="1149"/>
        <w:gridCol w:w="6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734" w:type="dxa"/>
            <w:noWrap w:val="0"/>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b/>
                <w:color w:val="auto"/>
                <w:sz w:val="21"/>
                <w:szCs w:val="21"/>
              </w:rPr>
              <w:t>序号</w:t>
            </w:r>
          </w:p>
        </w:tc>
        <w:tc>
          <w:tcPr>
            <w:tcW w:w="1186" w:type="dxa"/>
            <w:noWrap w:val="0"/>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b/>
                <w:color w:val="auto"/>
                <w:sz w:val="21"/>
                <w:szCs w:val="21"/>
              </w:rPr>
              <w:t>评审内容</w:t>
            </w:r>
          </w:p>
        </w:tc>
        <w:tc>
          <w:tcPr>
            <w:tcW w:w="1149" w:type="dxa"/>
            <w:noWrap w:val="0"/>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cs="宋体"/>
                <w:b/>
                <w:color w:val="auto"/>
                <w:sz w:val="21"/>
                <w:szCs w:val="21"/>
                <w:lang w:val="en-US" w:eastAsia="zh-CN"/>
              </w:rPr>
              <w:t>最高</w:t>
            </w:r>
            <w:r>
              <w:rPr>
                <w:rFonts w:hint="eastAsia" w:ascii="宋体" w:hAnsi="宋体" w:eastAsia="宋体" w:cs="宋体"/>
                <w:b/>
                <w:color w:val="auto"/>
                <w:sz w:val="21"/>
                <w:szCs w:val="21"/>
              </w:rPr>
              <w:t>分值</w:t>
            </w:r>
          </w:p>
        </w:tc>
        <w:tc>
          <w:tcPr>
            <w:tcW w:w="6828" w:type="dxa"/>
            <w:noWrap w:val="0"/>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b/>
                <w:color w:val="auto"/>
                <w:sz w:val="21"/>
                <w:szCs w:val="21"/>
              </w:rPr>
              <w:t>评分档次及依据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8" w:hRule="atLeast"/>
        </w:trPr>
        <w:tc>
          <w:tcPr>
            <w:tcW w:w="734" w:type="dxa"/>
            <w:noWrap w:val="0"/>
            <w:vAlign w:val="center"/>
          </w:tcPr>
          <w:p>
            <w:pPr>
              <w:spacing w:line="240" w:lineRule="auto"/>
              <w:ind w:firstLine="211" w:firstLineChars="10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rPr>
              <w:t>1</w:t>
            </w:r>
          </w:p>
        </w:tc>
        <w:tc>
          <w:tcPr>
            <w:tcW w:w="1186" w:type="dxa"/>
            <w:noWrap w:val="0"/>
            <w:vAlign w:val="center"/>
          </w:tcPr>
          <w:p>
            <w:pPr>
              <w:spacing w:line="240" w:lineRule="auto"/>
              <w:jc w:val="center"/>
              <w:rPr>
                <w:rFonts w:hint="eastAsia" w:ascii="宋体" w:hAnsi="宋体" w:eastAsia="宋体" w:cs="宋体"/>
                <w:sz w:val="21"/>
                <w:szCs w:val="21"/>
                <w:lang w:val="en-US" w:eastAsia="zh-CN"/>
              </w:rPr>
            </w:pPr>
            <w:r>
              <w:rPr>
                <w:rFonts w:hint="eastAsia" w:ascii="宋体" w:hAnsi="宋体" w:eastAsia="宋体" w:cs="宋体"/>
                <w:bCs/>
                <w:sz w:val="21"/>
                <w:szCs w:val="21"/>
              </w:rPr>
              <w:t>用户需求书响应程度</w:t>
            </w:r>
          </w:p>
        </w:tc>
        <w:tc>
          <w:tcPr>
            <w:tcW w:w="1149" w:type="dxa"/>
            <w:noWrap w:val="0"/>
            <w:vAlign w:val="center"/>
          </w:tcPr>
          <w:p>
            <w:pPr>
              <w:spacing w:line="240" w:lineRule="auto"/>
              <w:ind w:firstLine="210" w:firstLineChars="10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6828" w:type="dxa"/>
            <w:noWrap w:val="0"/>
            <w:vAlign w:val="center"/>
          </w:tcPr>
          <w:p>
            <w:pPr>
              <w:rPr>
                <w:rFonts w:hint="eastAsia" w:ascii="宋体" w:hAnsi="宋体" w:eastAsia="宋体" w:cs="宋体"/>
                <w:sz w:val="21"/>
                <w:szCs w:val="21"/>
              </w:rPr>
            </w:pPr>
            <w:r>
              <w:rPr>
                <w:rFonts w:hint="eastAsia" w:ascii="宋体" w:hAnsi="宋体" w:eastAsia="宋体" w:cs="宋体"/>
                <w:sz w:val="21"/>
                <w:szCs w:val="21"/>
              </w:rPr>
              <w:t>根据各参选人对比选文件“用户需求书”整体响应程度进行评分：</w:t>
            </w:r>
          </w:p>
          <w:p>
            <w:pPr>
              <w:rPr>
                <w:rFonts w:hint="eastAsia" w:ascii="宋体" w:hAnsi="宋体" w:eastAsia="宋体" w:cs="宋体"/>
                <w:color w:val="FF0000"/>
                <w:sz w:val="21"/>
                <w:szCs w:val="21"/>
              </w:rPr>
            </w:pPr>
            <w:r>
              <w:rPr>
                <w:rFonts w:hint="eastAsia" w:ascii="宋体" w:hAnsi="宋体" w:eastAsia="宋体" w:cs="宋体"/>
                <w:color w:val="FF0000"/>
                <w:sz w:val="21"/>
                <w:szCs w:val="21"/>
              </w:rPr>
              <w:t>1、完全满足或优于“用户需求书”的，得5分；</w:t>
            </w:r>
          </w:p>
          <w:p>
            <w:pPr>
              <w:spacing w:line="240" w:lineRule="auto"/>
              <w:jc w:val="left"/>
              <w:rPr>
                <w:rFonts w:hint="eastAsia" w:ascii="宋体" w:hAnsi="宋体" w:eastAsia="宋体" w:cs="宋体"/>
                <w:sz w:val="21"/>
                <w:szCs w:val="21"/>
                <w:lang w:val="en-US" w:eastAsia="zh-CN"/>
              </w:rPr>
            </w:pPr>
            <w:r>
              <w:rPr>
                <w:rFonts w:hint="eastAsia" w:ascii="宋体" w:hAnsi="宋体" w:eastAsia="宋体" w:cs="宋体"/>
                <w:color w:val="FF0000"/>
                <w:sz w:val="21"/>
                <w:szCs w:val="21"/>
              </w:rPr>
              <w:t>2、部分满足“用户需求书”的，得</w:t>
            </w:r>
            <w:r>
              <w:rPr>
                <w:rFonts w:hint="eastAsia" w:ascii="宋体" w:hAnsi="宋体" w:cs="宋体"/>
                <w:color w:val="FF0000"/>
                <w:sz w:val="21"/>
                <w:szCs w:val="21"/>
                <w:lang w:val="en-US" w:eastAsia="zh-CN"/>
              </w:rPr>
              <w:t>0</w:t>
            </w:r>
            <w:r>
              <w:rPr>
                <w:rFonts w:hint="eastAsia" w:ascii="宋体" w:hAnsi="宋体" w:eastAsia="宋体" w:cs="宋体"/>
                <w:color w:val="FF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734" w:type="dxa"/>
            <w:noWrap w:val="0"/>
            <w:vAlign w:val="center"/>
          </w:tcPr>
          <w:p>
            <w:pPr>
              <w:spacing w:line="240" w:lineRule="auto"/>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rPr>
              <w:t>2</w:t>
            </w:r>
          </w:p>
        </w:tc>
        <w:tc>
          <w:tcPr>
            <w:tcW w:w="1186" w:type="dxa"/>
            <w:noWrap w:val="0"/>
            <w:vAlign w:val="center"/>
          </w:tcPr>
          <w:p>
            <w:pPr>
              <w:spacing w:line="240" w:lineRule="auto"/>
              <w:jc w:val="center"/>
              <w:rPr>
                <w:rFonts w:hint="eastAsia" w:ascii="宋体" w:hAnsi="宋体" w:eastAsia="宋体" w:cs="宋体"/>
                <w:sz w:val="21"/>
                <w:szCs w:val="21"/>
                <w:lang w:val="en-US" w:eastAsia="zh-CN"/>
              </w:rPr>
            </w:pPr>
            <w:r>
              <w:rPr>
                <w:rFonts w:hint="eastAsia" w:ascii="宋体" w:hAnsi="宋体" w:eastAsia="宋体" w:cs="宋体"/>
                <w:bCs/>
                <w:sz w:val="21"/>
                <w:szCs w:val="21"/>
              </w:rPr>
              <w:t>赔偿限额承诺</w:t>
            </w:r>
          </w:p>
        </w:tc>
        <w:tc>
          <w:tcPr>
            <w:tcW w:w="1149" w:type="dxa"/>
            <w:noWrap w:val="0"/>
            <w:vAlign w:val="center"/>
          </w:tcPr>
          <w:p>
            <w:pPr>
              <w:spacing w:line="240" w:lineRule="auto"/>
              <w:ind w:firstLine="210" w:firstLineChars="10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6828" w:type="dxa"/>
            <w:noWrap w:val="0"/>
            <w:vAlign w:val="center"/>
          </w:tcPr>
          <w:p>
            <w:pPr>
              <w:rPr>
                <w:rFonts w:hint="eastAsia" w:ascii="宋体" w:hAnsi="宋体" w:eastAsia="宋体" w:cs="宋体"/>
                <w:sz w:val="21"/>
                <w:szCs w:val="21"/>
              </w:rPr>
            </w:pPr>
            <w:r>
              <w:rPr>
                <w:rFonts w:hint="eastAsia" w:ascii="宋体" w:hAnsi="宋体" w:eastAsia="宋体" w:cs="宋体"/>
                <w:sz w:val="21"/>
                <w:szCs w:val="21"/>
              </w:rPr>
              <w:t>根据各参选人提供的项目运营限额承诺情况进行横向对比：</w:t>
            </w:r>
          </w:p>
          <w:p>
            <w:pPr>
              <w:rPr>
                <w:rFonts w:hint="eastAsia" w:ascii="宋体" w:hAnsi="宋体" w:eastAsia="宋体" w:cs="宋体"/>
                <w:color w:val="FF0000"/>
                <w:sz w:val="21"/>
                <w:szCs w:val="21"/>
              </w:rPr>
            </w:pPr>
            <w:r>
              <w:rPr>
                <w:rFonts w:hint="eastAsia" w:ascii="宋体" w:hAnsi="宋体" w:cs="宋体"/>
                <w:color w:val="FF0000"/>
                <w:sz w:val="21"/>
                <w:szCs w:val="21"/>
                <w:lang w:val="en-US" w:eastAsia="zh-CN"/>
              </w:rPr>
              <w:t>1</w:t>
            </w:r>
            <w:r>
              <w:rPr>
                <w:rFonts w:hint="eastAsia" w:ascii="宋体" w:hAnsi="宋体" w:eastAsia="宋体" w:cs="宋体"/>
                <w:color w:val="FF0000"/>
                <w:sz w:val="21"/>
                <w:szCs w:val="21"/>
              </w:rPr>
              <w:t>、330万（含）</w:t>
            </w:r>
            <w:r>
              <w:rPr>
                <w:rFonts w:hint="eastAsia" w:ascii="宋体" w:hAnsi="宋体" w:cs="宋体"/>
                <w:color w:val="FF0000"/>
                <w:sz w:val="21"/>
                <w:szCs w:val="21"/>
                <w:lang w:val="en-US" w:eastAsia="zh-CN"/>
              </w:rPr>
              <w:t>以上</w:t>
            </w:r>
            <w:r>
              <w:rPr>
                <w:rFonts w:hint="eastAsia" w:ascii="宋体" w:hAnsi="宋体" w:eastAsia="宋体" w:cs="宋体"/>
                <w:color w:val="FF0000"/>
                <w:sz w:val="21"/>
                <w:szCs w:val="21"/>
              </w:rPr>
              <w:t>的得</w:t>
            </w:r>
            <w:r>
              <w:rPr>
                <w:rFonts w:hint="eastAsia" w:ascii="宋体" w:hAnsi="宋体" w:cs="宋体"/>
                <w:color w:val="FF0000"/>
                <w:sz w:val="21"/>
                <w:szCs w:val="21"/>
                <w:lang w:val="en-US" w:eastAsia="zh-CN"/>
              </w:rPr>
              <w:t>10</w:t>
            </w:r>
            <w:r>
              <w:rPr>
                <w:rFonts w:hint="eastAsia" w:ascii="宋体" w:hAnsi="宋体" w:eastAsia="宋体" w:cs="宋体"/>
                <w:color w:val="FF0000"/>
                <w:sz w:val="21"/>
                <w:szCs w:val="21"/>
              </w:rPr>
              <w:t>分。</w:t>
            </w:r>
          </w:p>
          <w:p>
            <w:pPr>
              <w:rPr>
                <w:rFonts w:hint="eastAsia" w:ascii="宋体" w:hAnsi="宋体" w:eastAsia="宋体" w:cs="宋体"/>
                <w:color w:val="FF0000"/>
                <w:sz w:val="21"/>
                <w:szCs w:val="21"/>
              </w:rPr>
            </w:pPr>
            <w:r>
              <w:rPr>
                <w:rFonts w:hint="eastAsia" w:ascii="宋体" w:hAnsi="宋体" w:cs="宋体"/>
                <w:color w:val="FF0000"/>
                <w:sz w:val="21"/>
                <w:szCs w:val="21"/>
                <w:lang w:val="en-US" w:eastAsia="zh-CN"/>
              </w:rPr>
              <w:t>2</w:t>
            </w:r>
            <w:r>
              <w:rPr>
                <w:rFonts w:hint="eastAsia" w:ascii="宋体" w:hAnsi="宋体" w:eastAsia="宋体" w:cs="宋体"/>
                <w:color w:val="FF0000"/>
                <w:sz w:val="21"/>
                <w:szCs w:val="21"/>
              </w:rPr>
              <w:t>、300万（含）-330万（不含）的，得</w:t>
            </w:r>
            <w:r>
              <w:rPr>
                <w:rFonts w:hint="eastAsia" w:ascii="宋体" w:hAnsi="宋体" w:cs="宋体"/>
                <w:color w:val="FF0000"/>
                <w:sz w:val="21"/>
                <w:szCs w:val="21"/>
                <w:lang w:val="en-US" w:eastAsia="zh-CN"/>
              </w:rPr>
              <w:t>8</w:t>
            </w:r>
            <w:r>
              <w:rPr>
                <w:rFonts w:hint="eastAsia" w:ascii="宋体" w:hAnsi="宋体" w:eastAsia="宋体" w:cs="宋体"/>
                <w:color w:val="FF0000"/>
                <w:sz w:val="21"/>
                <w:szCs w:val="21"/>
              </w:rPr>
              <w:t>分；</w:t>
            </w:r>
          </w:p>
          <w:p>
            <w:pPr>
              <w:rPr>
                <w:rFonts w:hint="eastAsia" w:ascii="宋体" w:hAnsi="宋体" w:eastAsia="宋体" w:cs="宋体"/>
                <w:color w:val="FF0000"/>
                <w:sz w:val="21"/>
                <w:szCs w:val="21"/>
              </w:rPr>
            </w:pPr>
            <w:r>
              <w:rPr>
                <w:rFonts w:hint="eastAsia" w:ascii="宋体" w:hAnsi="宋体" w:cs="宋体"/>
                <w:color w:val="FF0000"/>
                <w:sz w:val="21"/>
                <w:szCs w:val="21"/>
                <w:lang w:val="en-US" w:eastAsia="zh-CN"/>
              </w:rPr>
              <w:t>3</w:t>
            </w:r>
            <w:r>
              <w:rPr>
                <w:rFonts w:hint="eastAsia" w:ascii="宋体" w:hAnsi="宋体" w:eastAsia="宋体" w:cs="宋体"/>
                <w:color w:val="FF0000"/>
                <w:sz w:val="21"/>
                <w:szCs w:val="21"/>
              </w:rPr>
              <w:t>、300万以下的，不得分</w:t>
            </w:r>
          </w:p>
          <w:p>
            <w:pPr>
              <w:spacing w:line="240" w:lineRule="auto"/>
              <w:jc w:val="left"/>
              <w:rPr>
                <w:rFonts w:hint="eastAsia" w:ascii="宋体" w:hAnsi="宋体" w:eastAsia="宋体" w:cs="宋体"/>
                <w:sz w:val="21"/>
                <w:szCs w:val="21"/>
                <w:lang w:val="en-US" w:eastAsia="zh-CN"/>
              </w:rPr>
            </w:pPr>
            <w:r>
              <w:rPr>
                <w:rFonts w:hint="eastAsia" w:ascii="宋体" w:hAnsi="宋体" w:eastAsia="宋体" w:cs="宋体"/>
                <w:sz w:val="21"/>
                <w:szCs w:val="21"/>
              </w:rPr>
              <w:t>注：须提供承诺函。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1" w:hRule="atLeast"/>
        </w:trPr>
        <w:tc>
          <w:tcPr>
            <w:tcW w:w="734" w:type="dxa"/>
            <w:noWrap w:val="0"/>
            <w:vAlign w:val="center"/>
          </w:tcPr>
          <w:p>
            <w:pPr>
              <w:spacing w:line="240" w:lineRule="auto"/>
              <w:ind w:firstLine="211" w:firstLineChars="10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rPr>
              <w:t>3</w:t>
            </w:r>
          </w:p>
        </w:tc>
        <w:tc>
          <w:tcPr>
            <w:tcW w:w="1186" w:type="dxa"/>
            <w:noWrap w:val="0"/>
            <w:vAlign w:val="center"/>
          </w:tcPr>
          <w:p>
            <w:pPr>
              <w:spacing w:line="240" w:lineRule="auto"/>
              <w:jc w:val="center"/>
              <w:rPr>
                <w:rFonts w:hint="eastAsia" w:ascii="宋体" w:hAnsi="宋体" w:eastAsia="宋体" w:cs="宋体"/>
                <w:sz w:val="21"/>
                <w:szCs w:val="21"/>
                <w:lang w:val="en-US" w:eastAsia="zh-CN"/>
              </w:rPr>
            </w:pPr>
            <w:r>
              <w:rPr>
                <w:rFonts w:hint="eastAsia" w:ascii="宋体" w:hAnsi="宋体" w:eastAsia="宋体" w:cs="宋体"/>
                <w:bCs/>
                <w:sz w:val="21"/>
                <w:szCs w:val="21"/>
              </w:rPr>
              <w:t>服务方案措施</w:t>
            </w:r>
          </w:p>
        </w:tc>
        <w:tc>
          <w:tcPr>
            <w:tcW w:w="1149" w:type="dxa"/>
            <w:noWrap w:val="0"/>
            <w:vAlign w:val="center"/>
          </w:tcPr>
          <w:p>
            <w:pPr>
              <w:spacing w:line="240" w:lineRule="auto"/>
              <w:ind w:firstLine="210" w:firstLineChars="100"/>
              <w:jc w:val="both"/>
              <w:rPr>
                <w:rFonts w:hint="default" w:ascii="宋体" w:hAnsi="宋体" w:eastAsia="宋体" w:cs="宋体"/>
                <w:sz w:val="21"/>
                <w:szCs w:val="21"/>
                <w:lang w:val="en-US" w:eastAsia="zh-CN"/>
              </w:rPr>
            </w:pPr>
            <w:r>
              <w:rPr>
                <w:rFonts w:hint="eastAsia" w:ascii="宋体" w:hAnsi="宋体" w:cs="宋体"/>
                <w:sz w:val="21"/>
                <w:szCs w:val="21"/>
                <w:lang w:val="en-US" w:eastAsia="zh-CN"/>
              </w:rPr>
              <w:t>20</w:t>
            </w:r>
          </w:p>
        </w:tc>
        <w:tc>
          <w:tcPr>
            <w:tcW w:w="6828" w:type="dxa"/>
            <w:noWrap w:val="0"/>
            <w:vAlign w:val="center"/>
          </w:tcPr>
          <w:p>
            <w:pPr>
              <w:rPr>
                <w:rFonts w:hint="eastAsia" w:ascii="宋体" w:hAnsi="宋体" w:eastAsia="宋体" w:cs="宋体"/>
                <w:sz w:val="21"/>
                <w:szCs w:val="21"/>
              </w:rPr>
            </w:pPr>
            <w:r>
              <w:rPr>
                <w:rFonts w:hint="eastAsia" w:ascii="宋体" w:hAnsi="宋体" w:eastAsia="宋体" w:cs="宋体"/>
                <w:sz w:val="21"/>
                <w:szCs w:val="21"/>
              </w:rPr>
              <w:t>根据各参选人提供的服务方案措施的可行性与保障性进行横向对比：</w:t>
            </w:r>
          </w:p>
          <w:p>
            <w:pPr>
              <w:rPr>
                <w:rFonts w:hint="eastAsia" w:ascii="宋体" w:hAnsi="宋体" w:eastAsia="宋体" w:cs="宋体"/>
                <w:sz w:val="21"/>
                <w:szCs w:val="21"/>
              </w:rPr>
            </w:pPr>
            <w:r>
              <w:rPr>
                <w:rFonts w:hint="eastAsia" w:ascii="宋体" w:hAnsi="宋体" w:eastAsia="宋体" w:cs="宋体"/>
                <w:sz w:val="21"/>
                <w:szCs w:val="21"/>
              </w:rPr>
              <w:t>1、服务方案最具体、可行、保障最全面，综合为优，得</w:t>
            </w:r>
            <w:r>
              <w:rPr>
                <w:rFonts w:hint="eastAsia" w:ascii="宋体" w:hAnsi="宋体" w:cs="宋体"/>
                <w:sz w:val="21"/>
                <w:szCs w:val="21"/>
                <w:lang w:val="en-US" w:eastAsia="zh-CN"/>
              </w:rPr>
              <w:t>20</w:t>
            </w:r>
            <w:r>
              <w:rPr>
                <w:rFonts w:hint="eastAsia" w:ascii="宋体" w:hAnsi="宋体" w:eastAsia="宋体" w:cs="宋体"/>
                <w:sz w:val="21"/>
                <w:szCs w:val="21"/>
              </w:rPr>
              <w:t>分；</w:t>
            </w:r>
          </w:p>
          <w:p>
            <w:pPr>
              <w:rPr>
                <w:rFonts w:hint="eastAsia" w:ascii="宋体" w:hAnsi="宋体" w:eastAsia="宋体" w:cs="宋体"/>
                <w:sz w:val="21"/>
                <w:szCs w:val="21"/>
              </w:rPr>
            </w:pPr>
            <w:r>
              <w:rPr>
                <w:rFonts w:hint="eastAsia" w:ascii="宋体" w:hAnsi="宋体" w:eastAsia="宋体" w:cs="宋体"/>
                <w:sz w:val="21"/>
                <w:szCs w:val="21"/>
              </w:rPr>
              <w:t>2、服务方案较具体、可行、保障较全面，综合良好，得</w:t>
            </w:r>
            <w:r>
              <w:rPr>
                <w:rFonts w:hint="eastAsia" w:ascii="宋体" w:hAnsi="宋体" w:cs="宋体"/>
                <w:sz w:val="21"/>
                <w:szCs w:val="21"/>
                <w:lang w:val="en-US" w:eastAsia="zh-CN"/>
              </w:rPr>
              <w:t>15</w:t>
            </w:r>
            <w:r>
              <w:rPr>
                <w:rFonts w:hint="eastAsia" w:ascii="宋体" w:hAnsi="宋体" w:eastAsia="宋体" w:cs="宋体"/>
                <w:sz w:val="21"/>
                <w:szCs w:val="21"/>
              </w:rPr>
              <w:t>分；</w:t>
            </w:r>
          </w:p>
          <w:p>
            <w:pPr>
              <w:spacing w:line="240" w:lineRule="auto"/>
              <w:jc w:val="left"/>
              <w:rPr>
                <w:rFonts w:hint="eastAsia" w:ascii="宋体" w:hAnsi="宋体" w:eastAsia="宋体" w:cs="宋体"/>
                <w:sz w:val="21"/>
                <w:szCs w:val="21"/>
                <w:lang w:val="en-US" w:eastAsia="zh-CN"/>
              </w:rPr>
            </w:pPr>
            <w:r>
              <w:rPr>
                <w:rFonts w:hint="eastAsia" w:ascii="宋体" w:hAnsi="宋体" w:eastAsia="宋体" w:cs="宋体"/>
                <w:sz w:val="21"/>
                <w:szCs w:val="21"/>
              </w:rPr>
              <w:t>3、服务方案不够具体、可行性一般、保障基本全面，综合一般，得</w:t>
            </w:r>
            <w:r>
              <w:rPr>
                <w:rFonts w:hint="eastAsia" w:ascii="宋体" w:hAnsi="宋体" w:cs="宋体"/>
                <w:sz w:val="21"/>
                <w:szCs w:val="21"/>
                <w:lang w:val="en-US" w:eastAsia="zh-CN"/>
              </w:rPr>
              <w:t>10</w:t>
            </w:r>
            <w:r>
              <w:rPr>
                <w:rFonts w:hint="eastAsia" w:ascii="宋体" w:hAnsi="宋体" w:eastAsia="宋体" w:cs="宋体"/>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trPr>
        <w:tc>
          <w:tcPr>
            <w:tcW w:w="734" w:type="dxa"/>
            <w:noWrap w:val="0"/>
            <w:vAlign w:val="center"/>
          </w:tcPr>
          <w:p>
            <w:pPr>
              <w:spacing w:line="240" w:lineRule="auto"/>
              <w:ind w:firstLine="211" w:firstLineChars="10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rPr>
              <w:t>4</w:t>
            </w:r>
          </w:p>
        </w:tc>
        <w:tc>
          <w:tcPr>
            <w:tcW w:w="1186" w:type="dxa"/>
            <w:noWrap w:val="0"/>
            <w:vAlign w:val="center"/>
          </w:tcPr>
          <w:p>
            <w:pPr>
              <w:keepNext w:val="0"/>
              <w:keepLines w:val="0"/>
              <w:pageBreakBefore w:val="0"/>
              <w:widowControl w:val="0"/>
              <w:tabs>
                <w:tab w:val="left" w:pos="840"/>
              </w:tabs>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bCs/>
                <w:sz w:val="21"/>
                <w:szCs w:val="21"/>
              </w:rPr>
              <w:t>理赔周期承诺</w:t>
            </w:r>
          </w:p>
        </w:tc>
        <w:tc>
          <w:tcPr>
            <w:tcW w:w="1149" w:type="dxa"/>
            <w:noWrap w:val="0"/>
            <w:vAlign w:val="center"/>
          </w:tcPr>
          <w:p>
            <w:pPr>
              <w:keepNext w:val="0"/>
              <w:keepLines w:val="0"/>
              <w:pageBreakBefore w:val="0"/>
              <w:tabs>
                <w:tab w:val="left" w:pos="840"/>
              </w:tabs>
              <w:kinsoku/>
              <w:wordWrap/>
              <w:overflowPunct/>
              <w:topLinePunct w:val="0"/>
              <w:autoSpaceDE/>
              <w:autoSpaceDN/>
              <w:bidi w:val="0"/>
              <w:adjustRightIn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r>
              <w:rPr>
                <w:rFonts w:hint="eastAsia" w:ascii="宋体" w:hAnsi="宋体" w:cs="宋体"/>
                <w:sz w:val="21"/>
                <w:szCs w:val="21"/>
                <w:lang w:val="en-US" w:eastAsia="zh-CN"/>
              </w:rPr>
              <w:t>5</w:t>
            </w:r>
          </w:p>
        </w:tc>
        <w:tc>
          <w:tcPr>
            <w:tcW w:w="6828" w:type="dxa"/>
            <w:noWrap w:val="0"/>
            <w:vAlign w:val="center"/>
          </w:tcPr>
          <w:p>
            <w:pPr>
              <w:rPr>
                <w:rFonts w:hint="eastAsia" w:ascii="宋体" w:hAnsi="宋体" w:eastAsia="宋体" w:cs="宋体"/>
                <w:sz w:val="21"/>
                <w:szCs w:val="21"/>
              </w:rPr>
            </w:pPr>
            <w:r>
              <w:rPr>
                <w:rFonts w:hint="eastAsia" w:ascii="宋体" w:hAnsi="宋体" w:eastAsia="宋体" w:cs="宋体"/>
                <w:sz w:val="21"/>
                <w:szCs w:val="21"/>
              </w:rPr>
              <w:t>根据各参选人提供的项目结案理赔周期承诺进行横向对比：</w:t>
            </w:r>
          </w:p>
          <w:p>
            <w:pPr>
              <w:rPr>
                <w:rFonts w:hint="eastAsia" w:ascii="宋体" w:hAnsi="宋体" w:eastAsia="宋体" w:cs="宋体"/>
                <w:color w:val="FF0000"/>
                <w:sz w:val="21"/>
                <w:szCs w:val="21"/>
              </w:rPr>
            </w:pPr>
            <w:r>
              <w:rPr>
                <w:rFonts w:hint="eastAsia" w:ascii="宋体" w:hAnsi="宋体" w:cs="宋体"/>
                <w:color w:val="FF0000"/>
                <w:sz w:val="21"/>
                <w:szCs w:val="21"/>
                <w:lang w:val="en-US" w:eastAsia="zh-CN"/>
              </w:rPr>
              <w:t>1</w:t>
            </w:r>
            <w:r>
              <w:rPr>
                <w:rFonts w:hint="eastAsia" w:ascii="宋体" w:hAnsi="宋体" w:eastAsia="宋体" w:cs="宋体"/>
                <w:color w:val="FF0000"/>
                <w:sz w:val="21"/>
                <w:szCs w:val="21"/>
              </w:rPr>
              <w:t xml:space="preserve">、5工作日内： </w:t>
            </w:r>
            <w:r>
              <w:rPr>
                <w:rFonts w:hint="eastAsia" w:ascii="宋体" w:hAnsi="宋体" w:cs="宋体"/>
                <w:color w:val="FF0000"/>
                <w:sz w:val="21"/>
                <w:szCs w:val="21"/>
                <w:lang w:val="en-US" w:eastAsia="zh-CN"/>
              </w:rPr>
              <w:t>15</w:t>
            </w:r>
            <w:r>
              <w:rPr>
                <w:rFonts w:hint="eastAsia" w:ascii="宋体" w:hAnsi="宋体" w:eastAsia="宋体" w:cs="宋体"/>
                <w:color w:val="FF0000"/>
                <w:sz w:val="21"/>
                <w:szCs w:val="21"/>
              </w:rPr>
              <w:t>分；</w:t>
            </w:r>
          </w:p>
          <w:p>
            <w:pPr>
              <w:rPr>
                <w:rFonts w:hint="eastAsia" w:ascii="宋体" w:hAnsi="宋体" w:eastAsia="宋体" w:cs="宋体"/>
                <w:color w:val="FF0000"/>
                <w:sz w:val="21"/>
                <w:szCs w:val="21"/>
              </w:rPr>
            </w:pPr>
            <w:r>
              <w:rPr>
                <w:rFonts w:hint="eastAsia" w:ascii="宋体" w:hAnsi="宋体" w:cs="宋体"/>
                <w:color w:val="FF0000"/>
                <w:sz w:val="21"/>
                <w:szCs w:val="21"/>
                <w:lang w:val="en-US" w:eastAsia="zh-CN"/>
              </w:rPr>
              <w:t>2</w:t>
            </w:r>
            <w:r>
              <w:rPr>
                <w:rFonts w:hint="eastAsia" w:ascii="宋体" w:hAnsi="宋体" w:eastAsia="宋体" w:cs="宋体"/>
                <w:color w:val="FF0000"/>
                <w:sz w:val="21"/>
                <w:szCs w:val="21"/>
              </w:rPr>
              <w:t>、7个工作内：</w:t>
            </w:r>
            <w:r>
              <w:rPr>
                <w:rFonts w:hint="eastAsia" w:ascii="宋体" w:hAnsi="宋体" w:cs="宋体"/>
                <w:color w:val="FF0000"/>
                <w:sz w:val="21"/>
                <w:szCs w:val="21"/>
                <w:lang w:val="en-US" w:eastAsia="zh-CN"/>
              </w:rPr>
              <w:t>10</w:t>
            </w:r>
            <w:r>
              <w:rPr>
                <w:rFonts w:hint="eastAsia" w:ascii="宋体" w:hAnsi="宋体" w:eastAsia="宋体" w:cs="宋体"/>
                <w:color w:val="FF0000"/>
                <w:sz w:val="21"/>
                <w:szCs w:val="21"/>
              </w:rPr>
              <w:t>分；</w:t>
            </w:r>
          </w:p>
          <w:p>
            <w:pPr>
              <w:rPr>
                <w:rFonts w:hint="eastAsia" w:ascii="宋体" w:hAnsi="宋体" w:eastAsia="宋体" w:cs="宋体"/>
                <w:color w:val="FF0000"/>
                <w:sz w:val="21"/>
                <w:szCs w:val="21"/>
              </w:rPr>
            </w:pPr>
            <w:r>
              <w:rPr>
                <w:rFonts w:hint="eastAsia" w:ascii="宋体" w:hAnsi="宋体" w:cs="宋体"/>
                <w:color w:val="FF0000"/>
                <w:sz w:val="21"/>
                <w:szCs w:val="21"/>
                <w:lang w:val="en-US" w:eastAsia="zh-CN"/>
              </w:rPr>
              <w:t>3</w:t>
            </w:r>
            <w:r>
              <w:rPr>
                <w:rFonts w:hint="eastAsia" w:ascii="宋体" w:hAnsi="宋体" w:eastAsia="宋体" w:cs="宋体"/>
                <w:color w:val="FF0000"/>
                <w:sz w:val="21"/>
                <w:szCs w:val="21"/>
              </w:rPr>
              <w:t>、7个工作日以上：得</w:t>
            </w:r>
            <w:r>
              <w:rPr>
                <w:rFonts w:hint="eastAsia" w:ascii="宋体" w:hAnsi="宋体" w:cs="宋体"/>
                <w:color w:val="FF0000"/>
                <w:sz w:val="21"/>
                <w:szCs w:val="21"/>
                <w:lang w:val="en-US" w:eastAsia="zh-CN"/>
              </w:rPr>
              <w:t>5</w:t>
            </w:r>
            <w:r>
              <w:rPr>
                <w:rFonts w:hint="eastAsia" w:ascii="宋体" w:hAnsi="宋体" w:eastAsia="宋体" w:cs="宋体"/>
                <w:color w:val="FF0000"/>
                <w:sz w:val="21"/>
                <w:szCs w:val="21"/>
              </w:rPr>
              <w:t>分</w:t>
            </w:r>
          </w:p>
          <w:p>
            <w:pPr>
              <w:keepNext w:val="0"/>
              <w:keepLines w:val="0"/>
              <w:pageBreakBefore w:val="0"/>
              <w:widowControl/>
              <w:suppressLineNumbers w:val="0"/>
              <w:kinsoku/>
              <w:wordWrap/>
              <w:overflowPunct/>
              <w:topLinePunct w:val="0"/>
              <w:autoSpaceDE/>
              <w:autoSpaceDN/>
              <w:bidi w:val="0"/>
              <w:adjustRightInd/>
              <w:spacing w:after="0" w:line="240" w:lineRule="auto"/>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注：须提供承诺函，格式自拟。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trPr>
        <w:tc>
          <w:tcPr>
            <w:tcW w:w="734" w:type="dxa"/>
            <w:noWrap w:val="0"/>
            <w:vAlign w:val="center"/>
          </w:tcPr>
          <w:p>
            <w:pPr>
              <w:spacing w:line="240" w:lineRule="auto"/>
              <w:ind w:firstLine="211" w:firstLineChars="100"/>
              <w:jc w:val="both"/>
              <w:rPr>
                <w:rFonts w:hint="eastAsia" w:ascii="宋体" w:hAnsi="宋体" w:eastAsia="宋体" w:cs="宋体"/>
                <w:b/>
                <w:bCs/>
                <w:sz w:val="21"/>
                <w:szCs w:val="21"/>
                <w:lang w:val="en-US" w:eastAsia="zh-CN"/>
              </w:rPr>
            </w:pPr>
            <w:r>
              <w:rPr>
                <w:rFonts w:hint="eastAsia" w:ascii="宋体" w:hAnsi="宋体" w:cs="宋体"/>
                <w:b/>
                <w:bCs/>
                <w:sz w:val="21"/>
                <w:szCs w:val="21"/>
                <w:lang w:val="en-US" w:eastAsia="zh-CN"/>
              </w:rPr>
              <w:t>5</w:t>
            </w:r>
          </w:p>
        </w:tc>
        <w:tc>
          <w:tcPr>
            <w:tcW w:w="1186" w:type="dxa"/>
            <w:noWrap w:val="0"/>
            <w:vAlign w:val="center"/>
          </w:tcPr>
          <w:p>
            <w:pPr>
              <w:keepNext w:val="0"/>
              <w:keepLines w:val="0"/>
              <w:pageBreakBefore w:val="0"/>
              <w:widowControl w:val="0"/>
              <w:tabs>
                <w:tab w:val="left" w:pos="840"/>
              </w:tabs>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sz w:val="21"/>
                <w:szCs w:val="21"/>
              </w:rPr>
            </w:pPr>
            <w:r>
              <w:rPr>
                <w:rFonts w:hint="eastAsia" w:ascii="宋体" w:hAnsi="宋体" w:eastAsia="宋体" w:cs="宋体"/>
                <w:bCs/>
                <w:sz w:val="21"/>
                <w:szCs w:val="21"/>
              </w:rPr>
              <w:t>服务人员配备情况</w:t>
            </w:r>
          </w:p>
        </w:tc>
        <w:tc>
          <w:tcPr>
            <w:tcW w:w="1149" w:type="dxa"/>
            <w:noWrap w:val="0"/>
            <w:vAlign w:val="center"/>
          </w:tcPr>
          <w:p>
            <w:pPr>
              <w:keepNext w:val="0"/>
              <w:keepLines w:val="0"/>
              <w:pageBreakBefore w:val="0"/>
              <w:tabs>
                <w:tab w:val="left" w:pos="840"/>
              </w:tabs>
              <w:kinsoku/>
              <w:wordWrap/>
              <w:overflowPunct/>
              <w:topLinePunct w:val="0"/>
              <w:autoSpaceDE/>
              <w:autoSpaceDN/>
              <w:bidi w:val="0"/>
              <w:adjustRightIn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25</w:t>
            </w:r>
          </w:p>
        </w:tc>
        <w:tc>
          <w:tcPr>
            <w:tcW w:w="6828" w:type="dxa"/>
            <w:noWrap w:val="0"/>
            <w:vAlign w:val="center"/>
          </w:tcPr>
          <w:p>
            <w:pPr>
              <w:rPr>
                <w:rFonts w:hint="eastAsia" w:ascii="宋体" w:hAnsi="宋体" w:eastAsia="宋体" w:cs="宋体"/>
                <w:color w:val="FF0000"/>
                <w:sz w:val="21"/>
                <w:szCs w:val="21"/>
              </w:rPr>
            </w:pPr>
            <w:r>
              <w:rPr>
                <w:rFonts w:hint="eastAsia" w:ascii="宋体" w:hAnsi="宋体" w:eastAsia="宋体" w:cs="宋体"/>
                <w:color w:val="FF0000"/>
                <w:sz w:val="21"/>
                <w:szCs w:val="21"/>
              </w:rPr>
              <w:t>1、配备的服务人员</w:t>
            </w:r>
            <w:r>
              <w:rPr>
                <w:rFonts w:hint="eastAsia" w:ascii="宋体" w:hAnsi="宋体" w:cs="宋体"/>
                <w:color w:val="FF0000"/>
                <w:sz w:val="21"/>
                <w:szCs w:val="21"/>
                <w:lang w:val="en-US" w:eastAsia="zh-CN"/>
              </w:rPr>
              <w:t>30</w:t>
            </w:r>
            <w:r>
              <w:rPr>
                <w:rFonts w:hint="eastAsia" w:ascii="宋体" w:hAnsi="宋体" w:eastAsia="宋体" w:cs="宋体"/>
                <w:color w:val="FF0000"/>
                <w:sz w:val="21"/>
                <w:szCs w:val="21"/>
              </w:rPr>
              <w:t>人以上，得25分；</w:t>
            </w:r>
          </w:p>
          <w:p>
            <w:pPr>
              <w:rPr>
                <w:rFonts w:hint="eastAsia" w:ascii="宋体" w:hAnsi="宋体" w:eastAsia="宋体" w:cs="宋体"/>
                <w:color w:val="FF0000"/>
                <w:sz w:val="21"/>
                <w:szCs w:val="21"/>
              </w:rPr>
            </w:pPr>
            <w:r>
              <w:rPr>
                <w:rFonts w:hint="eastAsia" w:ascii="宋体" w:hAnsi="宋体" w:eastAsia="宋体" w:cs="宋体"/>
                <w:color w:val="FF0000"/>
                <w:sz w:val="21"/>
                <w:szCs w:val="21"/>
              </w:rPr>
              <w:t>2、配备的服务人员</w:t>
            </w:r>
            <w:r>
              <w:rPr>
                <w:rFonts w:hint="eastAsia" w:ascii="宋体" w:hAnsi="宋体" w:cs="宋体"/>
                <w:color w:val="FF0000"/>
                <w:sz w:val="21"/>
                <w:szCs w:val="21"/>
                <w:lang w:val="en-US" w:eastAsia="zh-CN"/>
              </w:rPr>
              <w:t>20</w:t>
            </w:r>
            <w:r>
              <w:rPr>
                <w:rFonts w:hint="eastAsia" w:ascii="宋体" w:hAnsi="宋体" w:eastAsia="宋体" w:cs="宋体"/>
                <w:color w:val="FF0000"/>
                <w:sz w:val="21"/>
                <w:szCs w:val="21"/>
              </w:rPr>
              <w:t>（含）-</w:t>
            </w:r>
            <w:r>
              <w:rPr>
                <w:rFonts w:hint="eastAsia" w:ascii="宋体" w:hAnsi="宋体" w:cs="宋体"/>
                <w:color w:val="FF0000"/>
                <w:sz w:val="21"/>
                <w:szCs w:val="21"/>
                <w:lang w:val="en-US" w:eastAsia="zh-CN"/>
              </w:rPr>
              <w:t>30</w:t>
            </w:r>
            <w:r>
              <w:rPr>
                <w:rFonts w:hint="eastAsia" w:ascii="宋体" w:hAnsi="宋体" w:eastAsia="宋体" w:cs="宋体"/>
                <w:color w:val="FF0000"/>
                <w:sz w:val="21"/>
                <w:szCs w:val="21"/>
              </w:rPr>
              <w:t>（不含）人，得</w:t>
            </w:r>
            <w:r>
              <w:rPr>
                <w:rFonts w:hint="eastAsia" w:ascii="宋体" w:hAnsi="宋体" w:cs="宋体"/>
                <w:color w:val="FF0000"/>
                <w:sz w:val="21"/>
                <w:szCs w:val="21"/>
                <w:lang w:val="en-US" w:eastAsia="zh-CN"/>
              </w:rPr>
              <w:t>20</w:t>
            </w:r>
            <w:r>
              <w:rPr>
                <w:rFonts w:hint="eastAsia" w:ascii="宋体" w:hAnsi="宋体" w:eastAsia="宋体" w:cs="宋体"/>
                <w:color w:val="FF0000"/>
                <w:sz w:val="21"/>
                <w:szCs w:val="21"/>
              </w:rPr>
              <w:t>分；</w:t>
            </w:r>
          </w:p>
          <w:p>
            <w:pPr>
              <w:rPr>
                <w:rFonts w:hint="eastAsia" w:ascii="宋体" w:hAnsi="宋体" w:eastAsia="宋体" w:cs="宋体"/>
                <w:color w:val="FF0000"/>
                <w:sz w:val="21"/>
                <w:szCs w:val="21"/>
              </w:rPr>
            </w:pPr>
            <w:r>
              <w:rPr>
                <w:rFonts w:hint="eastAsia" w:ascii="宋体" w:hAnsi="宋体" w:eastAsia="宋体" w:cs="宋体"/>
                <w:color w:val="FF0000"/>
                <w:sz w:val="21"/>
                <w:szCs w:val="21"/>
              </w:rPr>
              <w:t>3、配备的服务人员</w:t>
            </w:r>
            <w:r>
              <w:rPr>
                <w:rFonts w:hint="eastAsia" w:ascii="宋体" w:hAnsi="宋体" w:cs="宋体"/>
                <w:color w:val="FF0000"/>
                <w:sz w:val="21"/>
                <w:szCs w:val="21"/>
                <w:lang w:val="en-US" w:eastAsia="zh-CN"/>
              </w:rPr>
              <w:t>10</w:t>
            </w:r>
            <w:r>
              <w:rPr>
                <w:rFonts w:hint="eastAsia" w:ascii="宋体" w:hAnsi="宋体" w:eastAsia="宋体" w:cs="宋体"/>
                <w:color w:val="FF0000"/>
                <w:sz w:val="21"/>
                <w:szCs w:val="21"/>
              </w:rPr>
              <w:t>（含）-</w:t>
            </w:r>
            <w:r>
              <w:rPr>
                <w:rFonts w:hint="eastAsia" w:ascii="宋体" w:hAnsi="宋体" w:cs="宋体"/>
                <w:color w:val="FF0000"/>
                <w:sz w:val="21"/>
                <w:szCs w:val="21"/>
                <w:lang w:val="en-US" w:eastAsia="zh-CN"/>
              </w:rPr>
              <w:t>20</w:t>
            </w:r>
            <w:r>
              <w:rPr>
                <w:rFonts w:hint="eastAsia" w:ascii="宋体" w:hAnsi="宋体" w:eastAsia="宋体" w:cs="宋体"/>
                <w:color w:val="FF0000"/>
                <w:sz w:val="21"/>
                <w:szCs w:val="21"/>
              </w:rPr>
              <w:t>（不含）人以下，得</w:t>
            </w:r>
            <w:r>
              <w:rPr>
                <w:rFonts w:hint="eastAsia" w:ascii="宋体" w:hAnsi="宋体" w:cs="宋体"/>
                <w:color w:val="FF0000"/>
                <w:sz w:val="21"/>
                <w:szCs w:val="21"/>
                <w:lang w:val="en-US" w:eastAsia="zh-CN"/>
              </w:rPr>
              <w:t>15</w:t>
            </w:r>
            <w:r>
              <w:rPr>
                <w:rFonts w:hint="eastAsia" w:ascii="宋体" w:hAnsi="宋体" w:eastAsia="宋体" w:cs="宋体"/>
                <w:color w:val="FF0000"/>
                <w:sz w:val="21"/>
                <w:szCs w:val="21"/>
              </w:rPr>
              <w:t>分；</w:t>
            </w:r>
          </w:p>
          <w:p>
            <w:pPr>
              <w:rPr>
                <w:rFonts w:hint="eastAsia" w:ascii="宋体" w:hAnsi="宋体" w:eastAsia="宋体" w:cs="宋体"/>
                <w:color w:val="FF0000"/>
                <w:sz w:val="21"/>
                <w:szCs w:val="21"/>
              </w:rPr>
            </w:pPr>
            <w:r>
              <w:rPr>
                <w:rFonts w:hint="eastAsia" w:ascii="宋体" w:hAnsi="宋体" w:eastAsia="宋体" w:cs="宋体"/>
                <w:color w:val="FF0000"/>
                <w:sz w:val="21"/>
                <w:szCs w:val="21"/>
              </w:rPr>
              <w:t>4、配备的服务人员</w:t>
            </w:r>
            <w:r>
              <w:rPr>
                <w:rFonts w:hint="eastAsia" w:ascii="宋体" w:hAnsi="宋体" w:cs="宋体"/>
                <w:color w:val="FF0000"/>
                <w:sz w:val="21"/>
                <w:szCs w:val="21"/>
                <w:lang w:val="en-US" w:eastAsia="zh-CN"/>
              </w:rPr>
              <w:t>10</w:t>
            </w:r>
            <w:r>
              <w:rPr>
                <w:rFonts w:hint="eastAsia" w:ascii="宋体" w:hAnsi="宋体" w:eastAsia="宋体" w:cs="宋体"/>
                <w:color w:val="FF0000"/>
                <w:sz w:val="21"/>
                <w:szCs w:val="21"/>
              </w:rPr>
              <w:t>人以下不得分；</w:t>
            </w:r>
          </w:p>
          <w:p>
            <w:pPr>
              <w:keepNext w:val="0"/>
              <w:keepLines w:val="0"/>
              <w:pageBreakBefore w:val="0"/>
              <w:widowControl/>
              <w:suppressLineNumbers w:val="0"/>
              <w:kinsoku/>
              <w:wordWrap/>
              <w:overflowPunct/>
              <w:topLinePunct w:val="0"/>
              <w:autoSpaceDE/>
              <w:autoSpaceDN/>
              <w:bidi w:val="0"/>
              <w:adjustRightInd/>
              <w:spacing w:after="0"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注：须提供相关人员学历、社保证明材料复印件，无提供不得分。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1920" w:type="dxa"/>
            <w:gridSpan w:val="2"/>
            <w:noWrap w:val="0"/>
            <w:vAlign w:val="center"/>
          </w:tcPr>
          <w:p>
            <w:pPr>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rPr>
              <w:t>合计</w:t>
            </w:r>
          </w:p>
        </w:tc>
        <w:tc>
          <w:tcPr>
            <w:tcW w:w="7977" w:type="dxa"/>
            <w:gridSpan w:val="2"/>
            <w:noWrap w:val="0"/>
            <w:vAlign w:val="center"/>
          </w:tcPr>
          <w:p>
            <w:pPr>
              <w:spacing w:line="240" w:lineRule="auto"/>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75</w:t>
            </w:r>
            <w:r>
              <w:rPr>
                <w:rFonts w:hint="eastAsia" w:ascii="宋体" w:hAnsi="宋体" w:eastAsia="宋体" w:cs="宋体"/>
                <w:sz w:val="21"/>
                <w:szCs w:val="21"/>
              </w:rPr>
              <w:t>分</w:t>
            </w:r>
          </w:p>
        </w:tc>
      </w:tr>
    </w:tbl>
    <w:p>
      <w:pPr>
        <w:jc w:val="center"/>
        <w:rPr>
          <w:rFonts w:ascii="宋体" w:hAnsi="宋体" w:eastAsia="宋体" w:cs="宋体"/>
          <w:b/>
          <w:bCs/>
          <w:spacing w:val="7"/>
          <w:sz w:val="28"/>
          <w:szCs w:val="28"/>
          <w:lang w:eastAsia="zh-CN"/>
        </w:rPr>
      </w:pPr>
      <w:r>
        <w:rPr>
          <w:rFonts w:hint="eastAsia" w:ascii="宋体" w:hAnsi="宋体" w:eastAsia="宋体" w:cs="宋体"/>
          <w:b/>
          <w:bCs/>
          <w:spacing w:val="7"/>
          <w:sz w:val="24"/>
          <w:szCs w:val="24"/>
          <w:lang w:eastAsia="zh-CN"/>
        </w:rPr>
        <w:br w:type="page"/>
      </w:r>
      <w:r>
        <w:rPr>
          <w:rFonts w:hint="eastAsia" w:ascii="宋体" w:hAnsi="宋体" w:eastAsia="宋体" w:cs="宋体"/>
          <w:b/>
          <w:bCs/>
          <w:spacing w:val="7"/>
          <w:sz w:val="28"/>
          <w:szCs w:val="28"/>
          <w:lang w:eastAsia="zh-CN"/>
        </w:rPr>
        <w:t>商务评分表（</w:t>
      </w:r>
      <w:r>
        <w:rPr>
          <w:rFonts w:hint="eastAsia" w:ascii="宋体" w:hAnsi="宋体" w:cs="宋体"/>
          <w:b/>
          <w:bCs/>
          <w:spacing w:val="7"/>
          <w:sz w:val="28"/>
          <w:szCs w:val="28"/>
          <w:lang w:val="en-US" w:eastAsia="zh-CN"/>
        </w:rPr>
        <w:t>25</w:t>
      </w:r>
      <w:r>
        <w:rPr>
          <w:rFonts w:hint="eastAsia" w:ascii="宋体" w:hAnsi="宋体" w:eastAsia="宋体" w:cs="宋体"/>
          <w:b/>
          <w:bCs/>
          <w:spacing w:val="7"/>
          <w:sz w:val="28"/>
          <w:szCs w:val="28"/>
          <w:lang w:eastAsia="zh-CN"/>
        </w:rPr>
        <w:t>分）</w:t>
      </w:r>
    </w:p>
    <w:tbl>
      <w:tblPr>
        <w:tblStyle w:val="18"/>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5"/>
        <w:gridCol w:w="2048"/>
        <w:gridCol w:w="1432"/>
        <w:gridCol w:w="5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745" w:type="dxa"/>
            <w:noWrap w:val="0"/>
            <w:vAlign w:val="center"/>
          </w:tcPr>
          <w:p>
            <w:pPr>
              <w:keepNext w:val="0"/>
              <w:keepLines w:val="0"/>
              <w:pageBreakBefore w:val="0"/>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序号</w:t>
            </w:r>
          </w:p>
        </w:tc>
        <w:tc>
          <w:tcPr>
            <w:tcW w:w="2048" w:type="dxa"/>
            <w:noWrap w:val="0"/>
            <w:vAlign w:val="center"/>
          </w:tcPr>
          <w:p>
            <w:pPr>
              <w:keepNext w:val="0"/>
              <w:keepLines w:val="0"/>
              <w:pageBreakBefore w:val="0"/>
              <w:kinsoku/>
              <w:wordWrap/>
              <w:overflowPunct/>
              <w:topLinePunct w:val="0"/>
              <w:autoSpaceDE/>
              <w:autoSpaceDN/>
              <w:bidi w:val="0"/>
              <w:adjustRightInd/>
              <w:snapToGrid/>
              <w:spacing w:after="0" w:line="360" w:lineRule="auto"/>
              <w:ind w:firstLine="422"/>
              <w:jc w:val="both"/>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评审内容</w:t>
            </w:r>
          </w:p>
        </w:tc>
        <w:tc>
          <w:tcPr>
            <w:tcW w:w="1432" w:type="dxa"/>
            <w:noWrap w:val="0"/>
            <w:vAlign w:val="center"/>
          </w:tcPr>
          <w:p>
            <w:pPr>
              <w:keepNext w:val="0"/>
              <w:keepLines w:val="0"/>
              <w:pageBreakBefore w:val="0"/>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color w:val="auto"/>
                <w:sz w:val="21"/>
                <w:szCs w:val="21"/>
              </w:rPr>
            </w:pPr>
            <w:r>
              <w:rPr>
                <w:rFonts w:hint="eastAsia" w:ascii="宋体" w:hAnsi="宋体" w:cs="宋体"/>
                <w:b/>
                <w:color w:val="auto"/>
                <w:sz w:val="21"/>
                <w:szCs w:val="21"/>
                <w:lang w:val="en-US" w:eastAsia="zh-CN"/>
              </w:rPr>
              <w:t>最高</w:t>
            </w:r>
            <w:r>
              <w:rPr>
                <w:rFonts w:hint="eastAsia" w:ascii="宋体" w:hAnsi="宋体" w:eastAsia="宋体" w:cs="宋体"/>
                <w:b/>
                <w:color w:val="auto"/>
                <w:sz w:val="21"/>
                <w:szCs w:val="21"/>
              </w:rPr>
              <w:t>分值</w:t>
            </w:r>
          </w:p>
        </w:tc>
        <w:tc>
          <w:tcPr>
            <w:tcW w:w="5737" w:type="dxa"/>
            <w:noWrap w:val="0"/>
            <w:vAlign w:val="center"/>
          </w:tcPr>
          <w:p>
            <w:pPr>
              <w:keepNext w:val="0"/>
              <w:keepLines w:val="0"/>
              <w:pageBreakBefore w:val="0"/>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评分档次及依据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1" w:hRule="atLeast"/>
          <w:jc w:val="center"/>
        </w:trPr>
        <w:tc>
          <w:tcPr>
            <w:tcW w:w="745" w:type="dxa"/>
            <w:noWrap w:val="0"/>
            <w:vAlign w:val="center"/>
          </w:tcPr>
          <w:p>
            <w:pPr>
              <w:keepNext w:val="0"/>
              <w:keepLines w:val="0"/>
              <w:pageBreakBefore w:val="0"/>
              <w:kinsoku/>
              <w:wordWrap/>
              <w:overflowPunct/>
              <w:topLinePunct w:val="0"/>
              <w:autoSpaceDE/>
              <w:autoSpaceDN/>
              <w:bidi w:val="0"/>
              <w:adjustRightInd/>
              <w:snapToGrid/>
              <w:spacing w:after="0" w:line="360" w:lineRule="auto"/>
              <w:ind w:firstLine="211" w:firstLineChars="100"/>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val="en-US" w:eastAsia="zh-CN"/>
              </w:rPr>
              <w:t>1</w:t>
            </w:r>
          </w:p>
        </w:tc>
        <w:tc>
          <w:tcPr>
            <w:tcW w:w="2048" w:type="dxa"/>
            <w:noWrap w:val="0"/>
            <w:vAlign w:val="center"/>
          </w:tcPr>
          <w:p>
            <w:pPr>
              <w:keepNext w:val="0"/>
              <w:keepLines w:val="0"/>
              <w:pageBreakBefore w:val="0"/>
              <w:tabs>
                <w:tab w:val="left" w:pos="840"/>
              </w:tabs>
              <w:kinsoku/>
              <w:wordWrap/>
              <w:overflowPunct/>
              <w:topLinePunct w:val="0"/>
              <w:autoSpaceDE/>
              <w:autoSpaceDN/>
              <w:bidi w:val="0"/>
              <w:adjustRightInd/>
              <w:snapToGrid/>
              <w:spacing w:after="0" w:line="360" w:lineRule="auto"/>
              <w:jc w:val="center"/>
              <w:textAlignment w:val="auto"/>
              <w:rPr>
                <w:rStyle w:val="38"/>
                <w:rFonts w:hint="eastAsia" w:ascii="宋体" w:hAnsi="宋体" w:eastAsia="宋体" w:cs="宋体"/>
                <w:sz w:val="21"/>
                <w:szCs w:val="21"/>
              </w:rPr>
            </w:pPr>
            <w:r>
              <w:rPr>
                <w:rFonts w:hint="eastAsia" w:ascii="宋体" w:hAnsi="宋体" w:eastAsia="宋体" w:cs="宋体"/>
                <w:sz w:val="21"/>
                <w:szCs w:val="21"/>
              </w:rPr>
              <w:t>同类项目经验</w:t>
            </w:r>
          </w:p>
        </w:tc>
        <w:tc>
          <w:tcPr>
            <w:tcW w:w="1432" w:type="dxa"/>
            <w:noWrap w:val="0"/>
            <w:vAlign w:val="center"/>
          </w:tcPr>
          <w:p>
            <w:pPr>
              <w:keepNext w:val="0"/>
              <w:keepLines w:val="0"/>
              <w:pageBreakBefore w:val="0"/>
              <w:tabs>
                <w:tab w:val="left" w:pos="840"/>
              </w:tabs>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w:t>
            </w:r>
          </w:p>
        </w:tc>
        <w:tc>
          <w:tcPr>
            <w:tcW w:w="5737" w:type="dxa"/>
            <w:noWrap w:val="0"/>
            <w:vAlign w:val="center"/>
          </w:tcPr>
          <w:p>
            <w:pPr>
              <w:rPr>
                <w:rFonts w:hint="eastAsia" w:ascii="宋体" w:hAnsi="宋体" w:eastAsia="宋体" w:cs="宋体"/>
                <w:sz w:val="21"/>
                <w:szCs w:val="21"/>
              </w:rPr>
            </w:pPr>
            <w:r>
              <w:rPr>
                <w:rFonts w:hint="eastAsia" w:ascii="宋体" w:hAnsi="宋体" w:eastAsia="宋体" w:cs="宋体"/>
                <w:sz w:val="21"/>
                <w:szCs w:val="21"/>
              </w:rPr>
              <w:t>根据2019年至今承保番禺区内慈善类项目业绩数量进行评审，每提供1份得2分，最高得4分。</w:t>
            </w:r>
          </w:p>
          <w:p>
            <w:pPr>
              <w:keepNext w:val="0"/>
              <w:keepLines w:val="0"/>
              <w:pageBreakBefore w:val="0"/>
              <w:widowControl/>
              <w:suppressLineNumbers w:val="0"/>
              <w:kinsoku/>
              <w:wordWrap/>
              <w:overflowPunct/>
              <w:topLinePunct w:val="0"/>
              <w:autoSpaceDE/>
              <w:autoSpaceDN/>
              <w:bidi w:val="0"/>
              <w:adjustRightInd/>
              <w:spacing w:after="0"/>
              <w:jc w:val="left"/>
              <w:textAlignment w:val="auto"/>
              <w:rPr>
                <w:rFonts w:hint="eastAsia" w:ascii="宋体" w:hAnsi="宋体" w:eastAsia="宋体" w:cs="宋体"/>
                <w:color w:val="auto"/>
                <w:sz w:val="21"/>
                <w:szCs w:val="21"/>
              </w:rPr>
            </w:pPr>
            <w:r>
              <w:rPr>
                <w:rFonts w:hint="eastAsia" w:ascii="宋体" w:hAnsi="宋体" w:eastAsia="宋体" w:cs="宋体"/>
                <w:sz w:val="21"/>
                <w:szCs w:val="21"/>
              </w:rPr>
              <w:t>注：须提供合同复印件或中标通知书作为证明资料。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2" w:hRule="atLeast"/>
          <w:jc w:val="center"/>
        </w:trPr>
        <w:tc>
          <w:tcPr>
            <w:tcW w:w="745" w:type="dxa"/>
            <w:noWrap w:val="0"/>
            <w:vAlign w:val="center"/>
          </w:tcPr>
          <w:p>
            <w:pPr>
              <w:keepNext w:val="0"/>
              <w:keepLines w:val="0"/>
              <w:pageBreakBefore w:val="0"/>
              <w:kinsoku/>
              <w:wordWrap/>
              <w:overflowPunct/>
              <w:topLinePunct w:val="0"/>
              <w:autoSpaceDE/>
              <w:autoSpaceDN/>
              <w:bidi w:val="0"/>
              <w:adjustRightInd/>
              <w:snapToGrid/>
              <w:spacing w:after="0" w:line="360" w:lineRule="auto"/>
              <w:ind w:firstLine="211" w:firstLineChars="100"/>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val="en-US" w:eastAsia="zh-CN"/>
              </w:rPr>
              <w:t>2</w:t>
            </w:r>
          </w:p>
        </w:tc>
        <w:tc>
          <w:tcPr>
            <w:tcW w:w="2048" w:type="dxa"/>
            <w:noWrap w:val="0"/>
            <w:vAlign w:val="center"/>
          </w:tcPr>
          <w:p>
            <w:pPr>
              <w:keepNext w:val="0"/>
              <w:keepLines w:val="0"/>
              <w:pageBreakBefore w:val="0"/>
              <w:tabs>
                <w:tab w:val="left" w:pos="840"/>
              </w:tabs>
              <w:kinsoku/>
              <w:wordWrap/>
              <w:overflowPunct/>
              <w:topLinePunct w:val="0"/>
              <w:autoSpaceDE/>
              <w:autoSpaceDN/>
              <w:bidi w:val="0"/>
              <w:adjustRightInd/>
              <w:snapToGrid/>
              <w:spacing w:after="0" w:line="360" w:lineRule="auto"/>
              <w:jc w:val="center"/>
              <w:textAlignment w:val="auto"/>
              <w:rPr>
                <w:rStyle w:val="38"/>
                <w:rFonts w:hint="eastAsia" w:ascii="宋体" w:hAnsi="宋体" w:eastAsia="宋体" w:cs="宋体"/>
                <w:sz w:val="21"/>
                <w:szCs w:val="21"/>
              </w:rPr>
            </w:pPr>
            <w:r>
              <w:rPr>
                <w:rFonts w:hint="eastAsia" w:ascii="宋体" w:hAnsi="宋体" w:eastAsia="宋体" w:cs="宋体"/>
                <w:sz w:val="21"/>
                <w:szCs w:val="21"/>
              </w:rPr>
              <w:t>2019年度保险公司法人机构经营评价（以中国保险行业协会网站公告的数据为准，提供网站截屏，加盖投标人公章）</w:t>
            </w:r>
          </w:p>
        </w:tc>
        <w:tc>
          <w:tcPr>
            <w:tcW w:w="1432" w:type="dxa"/>
            <w:noWrap w:val="0"/>
            <w:vAlign w:val="center"/>
          </w:tcPr>
          <w:p>
            <w:pPr>
              <w:keepNext w:val="0"/>
              <w:keepLines w:val="0"/>
              <w:pageBreakBefore w:val="0"/>
              <w:tabs>
                <w:tab w:val="left" w:pos="840"/>
              </w:tabs>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w:t>
            </w:r>
          </w:p>
        </w:tc>
        <w:tc>
          <w:tcPr>
            <w:tcW w:w="5737" w:type="dxa"/>
            <w:noWrap w:val="0"/>
            <w:vAlign w:val="center"/>
          </w:tcPr>
          <w:p>
            <w:pPr>
              <w:tabs>
                <w:tab w:val="left" w:pos="312"/>
              </w:tabs>
              <w:spacing w:line="276" w:lineRule="auto"/>
              <w:rPr>
                <w:rFonts w:hint="eastAsia" w:ascii="宋体" w:hAnsi="宋体" w:eastAsia="宋体" w:cs="宋体"/>
                <w:color w:val="auto"/>
                <w:sz w:val="21"/>
                <w:szCs w:val="21"/>
              </w:rPr>
            </w:pPr>
            <w:r>
              <w:rPr>
                <w:rFonts w:hint="eastAsia" w:ascii="宋体" w:hAnsi="宋体" w:eastAsia="宋体" w:cs="宋体"/>
                <w:sz w:val="21"/>
                <w:szCs w:val="21"/>
              </w:rPr>
              <w:t>对比投标人所属总公司或集团2019年度保险公司法人机构经营评价结果进行评分：评为A级的，得6分；评为B级的，得4分；评为C级的，得2分；其余不得分。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745" w:type="dxa"/>
            <w:noWrap w:val="0"/>
            <w:vAlign w:val="center"/>
          </w:tcPr>
          <w:p>
            <w:pPr>
              <w:keepNext w:val="0"/>
              <w:keepLines w:val="0"/>
              <w:pageBreakBefore w:val="0"/>
              <w:kinsoku/>
              <w:wordWrap/>
              <w:overflowPunct/>
              <w:topLinePunct w:val="0"/>
              <w:autoSpaceDE/>
              <w:autoSpaceDN/>
              <w:bidi w:val="0"/>
              <w:adjustRightInd/>
              <w:snapToGrid/>
              <w:spacing w:after="0" w:line="360" w:lineRule="auto"/>
              <w:ind w:firstLine="211" w:firstLineChars="100"/>
              <w:textAlignment w:val="auto"/>
              <w:rPr>
                <w:rFonts w:hint="eastAsia" w:ascii="宋体" w:hAnsi="宋体" w:eastAsia="宋体" w:cs="宋体"/>
                <w:b/>
                <w:bCs/>
                <w:color w:val="auto"/>
                <w:sz w:val="21"/>
                <w:szCs w:val="21"/>
                <w:lang w:val="en-US" w:eastAsia="zh-CN" w:bidi="ar-SA"/>
              </w:rPr>
            </w:pPr>
            <w:r>
              <w:rPr>
                <w:rFonts w:hint="eastAsia" w:ascii="宋体" w:hAnsi="宋体" w:eastAsia="宋体" w:cs="宋体"/>
                <w:b/>
                <w:bCs/>
                <w:color w:val="auto"/>
                <w:sz w:val="21"/>
                <w:szCs w:val="21"/>
                <w:lang w:val="en-US" w:eastAsia="zh-CN"/>
              </w:rPr>
              <w:t>3</w:t>
            </w:r>
          </w:p>
        </w:tc>
        <w:tc>
          <w:tcPr>
            <w:tcW w:w="2048" w:type="dxa"/>
            <w:noWrap w:val="0"/>
            <w:vAlign w:val="center"/>
          </w:tcPr>
          <w:p>
            <w:pPr>
              <w:keepNext w:val="0"/>
              <w:keepLines w:val="0"/>
              <w:pageBreakBefore w:val="0"/>
              <w:tabs>
                <w:tab w:val="left" w:pos="840"/>
              </w:tabs>
              <w:kinsoku/>
              <w:wordWrap/>
              <w:overflowPunct/>
              <w:topLinePunct w:val="0"/>
              <w:autoSpaceDE/>
              <w:autoSpaceDN/>
              <w:bidi w:val="0"/>
              <w:adjustRightInd/>
              <w:snapToGrid/>
              <w:spacing w:after="0" w:line="360" w:lineRule="auto"/>
              <w:jc w:val="center"/>
              <w:textAlignment w:val="auto"/>
              <w:rPr>
                <w:rStyle w:val="38"/>
                <w:rFonts w:hint="eastAsia" w:ascii="宋体" w:hAnsi="宋体" w:eastAsia="宋体" w:cs="宋体"/>
                <w:sz w:val="21"/>
                <w:szCs w:val="21"/>
                <w:lang w:val="en-US" w:eastAsia="en-US"/>
              </w:rPr>
            </w:pPr>
            <w:r>
              <w:rPr>
                <w:rFonts w:hint="eastAsia" w:ascii="宋体" w:hAnsi="宋体" w:eastAsia="宋体" w:cs="宋体"/>
                <w:sz w:val="21"/>
                <w:szCs w:val="21"/>
              </w:rPr>
              <w:t>综合偿付能力</w:t>
            </w:r>
          </w:p>
        </w:tc>
        <w:tc>
          <w:tcPr>
            <w:tcW w:w="1432" w:type="dxa"/>
            <w:noWrap w:val="0"/>
            <w:vAlign w:val="center"/>
          </w:tcPr>
          <w:p>
            <w:pPr>
              <w:keepNext w:val="0"/>
              <w:keepLines w:val="0"/>
              <w:pageBreakBefore w:val="0"/>
              <w:tabs>
                <w:tab w:val="left" w:pos="840"/>
              </w:tabs>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color w:val="auto"/>
                <w:sz w:val="21"/>
                <w:szCs w:val="21"/>
                <w:lang w:val="en-US" w:eastAsia="zh-CN" w:bidi="ar-SA"/>
              </w:rPr>
            </w:pPr>
            <w:r>
              <w:rPr>
                <w:rFonts w:hint="eastAsia" w:ascii="宋体" w:hAnsi="宋体" w:eastAsia="宋体" w:cs="宋体"/>
                <w:color w:val="auto"/>
                <w:sz w:val="21"/>
                <w:szCs w:val="21"/>
                <w:lang w:val="en-US" w:eastAsia="zh-CN" w:bidi="ar-SA"/>
              </w:rPr>
              <w:t>10</w:t>
            </w:r>
          </w:p>
        </w:tc>
        <w:tc>
          <w:tcPr>
            <w:tcW w:w="5737" w:type="dxa"/>
            <w:noWrap w:val="0"/>
            <w:vAlign w:val="center"/>
          </w:tcPr>
          <w:p>
            <w:pPr>
              <w:rPr>
                <w:rFonts w:hint="eastAsia" w:ascii="宋体" w:hAnsi="宋体" w:eastAsia="宋体" w:cs="宋体"/>
                <w:sz w:val="21"/>
                <w:szCs w:val="21"/>
              </w:rPr>
            </w:pPr>
            <w:r>
              <w:rPr>
                <w:rFonts w:hint="eastAsia" w:ascii="宋体" w:hAnsi="宋体" w:eastAsia="宋体" w:cs="宋体"/>
                <w:sz w:val="21"/>
                <w:szCs w:val="21"/>
              </w:rPr>
              <w:t>根据各参选人总公司的综合偿付能力进行横向对比：</w:t>
            </w:r>
          </w:p>
          <w:p>
            <w:pPr>
              <w:rPr>
                <w:rFonts w:hint="eastAsia" w:ascii="宋体" w:hAnsi="宋体" w:eastAsia="宋体" w:cs="宋体"/>
                <w:color w:val="FF0000"/>
                <w:sz w:val="21"/>
                <w:szCs w:val="21"/>
              </w:rPr>
            </w:pPr>
            <w:r>
              <w:rPr>
                <w:rFonts w:hint="eastAsia" w:ascii="宋体" w:hAnsi="宋体" w:eastAsia="宋体" w:cs="宋体"/>
                <w:color w:val="FF0000"/>
                <w:sz w:val="21"/>
                <w:szCs w:val="21"/>
              </w:rPr>
              <w:t>1、排名第一的得10分；</w:t>
            </w:r>
          </w:p>
          <w:p>
            <w:pPr>
              <w:rPr>
                <w:rFonts w:hint="eastAsia" w:ascii="宋体" w:hAnsi="宋体" w:eastAsia="宋体" w:cs="宋体"/>
                <w:color w:val="FF0000"/>
                <w:sz w:val="21"/>
                <w:szCs w:val="21"/>
              </w:rPr>
            </w:pPr>
            <w:r>
              <w:rPr>
                <w:rFonts w:hint="eastAsia" w:ascii="宋体" w:hAnsi="宋体" w:eastAsia="宋体" w:cs="宋体"/>
                <w:color w:val="FF0000"/>
                <w:sz w:val="21"/>
                <w:szCs w:val="21"/>
              </w:rPr>
              <w:t>2、排名第二的得</w:t>
            </w:r>
            <w:r>
              <w:rPr>
                <w:rFonts w:hint="eastAsia" w:ascii="宋体" w:hAnsi="宋体" w:cs="宋体"/>
                <w:color w:val="FF0000"/>
                <w:sz w:val="21"/>
                <w:szCs w:val="21"/>
                <w:lang w:val="en-US" w:eastAsia="zh-CN"/>
              </w:rPr>
              <w:t>9</w:t>
            </w:r>
            <w:r>
              <w:rPr>
                <w:rFonts w:hint="eastAsia" w:ascii="宋体" w:hAnsi="宋体" w:eastAsia="宋体" w:cs="宋体"/>
                <w:color w:val="FF0000"/>
                <w:sz w:val="21"/>
                <w:szCs w:val="21"/>
              </w:rPr>
              <w:t>分；</w:t>
            </w:r>
          </w:p>
          <w:p>
            <w:pPr>
              <w:rPr>
                <w:rFonts w:hint="eastAsia" w:ascii="宋体" w:hAnsi="宋体" w:eastAsia="宋体" w:cs="宋体"/>
                <w:color w:val="FF0000"/>
                <w:sz w:val="21"/>
                <w:szCs w:val="21"/>
              </w:rPr>
            </w:pPr>
            <w:r>
              <w:rPr>
                <w:rFonts w:hint="eastAsia" w:ascii="宋体" w:hAnsi="宋体" w:eastAsia="宋体" w:cs="宋体"/>
                <w:color w:val="FF0000"/>
                <w:sz w:val="21"/>
                <w:szCs w:val="21"/>
              </w:rPr>
              <w:t>3、排名第三的得</w:t>
            </w:r>
            <w:r>
              <w:rPr>
                <w:rFonts w:hint="eastAsia" w:ascii="宋体" w:hAnsi="宋体" w:cs="宋体"/>
                <w:color w:val="FF0000"/>
                <w:sz w:val="21"/>
                <w:szCs w:val="21"/>
                <w:lang w:val="en-US" w:eastAsia="zh-CN"/>
              </w:rPr>
              <w:t>8</w:t>
            </w:r>
            <w:r>
              <w:rPr>
                <w:rFonts w:hint="eastAsia" w:ascii="宋体" w:hAnsi="宋体" w:eastAsia="宋体" w:cs="宋体"/>
                <w:color w:val="FF0000"/>
                <w:sz w:val="21"/>
                <w:szCs w:val="21"/>
              </w:rPr>
              <w:t>分。</w:t>
            </w:r>
          </w:p>
          <w:p>
            <w:pPr>
              <w:rPr>
                <w:rFonts w:hint="eastAsia" w:ascii="宋体" w:hAnsi="宋体" w:eastAsia="宋体" w:cs="宋体"/>
                <w:color w:val="FF0000"/>
                <w:sz w:val="21"/>
                <w:szCs w:val="21"/>
              </w:rPr>
            </w:pPr>
            <w:r>
              <w:rPr>
                <w:rFonts w:hint="eastAsia" w:ascii="宋体" w:hAnsi="宋体" w:eastAsia="宋体" w:cs="宋体"/>
                <w:color w:val="FF0000"/>
                <w:sz w:val="21"/>
                <w:szCs w:val="21"/>
              </w:rPr>
              <w:t>4、排名第四的，得</w:t>
            </w:r>
            <w:r>
              <w:rPr>
                <w:rFonts w:hint="eastAsia" w:ascii="宋体" w:hAnsi="宋体" w:cs="宋体"/>
                <w:color w:val="FF0000"/>
                <w:sz w:val="21"/>
                <w:szCs w:val="21"/>
                <w:lang w:val="en-US" w:eastAsia="zh-CN"/>
              </w:rPr>
              <w:t>7</w:t>
            </w:r>
            <w:r>
              <w:rPr>
                <w:rFonts w:hint="eastAsia" w:ascii="宋体" w:hAnsi="宋体" w:eastAsia="宋体" w:cs="宋体"/>
                <w:color w:val="FF0000"/>
                <w:sz w:val="21"/>
                <w:szCs w:val="21"/>
              </w:rPr>
              <w:t>分；</w:t>
            </w:r>
          </w:p>
          <w:p>
            <w:pPr>
              <w:rPr>
                <w:rFonts w:hint="eastAsia" w:ascii="宋体" w:hAnsi="宋体" w:eastAsia="宋体" w:cs="宋体"/>
                <w:color w:val="FF0000"/>
                <w:sz w:val="21"/>
                <w:szCs w:val="21"/>
              </w:rPr>
            </w:pPr>
            <w:r>
              <w:rPr>
                <w:rFonts w:hint="eastAsia" w:ascii="宋体" w:hAnsi="宋体" w:eastAsia="宋体" w:cs="宋体"/>
                <w:color w:val="FF0000"/>
                <w:sz w:val="21"/>
                <w:szCs w:val="21"/>
              </w:rPr>
              <w:t>5、排名第五的，得</w:t>
            </w:r>
            <w:r>
              <w:rPr>
                <w:rFonts w:hint="eastAsia" w:ascii="宋体" w:hAnsi="宋体" w:cs="宋体"/>
                <w:color w:val="FF0000"/>
                <w:sz w:val="21"/>
                <w:szCs w:val="21"/>
                <w:lang w:val="en-US" w:eastAsia="zh-CN"/>
              </w:rPr>
              <w:t>6</w:t>
            </w:r>
            <w:r>
              <w:rPr>
                <w:rFonts w:hint="eastAsia" w:ascii="宋体" w:hAnsi="宋体" w:eastAsia="宋体" w:cs="宋体"/>
                <w:color w:val="FF0000"/>
                <w:sz w:val="21"/>
                <w:szCs w:val="21"/>
              </w:rPr>
              <w:t>分;</w:t>
            </w:r>
          </w:p>
          <w:p>
            <w:pPr>
              <w:rPr>
                <w:rFonts w:hint="eastAsia" w:ascii="宋体" w:hAnsi="宋体" w:eastAsia="宋体" w:cs="宋体"/>
                <w:color w:val="FF0000"/>
                <w:sz w:val="21"/>
                <w:szCs w:val="21"/>
              </w:rPr>
            </w:pPr>
            <w:r>
              <w:rPr>
                <w:rFonts w:hint="eastAsia" w:ascii="宋体" w:hAnsi="宋体" w:eastAsia="宋体" w:cs="宋体"/>
                <w:color w:val="FF0000"/>
                <w:sz w:val="21"/>
                <w:szCs w:val="21"/>
              </w:rPr>
              <w:t>6、排名第六及以下的，不得分</w:t>
            </w:r>
          </w:p>
          <w:p>
            <w:pPr>
              <w:spacing w:line="360" w:lineRule="auto"/>
              <w:jc w:val="left"/>
              <w:textAlignment w:val="baseline"/>
              <w:rPr>
                <w:rFonts w:hint="eastAsia" w:ascii="宋体" w:hAnsi="宋体" w:eastAsia="宋体" w:cs="宋体"/>
                <w:color w:val="auto"/>
                <w:sz w:val="21"/>
                <w:szCs w:val="21"/>
                <w:lang w:val="en-US" w:eastAsia="zh-CN" w:bidi="ar-SA"/>
              </w:rPr>
            </w:pPr>
            <w:r>
              <w:rPr>
                <w:rFonts w:hint="eastAsia" w:ascii="宋体" w:hAnsi="宋体" w:eastAsia="宋体" w:cs="宋体"/>
                <w:sz w:val="21"/>
                <w:szCs w:val="21"/>
              </w:rPr>
              <w:t>注：须提供最新年度的偿付能力状况及审计报告作为证明材料。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jc w:val="center"/>
        </w:trPr>
        <w:tc>
          <w:tcPr>
            <w:tcW w:w="745" w:type="dxa"/>
            <w:noWrap w:val="0"/>
            <w:vAlign w:val="center"/>
          </w:tcPr>
          <w:p>
            <w:pPr>
              <w:keepNext w:val="0"/>
              <w:keepLines w:val="0"/>
              <w:pageBreakBefore w:val="0"/>
              <w:kinsoku/>
              <w:wordWrap/>
              <w:overflowPunct/>
              <w:topLinePunct w:val="0"/>
              <w:autoSpaceDE/>
              <w:autoSpaceDN/>
              <w:bidi w:val="0"/>
              <w:adjustRightInd/>
              <w:snapToGrid/>
              <w:spacing w:after="0" w:line="360" w:lineRule="auto"/>
              <w:ind w:firstLine="211" w:firstLineChars="100"/>
              <w:textAlignment w:val="auto"/>
              <w:rPr>
                <w:rFonts w:hint="default" w:ascii="宋体" w:hAnsi="宋体" w:eastAsia="宋体" w:cs="宋体"/>
                <w:b/>
                <w:bCs/>
                <w:color w:val="auto"/>
                <w:sz w:val="21"/>
                <w:szCs w:val="21"/>
                <w:lang w:val="en-US" w:eastAsia="zh-CN"/>
              </w:rPr>
            </w:pPr>
            <w:r>
              <w:rPr>
                <w:rFonts w:hint="eastAsia" w:ascii="宋体" w:hAnsi="宋体" w:cs="宋体"/>
                <w:b/>
                <w:bCs/>
                <w:color w:val="auto"/>
                <w:sz w:val="21"/>
                <w:szCs w:val="21"/>
                <w:lang w:val="en-US" w:eastAsia="zh-CN"/>
              </w:rPr>
              <w:t>4</w:t>
            </w:r>
          </w:p>
        </w:tc>
        <w:tc>
          <w:tcPr>
            <w:tcW w:w="2048" w:type="dxa"/>
            <w:noWrap w:val="0"/>
            <w:vAlign w:val="center"/>
          </w:tcPr>
          <w:p>
            <w:pPr>
              <w:keepNext w:val="0"/>
              <w:keepLines w:val="0"/>
              <w:pageBreakBefore w:val="0"/>
              <w:tabs>
                <w:tab w:val="left" w:pos="840"/>
              </w:tabs>
              <w:kinsoku/>
              <w:wordWrap/>
              <w:overflowPunct/>
              <w:topLinePunct w:val="0"/>
              <w:autoSpaceDE/>
              <w:autoSpaceDN/>
              <w:bidi w:val="0"/>
              <w:adjustRightInd/>
              <w:snapToGrid/>
              <w:spacing w:after="0" w:line="360" w:lineRule="auto"/>
              <w:jc w:val="center"/>
              <w:textAlignment w:val="auto"/>
              <w:rPr>
                <w:rStyle w:val="38"/>
                <w:rFonts w:hint="eastAsia" w:ascii="宋体" w:hAnsi="宋体" w:eastAsia="宋体" w:cs="宋体"/>
                <w:color w:val="FF0000"/>
                <w:sz w:val="21"/>
                <w:szCs w:val="21"/>
              </w:rPr>
            </w:pPr>
            <w:r>
              <w:rPr>
                <w:rFonts w:hint="eastAsia" w:ascii="宋体" w:hAnsi="宋体" w:eastAsia="宋体" w:cs="宋体"/>
                <w:sz w:val="21"/>
                <w:szCs w:val="21"/>
              </w:rPr>
              <w:t>服务网点分布情况</w:t>
            </w:r>
          </w:p>
        </w:tc>
        <w:tc>
          <w:tcPr>
            <w:tcW w:w="1432" w:type="dxa"/>
            <w:noWrap w:val="0"/>
            <w:vAlign w:val="center"/>
          </w:tcPr>
          <w:p>
            <w:pPr>
              <w:keepNext w:val="0"/>
              <w:keepLines w:val="0"/>
              <w:pageBreakBefore w:val="0"/>
              <w:tabs>
                <w:tab w:val="left" w:pos="840"/>
              </w:tabs>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color w:val="auto"/>
                <w:sz w:val="21"/>
                <w:szCs w:val="21"/>
                <w:lang w:val="en-US" w:eastAsia="zh-CN" w:bidi="ar-SA"/>
              </w:rPr>
            </w:pPr>
            <w:r>
              <w:rPr>
                <w:rFonts w:hint="eastAsia" w:ascii="宋体" w:hAnsi="宋体" w:cs="宋体"/>
                <w:color w:val="auto"/>
                <w:sz w:val="21"/>
                <w:szCs w:val="21"/>
                <w:lang w:val="en-US" w:eastAsia="zh-CN" w:bidi="ar-SA"/>
              </w:rPr>
              <w:t>5</w:t>
            </w:r>
          </w:p>
        </w:tc>
        <w:tc>
          <w:tcPr>
            <w:tcW w:w="5737" w:type="dxa"/>
            <w:noWrap w:val="0"/>
            <w:vAlign w:val="center"/>
          </w:tcPr>
          <w:p>
            <w:pPr>
              <w:rPr>
                <w:rFonts w:hint="eastAsia" w:ascii="宋体" w:hAnsi="宋体" w:eastAsia="宋体" w:cs="宋体"/>
                <w:sz w:val="21"/>
                <w:szCs w:val="21"/>
              </w:rPr>
            </w:pPr>
            <w:r>
              <w:rPr>
                <w:rFonts w:hint="eastAsia" w:ascii="宋体" w:hAnsi="宋体" w:eastAsia="宋体" w:cs="宋体"/>
                <w:sz w:val="21"/>
                <w:szCs w:val="21"/>
              </w:rPr>
              <w:t>根据各参选人在番禺区设置的售后服务网点数量及分布情况进行横向对比：</w:t>
            </w:r>
          </w:p>
          <w:p>
            <w:pPr>
              <w:pStyle w:val="35"/>
              <w:numPr>
                <w:ilvl w:val="0"/>
                <w:numId w:val="10"/>
              </w:numPr>
              <w:ind w:firstLineChars="0"/>
              <w:rPr>
                <w:rFonts w:hint="eastAsia" w:ascii="宋体" w:hAnsi="宋体" w:eastAsia="宋体" w:cs="宋体"/>
                <w:color w:val="FF0000"/>
                <w:sz w:val="21"/>
                <w:szCs w:val="21"/>
              </w:rPr>
            </w:pPr>
            <w:r>
              <w:rPr>
                <w:rFonts w:hint="eastAsia" w:ascii="宋体" w:hAnsi="宋体" w:eastAsia="宋体" w:cs="宋体"/>
                <w:color w:val="FF0000"/>
                <w:sz w:val="21"/>
                <w:szCs w:val="21"/>
              </w:rPr>
              <w:t>数量排名第一的，得</w:t>
            </w:r>
            <w:r>
              <w:rPr>
                <w:rFonts w:hint="eastAsia" w:ascii="宋体" w:hAnsi="宋体" w:cs="宋体"/>
                <w:color w:val="FF0000"/>
                <w:sz w:val="21"/>
                <w:szCs w:val="21"/>
                <w:lang w:val="en-US" w:eastAsia="zh-CN"/>
              </w:rPr>
              <w:t>5</w:t>
            </w:r>
            <w:r>
              <w:rPr>
                <w:rFonts w:hint="eastAsia" w:ascii="宋体" w:hAnsi="宋体" w:eastAsia="宋体" w:cs="宋体"/>
                <w:color w:val="FF0000"/>
                <w:sz w:val="21"/>
                <w:szCs w:val="21"/>
              </w:rPr>
              <w:t>分；</w:t>
            </w:r>
          </w:p>
          <w:p>
            <w:pPr>
              <w:pStyle w:val="35"/>
              <w:numPr>
                <w:ilvl w:val="0"/>
                <w:numId w:val="10"/>
              </w:numPr>
              <w:ind w:firstLineChars="0"/>
              <w:rPr>
                <w:rFonts w:hint="eastAsia" w:ascii="宋体" w:hAnsi="宋体" w:eastAsia="宋体" w:cs="宋体"/>
                <w:color w:val="FF0000"/>
                <w:sz w:val="21"/>
                <w:szCs w:val="21"/>
              </w:rPr>
            </w:pPr>
            <w:r>
              <w:rPr>
                <w:rFonts w:hint="eastAsia" w:ascii="宋体" w:hAnsi="宋体" w:eastAsia="宋体" w:cs="宋体"/>
                <w:color w:val="FF0000"/>
                <w:sz w:val="21"/>
                <w:szCs w:val="21"/>
              </w:rPr>
              <w:t>数量排名第二的，得</w:t>
            </w:r>
            <w:r>
              <w:rPr>
                <w:rFonts w:hint="eastAsia" w:ascii="宋体" w:hAnsi="宋体" w:cs="宋体"/>
                <w:color w:val="FF0000"/>
                <w:sz w:val="21"/>
                <w:szCs w:val="21"/>
                <w:lang w:val="en-US" w:eastAsia="zh-CN"/>
              </w:rPr>
              <w:t>4</w:t>
            </w:r>
            <w:r>
              <w:rPr>
                <w:rFonts w:hint="eastAsia" w:ascii="宋体" w:hAnsi="宋体" w:eastAsia="宋体" w:cs="宋体"/>
                <w:color w:val="FF0000"/>
                <w:sz w:val="21"/>
                <w:szCs w:val="21"/>
              </w:rPr>
              <w:t>分；</w:t>
            </w:r>
          </w:p>
          <w:p>
            <w:pPr>
              <w:pStyle w:val="35"/>
              <w:numPr>
                <w:ilvl w:val="0"/>
                <w:numId w:val="10"/>
              </w:numPr>
              <w:ind w:firstLineChars="0"/>
              <w:rPr>
                <w:rFonts w:hint="eastAsia" w:ascii="宋体" w:hAnsi="宋体" w:eastAsia="宋体" w:cs="宋体"/>
                <w:color w:val="FF0000"/>
                <w:sz w:val="21"/>
                <w:szCs w:val="21"/>
              </w:rPr>
            </w:pPr>
            <w:r>
              <w:rPr>
                <w:rFonts w:hint="eastAsia" w:ascii="宋体" w:hAnsi="宋体" w:eastAsia="宋体" w:cs="宋体"/>
                <w:color w:val="FF0000"/>
                <w:sz w:val="21"/>
                <w:szCs w:val="21"/>
              </w:rPr>
              <w:t>数量排名第三的，得</w:t>
            </w:r>
            <w:r>
              <w:rPr>
                <w:rFonts w:hint="eastAsia" w:ascii="宋体" w:hAnsi="宋体" w:cs="宋体"/>
                <w:color w:val="FF0000"/>
                <w:sz w:val="21"/>
                <w:szCs w:val="21"/>
                <w:lang w:val="en-US" w:eastAsia="zh-CN"/>
              </w:rPr>
              <w:t>3</w:t>
            </w:r>
            <w:r>
              <w:rPr>
                <w:rFonts w:hint="eastAsia" w:ascii="宋体" w:hAnsi="宋体" w:eastAsia="宋体" w:cs="宋体"/>
                <w:color w:val="FF0000"/>
                <w:sz w:val="21"/>
                <w:szCs w:val="21"/>
              </w:rPr>
              <w:t>分；</w:t>
            </w:r>
          </w:p>
          <w:p>
            <w:pPr>
              <w:pStyle w:val="35"/>
              <w:numPr>
                <w:ilvl w:val="0"/>
                <w:numId w:val="10"/>
              </w:numPr>
              <w:ind w:firstLineChars="0"/>
              <w:rPr>
                <w:rFonts w:hint="eastAsia" w:ascii="宋体" w:hAnsi="宋体" w:eastAsia="宋体" w:cs="宋体"/>
                <w:color w:val="FF0000"/>
                <w:sz w:val="21"/>
                <w:szCs w:val="21"/>
              </w:rPr>
            </w:pPr>
            <w:r>
              <w:rPr>
                <w:rFonts w:hint="eastAsia" w:ascii="宋体" w:hAnsi="宋体" w:eastAsia="宋体" w:cs="宋体"/>
                <w:color w:val="FF0000"/>
                <w:sz w:val="21"/>
                <w:szCs w:val="21"/>
              </w:rPr>
              <w:t>数量排名第四的，得</w:t>
            </w:r>
            <w:r>
              <w:rPr>
                <w:rFonts w:hint="eastAsia" w:ascii="宋体" w:hAnsi="宋体" w:cs="宋体"/>
                <w:color w:val="FF0000"/>
                <w:sz w:val="21"/>
                <w:szCs w:val="21"/>
                <w:lang w:val="en-US" w:eastAsia="zh-CN"/>
              </w:rPr>
              <w:t>2</w:t>
            </w:r>
            <w:r>
              <w:rPr>
                <w:rFonts w:hint="eastAsia" w:ascii="宋体" w:hAnsi="宋体" w:eastAsia="宋体" w:cs="宋体"/>
                <w:color w:val="FF0000"/>
                <w:sz w:val="21"/>
                <w:szCs w:val="21"/>
              </w:rPr>
              <w:t>分；</w:t>
            </w:r>
          </w:p>
          <w:p>
            <w:pPr>
              <w:rPr>
                <w:rFonts w:hint="eastAsia" w:ascii="宋体" w:hAnsi="宋体" w:eastAsia="宋体" w:cs="宋体"/>
                <w:color w:val="FF0000"/>
                <w:sz w:val="21"/>
                <w:szCs w:val="21"/>
              </w:rPr>
            </w:pPr>
            <w:r>
              <w:rPr>
                <w:rFonts w:hint="eastAsia" w:ascii="宋体" w:hAnsi="宋体" w:eastAsia="宋体" w:cs="宋体"/>
                <w:color w:val="FF0000"/>
                <w:sz w:val="21"/>
                <w:szCs w:val="21"/>
              </w:rPr>
              <w:t>5、排名第五的，得1分;</w:t>
            </w:r>
          </w:p>
          <w:p>
            <w:pPr>
              <w:rPr>
                <w:rFonts w:hint="eastAsia" w:ascii="宋体" w:hAnsi="宋体" w:eastAsia="宋体" w:cs="宋体"/>
                <w:color w:val="FF0000"/>
                <w:sz w:val="21"/>
                <w:szCs w:val="21"/>
              </w:rPr>
            </w:pPr>
            <w:r>
              <w:rPr>
                <w:rFonts w:hint="eastAsia" w:ascii="宋体" w:hAnsi="宋体" w:eastAsia="宋体" w:cs="宋体"/>
                <w:color w:val="FF0000"/>
                <w:sz w:val="21"/>
                <w:szCs w:val="21"/>
              </w:rPr>
              <w:t>6、排名第六及以下的，不得分</w:t>
            </w:r>
          </w:p>
          <w:p>
            <w:pPr>
              <w:spacing w:line="360" w:lineRule="auto"/>
              <w:jc w:val="left"/>
              <w:textAlignment w:val="baseline"/>
              <w:rPr>
                <w:rStyle w:val="38"/>
                <w:rFonts w:hint="eastAsia" w:ascii="宋体" w:hAnsi="宋体" w:eastAsia="宋体" w:cs="宋体"/>
                <w:color w:val="FF0000"/>
                <w:sz w:val="21"/>
                <w:szCs w:val="21"/>
              </w:rPr>
            </w:pPr>
            <w:r>
              <w:rPr>
                <w:rFonts w:hint="eastAsia" w:ascii="宋体" w:hAnsi="宋体" w:eastAsia="宋体" w:cs="宋体"/>
                <w:sz w:val="21"/>
                <w:szCs w:val="21"/>
              </w:rPr>
              <w:t>注：须提供服务网点的营业执照副本复印件作为证明材料。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793" w:type="dxa"/>
            <w:gridSpan w:val="2"/>
            <w:noWrap w:val="0"/>
            <w:vAlign w:val="center"/>
          </w:tcPr>
          <w:p>
            <w:pPr>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合计</w:t>
            </w:r>
          </w:p>
        </w:tc>
        <w:tc>
          <w:tcPr>
            <w:tcW w:w="7169" w:type="dxa"/>
            <w:gridSpan w:val="2"/>
            <w:noWrap w:val="0"/>
            <w:vAlign w:val="center"/>
          </w:tcPr>
          <w:p>
            <w:pPr>
              <w:keepNext w:val="0"/>
              <w:keepLines w:val="0"/>
              <w:pageBreakBefore w:val="0"/>
              <w:widowControl w:val="0"/>
              <w:kinsoku/>
              <w:wordWrap/>
              <w:overflowPunct/>
              <w:topLinePunct w:val="0"/>
              <w:autoSpaceDE/>
              <w:autoSpaceDN/>
              <w:bidi w:val="0"/>
              <w:adjustRightInd/>
              <w:snapToGrid/>
              <w:ind w:firstLine="420" w:firstLineChars="200"/>
              <w:jc w:val="center"/>
              <w:textAlignment w:val="auto"/>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25</w:t>
            </w:r>
            <w:r>
              <w:rPr>
                <w:rFonts w:hint="eastAsia" w:ascii="宋体" w:hAnsi="宋体" w:eastAsia="宋体" w:cs="宋体"/>
                <w:color w:val="auto"/>
                <w:sz w:val="21"/>
                <w:szCs w:val="21"/>
                <w:lang w:val="en-US" w:eastAsia="zh-CN"/>
              </w:rPr>
              <w:t>分</w:t>
            </w:r>
          </w:p>
        </w:tc>
      </w:tr>
    </w:tbl>
    <w:p/>
    <w:p>
      <w:pPr>
        <w:pStyle w:val="10"/>
      </w:pPr>
      <w:r>
        <w:rPr>
          <w:rStyle w:val="38"/>
          <w:rFonts w:ascii="宋体" w:hAnsi="宋体"/>
          <w:szCs w:val="21"/>
        </w:rPr>
        <w:t>说明：评标委员会决定投标的响应性仅根据投标文件本身的内容，而不寻求外部的证据。评分标准涉及到需提供的资料、文件等必须是真实有效的，弄虚作假者一经查实其投标将做无效投标处理，同时该供应商相关违法行为将提交到财政监督管理部门处理。</w:t>
      </w:r>
    </w:p>
    <w:p/>
    <w:p>
      <w:pPr>
        <w:rPr>
          <w:rFonts w:hint="eastAsia" w:ascii="宋体" w:hAnsi="宋体"/>
          <w:b/>
        </w:rPr>
      </w:pPr>
      <w:r>
        <w:rPr>
          <w:rFonts w:hint="eastAsia" w:ascii="宋体" w:hAnsi="宋体"/>
          <w:b/>
        </w:rPr>
        <w:br w:type="page"/>
      </w:r>
    </w:p>
    <w:p>
      <w:pPr>
        <w:jc w:val="center"/>
        <w:rPr>
          <w:rFonts w:hint="eastAsia" w:ascii="宋体" w:hAnsi="宋体" w:eastAsia="宋体" w:cs="宋体"/>
          <w:b/>
          <w:bCs/>
          <w:spacing w:val="7"/>
          <w:sz w:val="28"/>
          <w:szCs w:val="28"/>
          <w:lang w:eastAsia="zh-CN"/>
        </w:rPr>
      </w:pPr>
      <w:r>
        <w:rPr>
          <w:rFonts w:hint="eastAsia" w:ascii="宋体" w:hAnsi="宋体" w:eastAsia="宋体" w:cs="宋体"/>
          <w:b/>
          <w:bCs/>
          <w:spacing w:val="7"/>
          <w:sz w:val="28"/>
          <w:szCs w:val="28"/>
          <w:lang w:eastAsia="zh-CN"/>
        </w:rPr>
        <w:t>价格评分表(</w:t>
      </w:r>
      <w:r>
        <w:rPr>
          <w:rFonts w:hint="eastAsia" w:ascii="宋体" w:hAnsi="宋体" w:cs="宋体"/>
          <w:b/>
          <w:bCs/>
          <w:spacing w:val="7"/>
          <w:sz w:val="28"/>
          <w:szCs w:val="28"/>
          <w:lang w:val="en-US" w:eastAsia="zh-CN"/>
        </w:rPr>
        <w:t>0</w:t>
      </w:r>
      <w:r>
        <w:rPr>
          <w:rFonts w:hint="eastAsia" w:ascii="宋体" w:hAnsi="宋体" w:eastAsia="宋体" w:cs="宋体"/>
          <w:b/>
          <w:bCs/>
          <w:spacing w:val="7"/>
          <w:sz w:val="28"/>
          <w:szCs w:val="28"/>
          <w:lang w:eastAsia="zh-CN"/>
        </w:rPr>
        <w:t>分)</w:t>
      </w:r>
      <w:bookmarkEnd w:id="9"/>
      <w:bookmarkEnd w:id="10"/>
      <w:bookmarkEnd w:id="11"/>
    </w:p>
    <w:p>
      <w:pPr>
        <w:spacing w:beforeLines="50" w:afterLines="50" w:line="360" w:lineRule="auto"/>
        <w:ind w:firstLine="420" w:firstLineChars="200"/>
        <w:jc w:val="both"/>
        <w:outlineLvl w:val="0"/>
        <w:rPr>
          <w:rFonts w:ascii="宋体" w:hAnsi="宋体"/>
          <w:b w:val="0"/>
          <w:bCs w:val="0"/>
          <w:sz w:val="21"/>
          <w:szCs w:val="21"/>
        </w:rPr>
      </w:pPr>
      <w:r>
        <w:rPr>
          <w:rFonts w:hint="eastAsia" w:ascii="宋体" w:hAnsi="宋体"/>
          <w:b w:val="0"/>
          <w:bCs w:val="0"/>
          <w:sz w:val="21"/>
          <w:szCs w:val="21"/>
          <w:lang w:val="en-US" w:eastAsia="zh-CN"/>
        </w:rPr>
        <w:t>本项目价格分为0分，中小企业等其他政策优惠不适用。</w:t>
      </w:r>
      <w:r>
        <w:rPr>
          <w:rFonts w:hint="eastAsia" w:ascii="宋体" w:hAnsi="宋体"/>
          <w:b w:val="0"/>
          <w:bCs w:val="0"/>
          <w:sz w:val="21"/>
          <w:szCs w:val="21"/>
        </w:rPr>
        <w:br w:type="page"/>
      </w:r>
    </w:p>
    <w:p>
      <w:pPr>
        <w:spacing w:beforeLines="50" w:afterLines="50" w:line="360" w:lineRule="auto"/>
        <w:ind w:firstLine="562" w:firstLineChars="200"/>
        <w:jc w:val="center"/>
        <w:outlineLvl w:val="0"/>
        <w:rPr>
          <w:rFonts w:ascii="宋体" w:hAnsi="宋体"/>
          <w:szCs w:val="21"/>
        </w:rPr>
      </w:pPr>
      <w:bookmarkStart w:id="12" w:name="_Toc16012"/>
      <w:r>
        <w:rPr>
          <w:rFonts w:hint="eastAsia" w:ascii="宋体" w:hAnsi="宋体"/>
          <w:b/>
          <w:bCs/>
          <w:sz w:val="28"/>
          <w:szCs w:val="28"/>
        </w:rPr>
        <w:t>第四章  用户需求书</w:t>
      </w:r>
      <w:bookmarkEnd w:id="12"/>
    </w:p>
    <w:p>
      <w:pPr>
        <w:snapToGrid w:val="0"/>
        <w:spacing w:line="360" w:lineRule="auto"/>
        <w:rPr>
          <w:rFonts w:ascii="宋体" w:hAnsi="宋体"/>
          <w:b/>
          <w:bCs/>
          <w:szCs w:val="21"/>
        </w:rPr>
      </w:pPr>
      <w:r>
        <w:rPr>
          <w:rFonts w:hint="eastAsia" w:ascii="宋体" w:hAnsi="宋体"/>
          <w:b/>
          <w:bCs/>
          <w:szCs w:val="21"/>
        </w:rPr>
        <w:t>说明：</w:t>
      </w:r>
    </w:p>
    <w:p>
      <w:pPr>
        <w:pStyle w:val="17"/>
        <w:rPr>
          <w:b/>
          <w:bCs/>
        </w:rPr>
      </w:pPr>
      <w:r>
        <w:rPr>
          <w:rFonts w:hint="eastAsia"/>
          <w:b/>
          <w:bCs/>
        </w:rPr>
        <w:t>1.投标人须对同一采购项目为单位的货物及服务进行整体响应，任何只对其中一部分内容进行的响应都被视为无效投标。</w:t>
      </w:r>
    </w:p>
    <w:p>
      <w:pPr>
        <w:pStyle w:val="17"/>
        <w:rPr>
          <w:b/>
          <w:bCs/>
        </w:rPr>
      </w:pPr>
      <w:r>
        <w:rPr>
          <w:rFonts w:hint="eastAsia"/>
          <w:b/>
          <w:bCs/>
        </w:rPr>
        <w:t>2.采购人需求中打“▲”号条款为重要服务（技术）参数，但不作为无效投标条款。</w:t>
      </w:r>
    </w:p>
    <w:p>
      <w:pPr>
        <w:pStyle w:val="17"/>
        <w:rPr>
          <w:b/>
          <w:bCs/>
        </w:rPr>
      </w:pPr>
      <w:r>
        <w:rPr>
          <w:rFonts w:hint="eastAsia"/>
          <w:b/>
          <w:bCs/>
        </w:rPr>
        <w:t>3.报价人必须对本项目整体内容进行投标，只对本项目部分内容进行投标的将被视为无效投标。</w:t>
      </w:r>
    </w:p>
    <w:p>
      <w:pPr>
        <w:jc w:val="center"/>
        <w:rPr>
          <w:rFonts w:ascii="宋体" w:hAnsi="宋体"/>
          <w:b/>
          <w:szCs w:val="21"/>
        </w:rPr>
      </w:pPr>
    </w:p>
    <w:p>
      <w:pPr>
        <w:numPr>
          <w:ilvl w:val="0"/>
          <w:numId w:val="11"/>
        </w:num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项目背景</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更好实施《广州市番禺区慈善会临时生活困难及自然灾害救助实施办法》、《广州市番禺区慈善会助学实施办法》、《广州市番禺区慈善会医疗救助实施办法》、《广州市番禺区慈善会来穗务工人员重大疾病医疗救助实施办法》等办法，切实提高慈善资金的使用效益和社会效益，同时借助保险</w:t>
      </w:r>
      <w:r>
        <w:rPr>
          <w:rFonts w:hint="eastAsia" w:ascii="宋体" w:hAnsi="宋体" w:eastAsia="宋体" w:cs="宋体"/>
          <w:color w:val="auto"/>
          <w:sz w:val="21"/>
          <w:szCs w:val="21"/>
          <w:highlight w:val="none"/>
          <w:lang w:val="en-US" w:eastAsia="zh-CN"/>
        </w:rPr>
        <w:t>公司</w:t>
      </w:r>
      <w:r>
        <w:rPr>
          <w:rFonts w:hint="eastAsia" w:ascii="宋体" w:hAnsi="宋体" w:eastAsia="宋体" w:cs="宋体"/>
          <w:color w:val="auto"/>
          <w:sz w:val="21"/>
          <w:szCs w:val="21"/>
          <w:highlight w:val="none"/>
        </w:rPr>
        <w:t>的专业优势、网点优势和资源优势， 更好为本区救助群体提供服务，特制订以下保障服务方案。</w:t>
      </w:r>
    </w:p>
    <w:p>
      <w:pPr>
        <w:numPr>
          <w:ilvl w:val="0"/>
          <w:numId w:val="11"/>
        </w:num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组织架构</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主办</w:t>
      </w:r>
      <w:r>
        <w:rPr>
          <w:rFonts w:hint="eastAsia" w:ascii="宋体" w:hAnsi="宋体" w:eastAsia="宋体" w:cs="宋体"/>
          <w:color w:val="auto"/>
          <w:sz w:val="21"/>
          <w:szCs w:val="21"/>
          <w:highlight w:val="none"/>
        </w:rPr>
        <w:t>单位：广州市番禺区慈善会</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承办</w:t>
      </w:r>
      <w:r>
        <w:rPr>
          <w:rFonts w:hint="eastAsia" w:ascii="宋体" w:hAnsi="宋体" w:eastAsia="宋体" w:cs="宋体"/>
          <w:color w:val="auto"/>
          <w:sz w:val="21"/>
          <w:szCs w:val="21"/>
          <w:highlight w:val="none"/>
        </w:rPr>
        <w:t>单位：</w:t>
      </w:r>
      <w:r>
        <w:rPr>
          <w:rFonts w:hint="eastAsia" w:ascii="宋体" w:hAnsi="宋体" w:eastAsia="宋体" w:cs="宋体"/>
          <w:color w:val="auto"/>
          <w:sz w:val="21"/>
          <w:szCs w:val="21"/>
          <w:highlight w:val="none"/>
          <w:lang w:val="en-US" w:eastAsia="zh-CN"/>
        </w:rPr>
        <w:t>待定（通过公开招标形式确定）</w:t>
      </w:r>
    </w:p>
    <w:p>
      <w:pPr>
        <w:numPr>
          <w:ilvl w:val="0"/>
          <w:numId w:val="11"/>
        </w:num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项目目标</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更好落实《广州市番禺区慈善会临时生活困难及自然灾害救助实施办法》、《广州市番禺区慈善会助学实施办法》、《广州市番禺区慈善会医疗救助实施办法》、《广州市番禺区慈善会来穗务工人员重大疾病医疗救助实施办法》等办法的实施，同时通过保险运营模式起到慈善基金的一定杠杆作用</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进一步</w:t>
      </w:r>
      <w:r>
        <w:rPr>
          <w:rFonts w:hint="eastAsia" w:ascii="宋体" w:hAnsi="宋体" w:eastAsia="宋体" w:cs="宋体"/>
          <w:color w:val="auto"/>
          <w:sz w:val="21"/>
          <w:szCs w:val="21"/>
          <w:highlight w:val="none"/>
        </w:rPr>
        <w:t>加快慈善流程，提高慈善资金的使用效益和社会效益。</w:t>
      </w:r>
    </w:p>
    <w:p>
      <w:pPr>
        <w:numPr>
          <w:ilvl w:val="0"/>
          <w:numId w:val="11"/>
        </w:num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项目实施时间及地点、受益对象</w:t>
      </w:r>
    </w:p>
    <w:p>
      <w:pPr>
        <w:numPr>
          <w:ilvl w:val="0"/>
          <w:numId w:val="12"/>
        </w:num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项目实施时间</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2021年</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月1日至2022年</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月3</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日。</w:t>
      </w:r>
    </w:p>
    <w:p>
      <w:pPr>
        <w:numPr>
          <w:ilvl w:val="0"/>
          <w:numId w:val="12"/>
        </w:num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项目实施地点</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广州市番禺区。</w:t>
      </w:r>
    </w:p>
    <w:p>
      <w:pPr>
        <w:numPr>
          <w:ilvl w:val="0"/>
          <w:numId w:val="12"/>
        </w:num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项目受益对象</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1、符合《广州市番禺区慈善会来穗务工人员重大疾病医疗救助实施办法》规定的人员；</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2、符合《广州市番禺区慈善会医疗救助实施办法》规定的人员；</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3、符合《广州市番禺区慈善会临时生活困难及自然灾害救助实施办法》规定的人员；</w:t>
      </w:r>
    </w:p>
    <w:p>
      <w:pPr>
        <w:spacing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4、符合《广州市番禺区慈善会助学实施办法》规定的人员</w:t>
      </w:r>
      <w:r>
        <w:rPr>
          <w:rFonts w:hint="eastAsia" w:ascii="宋体" w:hAnsi="宋体" w:eastAsia="宋体" w:cs="宋体"/>
          <w:color w:val="auto"/>
          <w:sz w:val="21"/>
          <w:szCs w:val="21"/>
          <w:highlight w:val="none"/>
          <w:lang w:eastAsia="zh-CN"/>
        </w:rPr>
        <w:t>。</w:t>
      </w:r>
    </w:p>
    <w:p>
      <w:pPr>
        <w:numPr>
          <w:ilvl w:val="0"/>
          <w:numId w:val="11"/>
        </w:num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项目内容及流程</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采用保险救助方式进行慈善救助服务。按照双方约定条件，签订保险服务合同</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确认服务承接，落实具体人员安排。</w:t>
      </w:r>
    </w:p>
    <w:p>
      <w:pPr>
        <w:numPr>
          <w:ilvl w:val="0"/>
          <w:numId w:val="13"/>
        </w:num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运营方式</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由</w:t>
      </w:r>
      <w:r>
        <w:rPr>
          <w:rFonts w:hint="eastAsia" w:ascii="宋体" w:hAnsi="宋体" w:eastAsia="宋体" w:cs="宋体"/>
          <w:color w:val="auto"/>
          <w:sz w:val="21"/>
          <w:szCs w:val="21"/>
          <w:highlight w:val="none"/>
          <w:lang w:eastAsia="zh-CN"/>
        </w:rPr>
        <w:t>承办单位</w:t>
      </w:r>
      <w:r>
        <w:rPr>
          <w:rFonts w:hint="eastAsia" w:ascii="宋体" w:hAnsi="宋体" w:eastAsia="宋体" w:cs="宋体"/>
          <w:color w:val="auto"/>
          <w:sz w:val="21"/>
          <w:szCs w:val="21"/>
          <w:highlight w:val="none"/>
        </w:rPr>
        <w:t>切入至原救助流程番禺区慈善会负责的部分中，延续现有救助申请审核机制，由</w:t>
      </w:r>
      <w:r>
        <w:rPr>
          <w:rFonts w:hint="eastAsia" w:ascii="宋体" w:hAnsi="宋体" w:eastAsia="宋体" w:cs="宋体"/>
          <w:color w:val="auto"/>
          <w:sz w:val="21"/>
          <w:szCs w:val="21"/>
          <w:highlight w:val="none"/>
          <w:lang w:eastAsia="zh-CN"/>
        </w:rPr>
        <w:t>承办单位</w:t>
      </w:r>
      <w:r>
        <w:rPr>
          <w:rFonts w:hint="eastAsia" w:ascii="宋体" w:hAnsi="宋体" w:eastAsia="宋体" w:cs="宋体"/>
          <w:color w:val="auto"/>
          <w:sz w:val="21"/>
          <w:szCs w:val="21"/>
          <w:highlight w:val="none"/>
        </w:rPr>
        <w:t>负责运营。</w:t>
      </w:r>
    </w:p>
    <w:p>
      <w:pPr>
        <w:spacing w:line="360" w:lineRule="auto"/>
        <w:ind w:left="92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救助工作</w:t>
      </w:r>
      <w:r>
        <w:rPr>
          <w:rFonts w:hint="eastAsia" w:ascii="宋体" w:hAnsi="宋体" w:eastAsia="宋体" w:cs="宋体"/>
          <w:b/>
          <w:bCs/>
          <w:color w:val="auto"/>
          <w:sz w:val="21"/>
          <w:szCs w:val="21"/>
          <w:highlight w:val="none"/>
        </w:rPr>
        <w:t>流程：</w:t>
      </w:r>
    </w:p>
    <w:p>
      <w:pPr>
        <w:spacing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（1）初审</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申请人向户籍所在地的村（居）委会提出书面申请，填写表格，提交证明材料</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村（居）委会收到救助申请后，在5个工作日内对申请人的情况及其提交的材料进行调查核实，并将调查结果进行公示，公示期为5日；公示期满，村（居）委会依规进行审查并提出初审意见，报镇（街）民政办审查</w:t>
      </w:r>
      <w:r>
        <w:rPr>
          <w:rFonts w:hint="eastAsia" w:ascii="宋体" w:hAnsi="宋体" w:eastAsia="宋体" w:cs="宋体"/>
          <w:color w:val="auto"/>
          <w:sz w:val="21"/>
          <w:szCs w:val="21"/>
          <w:highlight w:val="none"/>
          <w:lang w:eastAsia="zh-CN"/>
        </w:rPr>
        <w:t>。</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（2）复审</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镇（街）民政办在收到村（居）委会报送的救助申请后5个工作日内进行二次审查。情况属实的，报番禺区慈善会秘书处办公室指定的</w:t>
      </w:r>
      <w:r>
        <w:rPr>
          <w:rFonts w:hint="eastAsia" w:ascii="宋体" w:hAnsi="宋体" w:eastAsia="宋体" w:cs="宋体"/>
          <w:color w:val="auto"/>
          <w:sz w:val="21"/>
          <w:szCs w:val="21"/>
          <w:highlight w:val="none"/>
          <w:lang w:val="en-US" w:eastAsia="zh-CN"/>
        </w:rPr>
        <w:t>承办单位</w:t>
      </w:r>
      <w:r>
        <w:rPr>
          <w:rFonts w:hint="eastAsia" w:ascii="宋体" w:hAnsi="宋体" w:eastAsia="宋体" w:cs="宋体"/>
          <w:color w:val="auto"/>
          <w:sz w:val="21"/>
          <w:szCs w:val="21"/>
          <w:highlight w:val="none"/>
        </w:rPr>
        <w:t>受理人员审批。</w:t>
      </w:r>
    </w:p>
    <w:p>
      <w:pPr>
        <w:spacing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（3）复核</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承办单位</w:t>
      </w:r>
      <w:r>
        <w:rPr>
          <w:rFonts w:hint="eastAsia" w:ascii="宋体" w:hAnsi="宋体" w:eastAsia="宋体" w:cs="宋体"/>
          <w:color w:val="auto"/>
          <w:sz w:val="21"/>
          <w:szCs w:val="21"/>
          <w:highlight w:val="none"/>
        </w:rPr>
        <w:t>收到镇（街）民政办上报的救助申请后由番禺区慈善会指导在</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个工作日内完成审批</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承办单位应</w:t>
      </w:r>
      <w:r>
        <w:rPr>
          <w:rFonts w:hint="eastAsia" w:ascii="宋体" w:hAnsi="宋体" w:eastAsia="宋体" w:cs="宋体"/>
          <w:color w:val="auto"/>
          <w:sz w:val="21"/>
          <w:szCs w:val="21"/>
          <w:highlight w:val="none"/>
        </w:rPr>
        <w:t>组织专人到申请人生活居住地进行调查核实，</w:t>
      </w:r>
      <w:r>
        <w:rPr>
          <w:rFonts w:hint="eastAsia" w:ascii="宋体" w:hAnsi="宋体" w:eastAsia="宋体" w:cs="宋体"/>
          <w:color w:val="auto"/>
          <w:sz w:val="21"/>
          <w:szCs w:val="21"/>
          <w:highlight w:val="none"/>
          <w:lang w:val="en-US" w:eastAsia="zh-CN"/>
        </w:rPr>
        <w:t>做好记录工作</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完成审核落户，入户率应不低于85%</w:t>
      </w:r>
      <w:r>
        <w:rPr>
          <w:rFonts w:hint="eastAsia" w:ascii="宋体" w:hAnsi="宋体" w:eastAsia="宋体" w:cs="宋体"/>
          <w:color w:val="auto"/>
          <w:sz w:val="21"/>
          <w:szCs w:val="21"/>
          <w:highlight w:val="none"/>
        </w:rPr>
        <w:t>。对不符合救助条件申请的，在审批期限内退回镇（街）民政办或村（居）委会，并说明情况。</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承办单位应定期制作会签表报送番禺区慈善会进行会签确认</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会签表应包括但不限于符合救助案件信息汇总、退案或不符合救助案件信息汇总。</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（4）支付</w:t>
      </w:r>
      <w:r>
        <w:rPr>
          <w:rFonts w:hint="eastAsia" w:ascii="宋体" w:hAnsi="宋体" w:eastAsia="宋体" w:cs="宋体"/>
          <w:color w:val="auto"/>
          <w:sz w:val="21"/>
          <w:szCs w:val="21"/>
          <w:highlight w:val="none"/>
          <w:lang w:val="en-US" w:eastAsia="zh-CN"/>
        </w:rPr>
        <w:t>救助款</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承办单位</w:t>
      </w:r>
      <w:r>
        <w:rPr>
          <w:rFonts w:hint="eastAsia" w:ascii="宋体" w:hAnsi="宋体" w:eastAsia="宋体" w:cs="宋体"/>
          <w:color w:val="auto"/>
          <w:sz w:val="21"/>
          <w:szCs w:val="21"/>
          <w:highlight w:val="none"/>
        </w:rPr>
        <w:t>根据</w:t>
      </w:r>
      <w:r>
        <w:rPr>
          <w:rFonts w:hint="eastAsia" w:ascii="宋体" w:hAnsi="宋体" w:eastAsia="宋体" w:cs="宋体"/>
          <w:color w:val="auto"/>
          <w:sz w:val="21"/>
          <w:szCs w:val="21"/>
          <w:highlight w:val="none"/>
          <w:lang w:val="en-US" w:eastAsia="zh-CN"/>
        </w:rPr>
        <w:t>相关规定、约定</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及时</w:t>
      </w:r>
      <w:r>
        <w:rPr>
          <w:rFonts w:hint="eastAsia" w:ascii="宋体" w:hAnsi="宋体" w:eastAsia="宋体" w:cs="宋体"/>
          <w:color w:val="auto"/>
          <w:sz w:val="21"/>
          <w:szCs w:val="21"/>
          <w:highlight w:val="none"/>
        </w:rPr>
        <w:t>将救助款直接划拨给受救助人或有关指定单位。</w:t>
      </w:r>
    </w:p>
    <w:p>
      <w:pPr>
        <w:numPr>
          <w:ilvl w:val="0"/>
          <w:numId w:val="13"/>
        </w:num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人员安排</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项目启动开始，</w:t>
      </w:r>
      <w:r>
        <w:rPr>
          <w:rFonts w:hint="eastAsia" w:ascii="宋体" w:hAnsi="宋体" w:eastAsia="宋体" w:cs="宋体"/>
          <w:color w:val="auto"/>
          <w:sz w:val="21"/>
          <w:szCs w:val="21"/>
          <w:highlight w:val="none"/>
          <w:lang w:eastAsia="zh-CN"/>
        </w:rPr>
        <w:t>承办单位</w:t>
      </w:r>
      <w:r>
        <w:rPr>
          <w:rFonts w:hint="eastAsia" w:ascii="宋体" w:hAnsi="宋体" w:eastAsia="宋体" w:cs="宋体"/>
          <w:color w:val="auto"/>
          <w:sz w:val="21"/>
          <w:szCs w:val="21"/>
          <w:highlight w:val="none"/>
        </w:rPr>
        <w:t>安排业务骨干人员派驻慈善会，在慈善会的指导下，开展具体救助项目的审核工作，确保救助服务准确到位，沟通及时。专岗人员日常在慈善会办公，审批等工作在慈善会指导下使用慈善会系统进行处理。专岗人员初期在慈善会指导下学习按慈善会标准进行审批，在慈善会认可的情况下可开始独立进行相关工作处理。</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在需要拜访受救助人员的情况下，由</w:t>
      </w:r>
      <w:r>
        <w:rPr>
          <w:rFonts w:hint="eastAsia" w:ascii="宋体" w:hAnsi="宋体" w:eastAsia="宋体" w:cs="宋体"/>
          <w:color w:val="auto"/>
          <w:sz w:val="21"/>
          <w:szCs w:val="21"/>
          <w:highlight w:val="none"/>
          <w:lang w:val="en-US" w:eastAsia="zh-CN"/>
        </w:rPr>
        <w:t>该项目</w:t>
      </w:r>
      <w:r>
        <w:rPr>
          <w:rFonts w:hint="eastAsia" w:ascii="宋体" w:hAnsi="宋体" w:eastAsia="宋体" w:cs="宋体"/>
          <w:color w:val="auto"/>
          <w:sz w:val="21"/>
          <w:szCs w:val="21"/>
          <w:highlight w:val="none"/>
        </w:rPr>
        <w:t>专岗人员对接</w:t>
      </w:r>
      <w:r>
        <w:rPr>
          <w:rFonts w:hint="eastAsia" w:ascii="宋体" w:hAnsi="宋体" w:eastAsia="宋体" w:cs="宋体"/>
          <w:color w:val="auto"/>
          <w:sz w:val="21"/>
          <w:szCs w:val="21"/>
          <w:highlight w:val="none"/>
          <w:lang w:eastAsia="zh-CN"/>
        </w:rPr>
        <w:t>承办单位</w:t>
      </w:r>
      <w:r>
        <w:rPr>
          <w:rFonts w:hint="eastAsia" w:ascii="宋体" w:hAnsi="宋体" w:eastAsia="宋体" w:cs="宋体"/>
          <w:color w:val="auto"/>
          <w:sz w:val="21"/>
          <w:szCs w:val="21"/>
          <w:highlight w:val="none"/>
        </w:rPr>
        <w:t>内部，安排本人或</w:t>
      </w:r>
      <w:r>
        <w:rPr>
          <w:rFonts w:hint="eastAsia" w:ascii="宋体" w:hAnsi="宋体" w:eastAsia="宋体" w:cs="宋体"/>
          <w:color w:val="auto"/>
          <w:sz w:val="21"/>
          <w:szCs w:val="21"/>
          <w:highlight w:val="none"/>
          <w:lang w:eastAsia="zh-CN"/>
        </w:rPr>
        <w:t>承办单位</w:t>
      </w:r>
      <w:r>
        <w:rPr>
          <w:rFonts w:hint="eastAsia" w:ascii="宋体" w:hAnsi="宋体" w:eastAsia="宋体" w:cs="宋体"/>
          <w:color w:val="auto"/>
          <w:sz w:val="21"/>
          <w:szCs w:val="21"/>
          <w:highlight w:val="none"/>
          <w:lang w:val="en-US" w:eastAsia="zh-CN"/>
        </w:rPr>
        <w:t>其它工作</w:t>
      </w:r>
      <w:r>
        <w:rPr>
          <w:rFonts w:hint="eastAsia" w:ascii="宋体" w:hAnsi="宋体" w:eastAsia="宋体" w:cs="宋体"/>
          <w:color w:val="auto"/>
          <w:sz w:val="21"/>
          <w:szCs w:val="21"/>
          <w:highlight w:val="none"/>
        </w:rPr>
        <w:t>人员、村镇合作协保员</w:t>
      </w:r>
      <w:r>
        <w:rPr>
          <w:rFonts w:hint="eastAsia" w:ascii="宋体" w:hAnsi="宋体" w:eastAsia="宋体" w:cs="宋体"/>
          <w:color w:val="auto"/>
          <w:sz w:val="21"/>
          <w:szCs w:val="21"/>
          <w:highlight w:val="none"/>
          <w:lang w:val="en-US" w:eastAsia="zh-CN"/>
        </w:rPr>
        <w:t>等</w:t>
      </w:r>
      <w:r>
        <w:rPr>
          <w:rFonts w:hint="eastAsia" w:ascii="宋体" w:hAnsi="宋体" w:eastAsia="宋体" w:cs="宋体"/>
          <w:color w:val="auto"/>
          <w:sz w:val="21"/>
          <w:szCs w:val="21"/>
          <w:highlight w:val="none"/>
        </w:rPr>
        <w:t>实现拜访工作。</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番禺区慈善会在过程中提供必要协助及监督指导工作。</w:t>
      </w:r>
    </w:p>
    <w:p>
      <w:pPr>
        <w:numPr>
          <w:ilvl w:val="0"/>
          <w:numId w:val="13"/>
        </w:num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项目定期分析报告</w:t>
      </w:r>
    </w:p>
    <w:p>
      <w:pPr>
        <w:spacing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承办单位</w:t>
      </w:r>
      <w:r>
        <w:rPr>
          <w:rFonts w:hint="eastAsia" w:ascii="宋体" w:hAnsi="宋体" w:eastAsia="宋体" w:cs="宋体"/>
          <w:color w:val="auto"/>
          <w:sz w:val="21"/>
          <w:szCs w:val="21"/>
          <w:highlight w:val="none"/>
        </w:rPr>
        <w:t>按月向慈善会出具项目运行报告，分析项目运行的进度、时间节点等关键信息，并就工作中的问题提出相关建议，收集整理社会各界和被救助群体对项目运行的意见建议。</w:t>
      </w:r>
      <w:r>
        <w:rPr>
          <w:rFonts w:hint="eastAsia" w:ascii="宋体" w:hAnsi="宋体" w:eastAsia="宋体" w:cs="宋体"/>
          <w:color w:val="auto"/>
          <w:sz w:val="21"/>
          <w:szCs w:val="21"/>
          <w:highlight w:val="none"/>
          <w:lang w:val="en-US" w:eastAsia="zh-CN"/>
        </w:rPr>
        <w:t>同时，承办单位应向慈善会提交季度、半年、年度工作总结，总结阶段性工作，并做好下一步工作计划。</w:t>
      </w:r>
    </w:p>
    <w:p>
      <w:pPr>
        <w:numPr>
          <w:ilvl w:val="0"/>
          <w:numId w:val="13"/>
        </w:num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救助项目、番禺区慈善会宣传</w:t>
      </w:r>
    </w:p>
    <w:p>
      <w:pPr>
        <w:spacing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在区民政局、区慈善会的指导下，承办单位负责做好救助服务项目及项目主体的宣传工作，具体如下：</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（1）通过媒体报纸等宣传工具宣传此项慈善方案</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针对本项目，通过番禺区融媒体，在电视、报纸等宣传此项慈善方案，让社会民众</w:t>
      </w:r>
      <w:r>
        <w:rPr>
          <w:rFonts w:hint="eastAsia" w:ascii="宋体" w:hAnsi="宋体" w:eastAsia="宋体" w:cs="宋体"/>
          <w:color w:val="auto"/>
          <w:sz w:val="21"/>
          <w:szCs w:val="21"/>
          <w:highlight w:val="none"/>
          <w:lang w:val="en-US" w:eastAsia="zh-CN"/>
        </w:rPr>
        <w:t>宣传</w:t>
      </w:r>
      <w:r>
        <w:rPr>
          <w:rFonts w:hint="eastAsia" w:ascii="宋体" w:hAnsi="宋体" w:eastAsia="宋体" w:cs="宋体"/>
          <w:color w:val="auto"/>
          <w:sz w:val="21"/>
          <w:szCs w:val="21"/>
          <w:highlight w:val="none"/>
        </w:rPr>
        <w:t>此项慈善方案。</w:t>
      </w:r>
      <w:r>
        <w:rPr>
          <w:rFonts w:hint="eastAsia" w:ascii="宋体" w:hAnsi="宋体" w:eastAsia="宋体" w:cs="宋体"/>
          <w:color w:val="auto"/>
          <w:sz w:val="21"/>
          <w:szCs w:val="21"/>
          <w:highlight w:val="none"/>
          <w:lang w:val="en-US" w:eastAsia="zh-CN"/>
        </w:rPr>
        <w:t>方案由番禺区慈善会主导，承办单位负责落实推广，推广费由承办单位承担。</w:t>
      </w:r>
    </w:p>
    <w:p>
      <w:pPr>
        <w:spacing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（2）通过制作宣传手册、宣传海报等多种形式在番禺区各村镇等开展项目宣传活动。亦可联合番禺融媒体开展多渠道宣传。</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（3）促进慈善文化与区内企业的企业文化相结合</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与企业建立平等合作的“伙伴关系”，强化服务意识，努力为企业参与慈善事业创造各种有利条件，利用公益平台，推动企业“品牌”的发展，通过慈善文化与企业文化的结合，培养企业的慈善意识和社会责任感，使慈善机构与企业达到双赢，并逐步培育一支慈善家队伍。</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（4）推进慈善文化与社区文化的有机结合</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在</w:t>
      </w:r>
      <w:r>
        <w:rPr>
          <w:rFonts w:hint="eastAsia" w:ascii="宋体" w:hAnsi="宋体" w:eastAsia="宋体" w:cs="宋体"/>
          <w:color w:val="auto"/>
          <w:sz w:val="21"/>
          <w:szCs w:val="21"/>
          <w:highlight w:val="none"/>
          <w:lang w:val="en-US" w:eastAsia="zh-CN"/>
        </w:rPr>
        <w:t>番禺区内</w:t>
      </w:r>
      <w:r>
        <w:rPr>
          <w:rFonts w:hint="eastAsia" w:ascii="宋体" w:hAnsi="宋体" w:eastAsia="宋体" w:cs="宋体"/>
          <w:color w:val="auto"/>
          <w:sz w:val="21"/>
          <w:szCs w:val="21"/>
          <w:highlight w:val="none"/>
        </w:rPr>
        <w:t>社区宣传与弘扬“志愿和奉献”精神，使慈善文化与社区文化结合，改善社区环境，维护社会稳定，促进经济社会协调发展。</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（5）推动慈善事业的可持续发展</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发动</w:t>
      </w:r>
      <w:r>
        <w:rPr>
          <w:rFonts w:hint="eastAsia" w:ascii="宋体" w:hAnsi="宋体" w:eastAsia="宋体" w:cs="宋体"/>
          <w:color w:val="auto"/>
          <w:sz w:val="21"/>
          <w:szCs w:val="21"/>
          <w:highlight w:val="none"/>
          <w:lang w:val="en-US" w:eastAsia="zh-CN"/>
        </w:rPr>
        <w:t>更多</w:t>
      </w:r>
      <w:r>
        <w:rPr>
          <w:rFonts w:hint="eastAsia" w:ascii="宋体" w:hAnsi="宋体" w:eastAsia="宋体" w:cs="宋体"/>
          <w:color w:val="auto"/>
          <w:sz w:val="21"/>
          <w:szCs w:val="21"/>
          <w:highlight w:val="none"/>
        </w:rPr>
        <w:t>积极投身参与区慈善活动当中，为慈善会的各项活动顺利进行提供有力支持。</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（6）进行“公益营销”及慈善事业的宣传工作</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结合承办单位的</w:t>
      </w:r>
      <w:r>
        <w:rPr>
          <w:rFonts w:hint="eastAsia" w:ascii="宋体" w:hAnsi="宋体" w:eastAsia="宋体" w:cs="宋体"/>
          <w:color w:val="auto"/>
          <w:sz w:val="21"/>
          <w:szCs w:val="21"/>
          <w:highlight w:val="none"/>
        </w:rPr>
        <w:t>资源，</w:t>
      </w:r>
      <w:r>
        <w:rPr>
          <w:rFonts w:hint="eastAsia" w:ascii="宋体" w:hAnsi="宋体" w:eastAsia="宋体" w:cs="宋体"/>
          <w:color w:val="auto"/>
          <w:sz w:val="21"/>
          <w:szCs w:val="21"/>
          <w:highlight w:val="none"/>
          <w:lang w:val="en-US" w:eastAsia="zh-CN"/>
        </w:rPr>
        <w:t xml:space="preserve"> 和新媒体力量</w:t>
      </w:r>
      <w:r>
        <w:rPr>
          <w:rFonts w:hint="eastAsia" w:ascii="宋体" w:hAnsi="宋体" w:eastAsia="宋体" w:cs="宋体"/>
          <w:color w:val="auto"/>
          <w:sz w:val="21"/>
          <w:szCs w:val="21"/>
          <w:highlight w:val="none"/>
        </w:rPr>
        <w:t>推广“公益营销”活动及慈善事业的宣传。</w:t>
      </w:r>
    </w:p>
    <w:p>
      <w:pPr>
        <w:pStyle w:val="2"/>
        <w:spacing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做好项目知晓率的宣传工作。开展项目过程中，承办单位应避免宣传本项目以外的业务信息，并需对项目进行充分的介绍，保证受助对象及其家属对慈善救助、项目主体有正确的认知。承办单位完成项目知晓率问卷调查，项目知晓率不低于80%。</w:t>
      </w:r>
    </w:p>
    <w:p>
      <w:pPr>
        <w:spacing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（8）倡导参与志愿服务，反哺社会。服务期间，承办单位积极鼓励受助对象参与志愿服务、公益慈善活动，身体力行倡导慈善理念，反哺社会。</w:t>
      </w:r>
    </w:p>
    <w:p>
      <w:pPr>
        <w:pStyle w:val="2"/>
        <w:spacing w:line="360" w:lineRule="auto"/>
        <w:rPr>
          <w:rFonts w:hint="eastAsia" w:ascii="宋体" w:hAnsi="宋体" w:eastAsia="宋体" w:cs="宋体"/>
          <w:sz w:val="21"/>
          <w:szCs w:val="21"/>
          <w:highlight w:val="none"/>
          <w:lang w:val="en-US" w:eastAsia="zh-CN"/>
        </w:rPr>
      </w:pPr>
      <w:r>
        <w:rPr>
          <w:rFonts w:hint="eastAsia" w:ascii="宋体" w:hAnsi="宋体" w:eastAsia="宋体" w:cs="宋体"/>
          <w:color w:val="auto"/>
          <w:sz w:val="21"/>
          <w:szCs w:val="21"/>
          <w:highlight w:val="none"/>
          <w:lang w:val="en-US" w:eastAsia="zh-CN"/>
        </w:rPr>
        <w:t>（9）项目服务开展过程中，承办单位工作人员应表明身份，穿着印有项目主体字样、logo的工作服，并做好慈善文化的宣传和倡导。入户时，承办单位应做好工作记录，包括但不限于文字材料、照片、视频。</w:t>
      </w:r>
    </w:p>
    <w:p>
      <w:pPr>
        <w:numPr>
          <w:ilvl w:val="0"/>
          <w:numId w:val="14"/>
        </w:numPr>
        <w:spacing w:line="360" w:lineRule="auto"/>
        <w:ind w:firstLine="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项目后期及总结（时间：2022年</w:t>
      </w:r>
      <w:r>
        <w:rPr>
          <w:rFonts w:hint="eastAsia" w:ascii="宋体" w:hAnsi="宋体" w:eastAsia="宋体" w:cs="宋体"/>
          <w:b/>
          <w:bCs/>
          <w:color w:val="auto"/>
          <w:sz w:val="21"/>
          <w:szCs w:val="21"/>
          <w:highlight w:val="none"/>
          <w:lang w:val="en-US" w:eastAsia="zh-CN"/>
        </w:rPr>
        <w:t>5月至6</w:t>
      </w:r>
      <w:r>
        <w:rPr>
          <w:rFonts w:hint="eastAsia" w:ascii="宋体" w:hAnsi="宋体" w:eastAsia="宋体" w:cs="宋体"/>
          <w:b/>
          <w:bCs/>
          <w:color w:val="auto"/>
          <w:sz w:val="21"/>
          <w:szCs w:val="21"/>
          <w:highlight w:val="none"/>
        </w:rPr>
        <w:t>月）</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跟据项目运营、资金运用金额等情况进行总结。</w:t>
      </w:r>
    </w:p>
    <w:p>
      <w:pPr>
        <w:numPr>
          <w:ilvl w:val="0"/>
          <w:numId w:val="15"/>
        </w:numPr>
        <w:tabs>
          <w:tab w:val="left" w:pos="840"/>
          <w:tab w:val="clear" w:pos="312"/>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验收</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在番禺区慈善会日常监督的基础上，对</w:t>
      </w:r>
      <w:r>
        <w:rPr>
          <w:rFonts w:hint="eastAsia" w:ascii="宋体" w:hAnsi="宋体" w:eastAsia="宋体" w:cs="宋体"/>
          <w:color w:val="auto"/>
          <w:sz w:val="21"/>
          <w:szCs w:val="21"/>
          <w:highlight w:val="none"/>
          <w:lang w:eastAsia="zh-CN"/>
        </w:rPr>
        <w:t>承办单位</w:t>
      </w:r>
      <w:r>
        <w:rPr>
          <w:rFonts w:hint="eastAsia" w:ascii="宋体" w:hAnsi="宋体" w:eastAsia="宋体" w:cs="宋体"/>
          <w:color w:val="auto"/>
          <w:sz w:val="21"/>
          <w:szCs w:val="21"/>
          <w:highlight w:val="none"/>
        </w:rPr>
        <w:t>保险救助服务案件通过采样抽查等方式，从金额合理性、核实工作到位程度、处理时效等方面进行服务质量检查，指出具体存在的问题，</w:t>
      </w:r>
      <w:r>
        <w:rPr>
          <w:rFonts w:hint="eastAsia" w:ascii="宋体" w:hAnsi="宋体" w:eastAsia="宋体" w:cs="宋体"/>
          <w:color w:val="auto"/>
          <w:sz w:val="21"/>
          <w:szCs w:val="21"/>
          <w:highlight w:val="none"/>
          <w:lang w:eastAsia="zh-CN"/>
        </w:rPr>
        <w:t>承办单位</w:t>
      </w:r>
      <w:r>
        <w:rPr>
          <w:rFonts w:hint="eastAsia" w:ascii="宋体" w:hAnsi="宋体" w:eastAsia="宋体" w:cs="宋体"/>
          <w:color w:val="auto"/>
          <w:sz w:val="21"/>
          <w:szCs w:val="21"/>
          <w:highlight w:val="none"/>
        </w:rPr>
        <w:t>需马上汇报改进措施并进行整改。</w:t>
      </w:r>
    </w:p>
    <w:p>
      <w:pPr>
        <w:numPr>
          <w:ilvl w:val="0"/>
          <w:numId w:val="15"/>
        </w:numPr>
        <w:tabs>
          <w:tab w:val="left" w:pos="840"/>
          <w:tab w:val="clear" w:pos="312"/>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争议处理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受救助人员或社会各界对具体救助执行提出质疑的，</w:t>
      </w:r>
      <w:r>
        <w:rPr>
          <w:rFonts w:hint="eastAsia" w:ascii="宋体" w:hAnsi="宋体" w:eastAsia="宋体" w:cs="宋体"/>
          <w:color w:val="auto"/>
          <w:sz w:val="21"/>
          <w:szCs w:val="21"/>
          <w:highlight w:val="none"/>
          <w:lang w:eastAsia="zh-CN"/>
        </w:rPr>
        <w:t>承办单位</w:t>
      </w:r>
      <w:r>
        <w:rPr>
          <w:rFonts w:hint="eastAsia" w:ascii="宋体" w:hAnsi="宋体" w:eastAsia="宋体" w:cs="宋体"/>
          <w:color w:val="auto"/>
          <w:sz w:val="21"/>
          <w:szCs w:val="21"/>
          <w:highlight w:val="none"/>
        </w:rPr>
        <w:t>与番禺区慈善会沟通后，由</w:t>
      </w:r>
      <w:r>
        <w:rPr>
          <w:rFonts w:hint="eastAsia" w:ascii="宋体" w:hAnsi="宋体" w:eastAsia="宋体" w:cs="宋体"/>
          <w:color w:val="auto"/>
          <w:sz w:val="21"/>
          <w:szCs w:val="21"/>
          <w:highlight w:val="none"/>
          <w:lang w:eastAsia="zh-CN"/>
        </w:rPr>
        <w:t>承办单位</w:t>
      </w:r>
      <w:r>
        <w:rPr>
          <w:rFonts w:hint="eastAsia" w:ascii="宋体" w:hAnsi="宋体" w:eastAsia="宋体" w:cs="宋体"/>
          <w:color w:val="auto"/>
          <w:sz w:val="21"/>
          <w:szCs w:val="21"/>
          <w:highlight w:val="none"/>
        </w:rPr>
        <w:t>进行解释及后续处理。如因</w:t>
      </w:r>
      <w:r>
        <w:rPr>
          <w:rFonts w:hint="eastAsia" w:ascii="宋体" w:hAnsi="宋体" w:eastAsia="宋体" w:cs="宋体"/>
          <w:color w:val="auto"/>
          <w:sz w:val="21"/>
          <w:szCs w:val="21"/>
          <w:highlight w:val="none"/>
          <w:lang w:eastAsia="zh-CN"/>
        </w:rPr>
        <w:t>承办单位</w:t>
      </w:r>
      <w:r>
        <w:rPr>
          <w:rFonts w:hint="eastAsia" w:ascii="宋体" w:hAnsi="宋体" w:eastAsia="宋体" w:cs="宋体"/>
          <w:color w:val="auto"/>
          <w:sz w:val="21"/>
          <w:szCs w:val="21"/>
          <w:highlight w:val="none"/>
        </w:rPr>
        <w:t>未按约定赔偿或者给付保险金，除支付保险金外，应当赔偿番禺区慈善会或需受救助人员由此受到的损失。如造成需受救助人员投诉、信访，</w:t>
      </w:r>
      <w:r>
        <w:rPr>
          <w:rFonts w:hint="eastAsia" w:ascii="宋体" w:hAnsi="宋体" w:eastAsia="宋体" w:cs="宋体"/>
          <w:color w:val="auto"/>
          <w:sz w:val="21"/>
          <w:szCs w:val="21"/>
          <w:highlight w:val="none"/>
          <w:lang w:eastAsia="zh-CN"/>
        </w:rPr>
        <w:t>承办单位</w:t>
      </w:r>
      <w:r>
        <w:rPr>
          <w:rFonts w:hint="eastAsia" w:ascii="宋体" w:hAnsi="宋体" w:eastAsia="宋体" w:cs="宋体"/>
          <w:color w:val="auto"/>
          <w:sz w:val="21"/>
          <w:szCs w:val="21"/>
          <w:highlight w:val="none"/>
        </w:rPr>
        <w:t>应积极应对处理，并消除由此给番禺区慈善会带来的影响。</w:t>
      </w:r>
      <w:r>
        <w:rPr>
          <w:rFonts w:hint="eastAsia" w:ascii="宋体" w:hAnsi="宋体" w:eastAsia="宋体" w:cs="宋体"/>
          <w:color w:val="auto"/>
          <w:sz w:val="21"/>
          <w:szCs w:val="21"/>
          <w:highlight w:val="none"/>
          <w:lang w:val="en-US" w:eastAsia="zh-CN"/>
        </w:rPr>
        <w:t>如在项目运营期间，出现投诉、信访次数共达5次，番禺区慈善会有权终止该项目的合作。</w:t>
      </w:r>
      <w:r>
        <w:rPr>
          <w:rFonts w:hint="eastAsia" w:ascii="宋体" w:hAnsi="宋体" w:eastAsia="宋体" w:cs="宋体"/>
          <w:color w:val="auto"/>
          <w:sz w:val="21"/>
          <w:szCs w:val="21"/>
          <w:highlight w:val="none"/>
        </w:rPr>
        <w:t>番禺区慈善会及</w:t>
      </w:r>
      <w:r>
        <w:rPr>
          <w:rFonts w:hint="eastAsia" w:ascii="宋体" w:hAnsi="宋体" w:eastAsia="宋体" w:cs="宋体"/>
          <w:color w:val="auto"/>
          <w:sz w:val="21"/>
          <w:szCs w:val="21"/>
          <w:highlight w:val="none"/>
          <w:lang w:eastAsia="zh-CN"/>
        </w:rPr>
        <w:t>承办单位</w:t>
      </w:r>
      <w:r>
        <w:rPr>
          <w:rFonts w:hint="eastAsia" w:ascii="宋体" w:hAnsi="宋体" w:eastAsia="宋体" w:cs="宋体"/>
          <w:color w:val="auto"/>
          <w:sz w:val="21"/>
          <w:szCs w:val="21"/>
          <w:highlight w:val="none"/>
        </w:rPr>
        <w:t>，凡因执行保险救助合作产生的一切争议，双方均应友好协商解决。如协商不能解决，双方均有权将争议提交给广州市番禺区人民法院。</w:t>
      </w:r>
    </w:p>
    <w:p>
      <w:pPr>
        <w:numPr>
          <w:ilvl w:val="0"/>
          <w:numId w:val="15"/>
        </w:numPr>
        <w:tabs>
          <w:tab w:val="left" w:pos="840"/>
          <w:tab w:val="clear" w:pos="312"/>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项目调节机制</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根据过往区救助情况及本年度救助方案进行测算，由</w:t>
      </w:r>
      <w:r>
        <w:rPr>
          <w:rFonts w:hint="eastAsia" w:ascii="宋体" w:hAnsi="宋体" w:eastAsia="宋体" w:cs="宋体"/>
          <w:color w:val="auto"/>
          <w:sz w:val="21"/>
          <w:szCs w:val="21"/>
          <w:highlight w:val="none"/>
          <w:lang w:val="en-US" w:eastAsia="zh-CN"/>
        </w:rPr>
        <w:t>番禺区</w:t>
      </w:r>
      <w:r>
        <w:rPr>
          <w:rFonts w:hint="eastAsia" w:ascii="宋体" w:hAnsi="宋体" w:eastAsia="宋体" w:cs="宋体"/>
          <w:color w:val="auto"/>
          <w:sz w:val="21"/>
          <w:szCs w:val="21"/>
          <w:highlight w:val="none"/>
        </w:rPr>
        <w:t>慈善会缴纳</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00万元保障服务资金，</w:t>
      </w:r>
      <w:r>
        <w:rPr>
          <w:rFonts w:hint="eastAsia" w:ascii="宋体" w:hAnsi="宋体" w:eastAsia="宋体" w:cs="宋体"/>
          <w:color w:val="auto"/>
          <w:sz w:val="21"/>
          <w:szCs w:val="21"/>
          <w:highlight w:val="none"/>
          <w:lang w:val="en-US" w:eastAsia="zh-CN"/>
        </w:rPr>
        <w:t>承办单位</w:t>
      </w:r>
      <w:r>
        <w:rPr>
          <w:rFonts w:hint="eastAsia" w:ascii="宋体" w:hAnsi="宋体" w:eastAsia="宋体" w:cs="宋体"/>
          <w:color w:val="auto"/>
          <w:sz w:val="21"/>
          <w:szCs w:val="21"/>
          <w:highlight w:val="none"/>
        </w:rPr>
        <w:t>负责项目运营，具体调节如下：</w:t>
      </w:r>
    </w:p>
    <w:p>
      <w:pPr>
        <w:keepNext w:val="0"/>
        <w:keepLines w:val="0"/>
        <w:pageBreakBefore w:val="0"/>
        <w:widowControl w:val="0"/>
        <w:kinsoku/>
        <w:wordWrap/>
        <w:overflowPunct/>
        <w:topLinePunct w:val="0"/>
        <w:autoSpaceDE/>
        <w:autoSpaceDN/>
        <w:bidi w:val="0"/>
        <w:adjustRightInd/>
        <w:snapToGrid/>
        <w:spacing w:line="360" w:lineRule="auto"/>
        <w:ind w:firstLine="640"/>
        <w:textAlignment w:val="auto"/>
        <w:rPr>
          <w:rFonts w:hint="eastAsia" w:ascii="宋体" w:hAnsi="宋体" w:eastAsia="宋体" w:cs="宋体"/>
          <w:kern w:val="0"/>
          <w:sz w:val="21"/>
          <w:szCs w:val="21"/>
          <w:highlight w:val="none"/>
          <w:lang w:val="en-US" w:eastAsia="zh-CN"/>
        </w:rPr>
      </w:pPr>
      <w:r>
        <w:rPr>
          <w:rFonts w:hint="eastAsia" w:ascii="宋体" w:hAnsi="宋体" w:eastAsia="宋体" w:cs="宋体"/>
          <w:sz w:val="21"/>
          <w:szCs w:val="21"/>
          <w:highlight w:val="none"/>
        </w:rPr>
        <w:t>（1）</w:t>
      </w:r>
      <w:r>
        <w:rPr>
          <w:rFonts w:hint="eastAsia" w:ascii="宋体" w:hAnsi="宋体" w:eastAsia="宋体" w:cs="宋体"/>
          <w:sz w:val="21"/>
          <w:szCs w:val="21"/>
          <w:highlight w:val="none"/>
          <w:lang w:val="en-US" w:eastAsia="zh-CN"/>
        </w:rPr>
        <w:t>若</w:t>
      </w:r>
      <w:r>
        <w:rPr>
          <w:rFonts w:hint="eastAsia" w:ascii="宋体" w:hAnsi="宋体" w:eastAsia="宋体" w:cs="宋体"/>
          <w:sz w:val="21"/>
          <w:szCs w:val="21"/>
          <w:highlight w:val="none"/>
        </w:rPr>
        <w:t>年度</w:t>
      </w:r>
      <w:r>
        <w:rPr>
          <w:rFonts w:hint="eastAsia" w:ascii="宋体" w:hAnsi="宋体" w:eastAsia="宋体" w:cs="宋体"/>
          <w:sz w:val="21"/>
          <w:szCs w:val="21"/>
          <w:highlight w:val="none"/>
          <w:lang w:val="en-US" w:eastAsia="zh-CN"/>
        </w:rPr>
        <w:t>核定救助</w:t>
      </w:r>
      <w:r>
        <w:rPr>
          <w:rFonts w:hint="eastAsia" w:ascii="宋体" w:hAnsi="宋体" w:eastAsia="宋体" w:cs="宋体"/>
          <w:sz w:val="21"/>
          <w:szCs w:val="21"/>
          <w:highlight w:val="none"/>
        </w:rPr>
        <w:t>金额</w:t>
      </w:r>
      <w:r>
        <w:rPr>
          <w:rFonts w:hint="eastAsia" w:ascii="宋体" w:hAnsi="宋体" w:eastAsia="宋体" w:cs="宋体"/>
          <w:sz w:val="21"/>
          <w:szCs w:val="21"/>
          <w:highlight w:val="none"/>
          <w:lang w:val="en-US" w:eastAsia="zh-CN"/>
        </w:rPr>
        <w:t>小</w:t>
      </w:r>
      <w:r>
        <w:rPr>
          <w:rFonts w:hint="eastAsia" w:ascii="宋体" w:hAnsi="宋体" w:eastAsia="宋体" w:cs="宋体"/>
          <w:sz w:val="21"/>
          <w:szCs w:val="21"/>
          <w:highlight w:val="none"/>
        </w:rPr>
        <w:t>于</w:t>
      </w:r>
      <w:r>
        <w:rPr>
          <w:rFonts w:hint="eastAsia" w:ascii="宋体" w:hAnsi="宋体" w:eastAsia="宋体" w:cs="宋体"/>
          <w:sz w:val="21"/>
          <w:szCs w:val="21"/>
          <w:highlight w:val="none"/>
          <w:lang w:val="en-US" w:eastAsia="zh-CN"/>
        </w:rPr>
        <w:t>或等于</w:t>
      </w:r>
      <w:r>
        <w:rPr>
          <w:rFonts w:hint="eastAsia" w:ascii="宋体" w:hAnsi="宋体" w:eastAsia="宋体" w:cs="宋体"/>
          <w:sz w:val="21"/>
          <w:szCs w:val="21"/>
          <w:highlight w:val="none"/>
        </w:rPr>
        <w:t>240万元。</w:t>
      </w:r>
      <w:r>
        <w:rPr>
          <w:rFonts w:hint="eastAsia" w:ascii="宋体" w:hAnsi="宋体" w:eastAsia="宋体" w:cs="宋体"/>
          <w:sz w:val="21"/>
          <w:szCs w:val="21"/>
          <w:highlight w:val="none"/>
          <w:lang w:val="en-US" w:eastAsia="zh-CN"/>
        </w:rPr>
        <w:t>年度核定</w:t>
      </w:r>
      <w:r>
        <w:rPr>
          <w:rFonts w:hint="eastAsia" w:ascii="宋体" w:hAnsi="宋体" w:eastAsia="宋体" w:cs="宋体"/>
          <w:sz w:val="21"/>
          <w:szCs w:val="21"/>
          <w:highlight w:val="none"/>
          <w:lang w:eastAsia="zh-CN"/>
        </w:rPr>
        <w:t>救助</w:t>
      </w:r>
      <w:r>
        <w:rPr>
          <w:rFonts w:hint="eastAsia" w:ascii="宋体" w:hAnsi="宋体" w:eastAsia="宋体" w:cs="宋体"/>
          <w:sz w:val="21"/>
          <w:szCs w:val="21"/>
          <w:highlight w:val="none"/>
        </w:rPr>
        <w:t>金额与300万元的差额部分，全</w:t>
      </w:r>
      <w:r>
        <w:rPr>
          <w:rFonts w:hint="eastAsia" w:ascii="宋体" w:hAnsi="宋体" w:eastAsia="宋体" w:cs="宋体"/>
          <w:sz w:val="21"/>
          <w:szCs w:val="21"/>
          <w:highlight w:val="none"/>
          <w:lang w:val="en-US" w:eastAsia="zh-CN"/>
        </w:rPr>
        <w:t>部</w:t>
      </w:r>
      <w:r>
        <w:rPr>
          <w:rFonts w:hint="eastAsia" w:ascii="宋体" w:hAnsi="宋体" w:eastAsia="宋体" w:cs="宋体"/>
          <w:sz w:val="21"/>
          <w:szCs w:val="21"/>
          <w:highlight w:val="none"/>
        </w:rPr>
        <w:t>转换</w:t>
      </w:r>
      <w:r>
        <w:rPr>
          <w:rFonts w:hint="eastAsia" w:ascii="宋体" w:hAnsi="宋体" w:eastAsia="宋体" w:cs="宋体"/>
          <w:sz w:val="21"/>
          <w:szCs w:val="21"/>
          <w:highlight w:val="none"/>
          <w:lang w:val="en-US" w:eastAsia="zh-CN"/>
        </w:rPr>
        <w:t>到下一年度项目救助经费</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如年度核定救助金额为235万元，差额部分的65万元则全部转换到下一年度项目救助经费。</w:t>
      </w:r>
    </w:p>
    <w:p>
      <w:pPr>
        <w:keepNext w:val="0"/>
        <w:keepLines w:val="0"/>
        <w:pageBreakBefore w:val="0"/>
        <w:widowControl w:val="0"/>
        <w:kinsoku/>
        <w:wordWrap/>
        <w:overflowPunct/>
        <w:topLinePunct w:val="0"/>
        <w:autoSpaceDE/>
        <w:autoSpaceDN/>
        <w:bidi w:val="0"/>
        <w:adjustRightInd/>
        <w:snapToGrid/>
        <w:spacing w:line="360" w:lineRule="auto"/>
        <w:ind w:firstLine="640"/>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eastAsia="宋体" w:cs="宋体"/>
          <w:sz w:val="21"/>
          <w:szCs w:val="21"/>
          <w:highlight w:val="none"/>
          <w:lang w:val="en-US" w:eastAsia="zh-CN"/>
        </w:rPr>
        <w:t>若</w:t>
      </w:r>
      <w:r>
        <w:rPr>
          <w:rFonts w:hint="eastAsia" w:ascii="宋体" w:hAnsi="宋体" w:eastAsia="宋体" w:cs="宋体"/>
          <w:sz w:val="21"/>
          <w:szCs w:val="21"/>
          <w:highlight w:val="none"/>
        </w:rPr>
        <w:t>年度</w:t>
      </w:r>
      <w:r>
        <w:rPr>
          <w:rFonts w:hint="eastAsia" w:ascii="宋体" w:hAnsi="宋体" w:eastAsia="宋体" w:cs="宋体"/>
          <w:sz w:val="21"/>
          <w:szCs w:val="21"/>
          <w:highlight w:val="none"/>
          <w:lang w:val="en-US" w:eastAsia="zh-CN"/>
        </w:rPr>
        <w:t>核定</w:t>
      </w:r>
      <w:r>
        <w:rPr>
          <w:rFonts w:hint="eastAsia" w:ascii="宋体" w:hAnsi="宋体" w:eastAsia="宋体" w:cs="宋体"/>
          <w:sz w:val="21"/>
          <w:szCs w:val="21"/>
          <w:highlight w:val="none"/>
          <w:lang w:eastAsia="zh-CN"/>
        </w:rPr>
        <w:t>救助</w:t>
      </w:r>
      <w:r>
        <w:rPr>
          <w:rFonts w:hint="eastAsia" w:ascii="宋体" w:hAnsi="宋体" w:eastAsia="宋体" w:cs="宋体"/>
          <w:sz w:val="21"/>
          <w:szCs w:val="21"/>
          <w:highlight w:val="none"/>
        </w:rPr>
        <w:t>金额</w:t>
      </w:r>
      <w:r>
        <w:rPr>
          <w:rFonts w:hint="eastAsia" w:ascii="宋体" w:hAnsi="宋体" w:eastAsia="宋体" w:cs="宋体"/>
          <w:sz w:val="21"/>
          <w:szCs w:val="21"/>
          <w:highlight w:val="none"/>
          <w:lang w:val="en-US" w:eastAsia="zh-CN"/>
        </w:rPr>
        <w:t>大于</w:t>
      </w:r>
      <w:r>
        <w:rPr>
          <w:rFonts w:hint="eastAsia" w:ascii="宋体" w:hAnsi="宋体" w:eastAsia="宋体" w:cs="宋体"/>
          <w:sz w:val="21"/>
          <w:szCs w:val="21"/>
          <w:highlight w:val="none"/>
        </w:rPr>
        <w:t>240万元</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且小于或等于285万元</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年度核定</w:t>
      </w:r>
      <w:r>
        <w:rPr>
          <w:rFonts w:hint="eastAsia" w:ascii="宋体" w:hAnsi="宋体" w:eastAsia="宋体" w:cs="宋体"/>
          <w:sz w:val="21"/>
          <w:szCs w:val="21"/>
          <w:highlight w:val="none"/>
          <w:lang w:eastAsia="zh-CN"/>
        </w:rPr>
        <w:t>救助</w:t>
      </w:r>
      <w:r>
        <w:rPr>
          <w:rFonts w:hint="eastAsia" w:ascii="宋体" w:hAnsi="宋体" w:eastAsia="宋体" w:cs="宋体"/>
          <w:sz w:val="21"/>
          <w:szCs w:val="21"/>
          <w:highlight w:val="none"/>
        </w:rPr>
        <w:t>金额</w:t>
      </w:r>
      <w:r>
        <w:rPr>
          <w:rFonts w:hint="eastAsia" w:ascii="宋体" w:hAnsi="宋体" w:eastAsia="宋体" w:cs="宋体"/>
          <w:sz w:val="21"/>
          <w:szCs w:val="21"/>
          <w:highlight w:val="none"/>
          <w:lang w:val="en-US" w:eastAsia="zh-CN"/>
        </w:rPr>
        <w:t>的5%作为承办单位的项目执行费，剩余部分则全部转换到下一年度项目救助经费。如年度核定救助金额为260万元，承办单位的项目执行费为13万元，剩余部分27万元则转换到下一年度项目救助经费。</w:t>
      </w:r>
    </w:p>
    <w:p>
      <w:pPr>
        <w:keepNext w:val="0"/>
        <w:keepLines w:val="0"/>
        <w:pageBreakBefore w:val="0"/>
        <w:widowControl w:val="0"/>
        <w:kinsoku/>
        <w:wordWrap/>
        <w:overflowPunct/>
        <w:topLinePunct w:val="0"/>
        <w:autoSpaceDE/>
        <w:autoSpaceDN/>
        <w:bidi w:val="0"/>
        <w:adjustRightInd/>
        <w:snapToGrid/>
        <w:spacing w:line="360" w:lineRule="auto"/>
        <w:ind w:firstLine="640"/>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（3）</w:t>
      </w:r>
      <w:r>
        <w:rPr>
          <w:rFonts w:hint="eastAsia" w:ascii="宋体" w:hAnsi="宋体" w:eastAsia="宋体" w:cs="宋体"/>
          <w:sz w:val="21"/>
          <w:szCs w:val="21"/>
          <w:highlight w:val="none"/>
          <w:lang w:val="en-US" w:eastAsia="zh-CN"/>
        </w:rPr>
        <w:t>若</w:t>
      </w:r>
      <w:r>
        <w:rPr>
          <w:rFonts w:hint="eastAsia" w:ascii="宋体" w:hAnsi="宋体" w:eastAsia="宋体" w:cs="宋体"/>
          <w:sz w:val="21"/>
          <w:szCs w:val="21"/>
          <w:highlight w:val="none"/>
        </w:rPr>
        <w:t>年度</w:t>
      </w:r>
      <w:r>
        <w:rPr>
          <w:rFonts w:hint="eastAsia" w:ascii="宋体" w:hAnsi="宋体" w:eastAsia="宋体" w:cs="宋体"/>
          <w:sz w:val="21"/>
          <w:szCs w:val="21"/>
          <w:highlight w:val="none"/>
          <w:lang w:val="en-US" w:eastAsia="zh-CN"/>
        </w:rPr>
        <w:t>核定</w:t>
      </w:r>
      <w:r>
        <w:rPr>
          <w:rFonts w:hint="eastAsia" w:ascii="宋体" w:hAnsi="宋体" w:eastAsia="宋体" w:cs="宋体"/>
          <w:sz w:val="21"/>
          <w:szCs w:val="21"/>
          <w:highlight w:val="none"/>
          <w:lang w:eastAsia="zh-CN"/>
        </w:rPr>
        <w:t>救助</w:t>
      </w:r>
      <w:r>
        <w:rPr>
          <w:rFonts w:hint="eastAsia" w:ascii="宋体" w:hAnsi="宋体" w:eastAsia="宋体" w:cs="宋体"/>
          <w:sz w:val="21"/>
          <w:szCs w:val="21"/>
          <w:highlight w:val="none"/>
        </w:rPr>
        <w:t>金额</w:t>
      </w:r>
      <w:r>
        <w:rPr>
          <w:rFonts w:hint="eastAsia" w:ascii="宋体" w:hAnsi="宋体" w:eastAsia="宋体" w:cs="宋体"/>
          <w:sz w:val="21"/>
          <w:szCs w:val="21"/>
          <w:highlight w:val="none"/>
          <w:lang w:val="en-US" w:eastAsia="zh-CN"/>
        </w:rPr>
        <w:t>大于</w:t>
      </w:r>
      <w:r>
        <w:rPr>
          <w:rFonts w:hint="eastAsia" w:ascii="宋体" w:hAnsi="宋体" w:eastAsia="宋体" w:cs="宋体"/>
          <w:sz w:val="21"/>
          <w:szCs w:val="21"/>
          <w:highlight w:val="none"/>
        </w:rPr>
        <w:t>2</w:t>
      </w:r>
      <w:r>
        <w:rPr>
          <w:rFonts w:hint="eastAsia" w:ascii="宋体" w:hAnsi="宋体" w:eastAsia="宋体" w:cs="宋体"/>
          <w:sz w:val="21"/>
          <w:szCs w:val="21"/>
          <w:highlight w:val="none"/>
          <w:lang w:val="en-US" w:eastAsia="zh-CN"/>
        </w:rPr>
        <w:t>85</w:t>
      </w:r>
      <w:r>
        <w:rPr>
          <w:rFonts w:hint="eastAsia" w:ascii="宋体" w:hAnsi="宋体" w:eastAsia="宋体" w:cs="宋体"/>
          <w:sz w:val="21"/>
          <w:szCs w:val="21"/>
          <w:highlight w:val="none"/>
        </w:rPr>
        <w:t>万元</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且小于或等于300万元</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年度核定救助金额与300万元的差额部分则为承办单位的项目执行费。如年度核定救助金额为286万元，承办单位的项目执行费则为14万元。</w:t>
      </w:r>
    </w:p>
    <w:p>
      <w:pPr>
        <w:keepNext w:val="0"/>
        <w:keepLines w:val="0"/>
        <w:pageBreakBefore w:val="0"/>
        <w:widowControl w:val="0"/>
        <w:kinsoku/>
        <w:wordWrap/>
        <w:overflowPunct/>
        <w:topLinePunct w:val="0"/>
        <w:autoSpaceDE/>
        <w:autoSpaceDN/>
        <w:bidi w:val="0"/>
        <w:adjustRightInd/>
        <w:snapToGrid/>
        <w:spacing w:line="360" w:lineRule="auto"/>
        <w:ind w:firstLine="640"/>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（4）</w:t>
      </w:r>
      <w:r>
        <w:rPr>
          <w:rFonts w:hint="eastAsia" w:ascii="宋体" w:hAnsi="宋体" w:eastAsia="宋体" w:cs="宋体"/>
          <w:sz w:val="21"/>
          <w:szCs w:val="21"/>
          <w:highlight w:val="none"/>
          <w:lang w:val="en-US" w:eastAsia="zh-CN"/>
        </w:rPr>
        <w:t>若年度核定救助金额大于300万元，且小于或等于360万元，年度核定救助金额与300万元的差额部分，由承办单位按100%比例承担。</w:t>
      </w:r>
    </w:p>
    <w:p>
      <w:pPr>
        <w:keepNext w:val="0"/>
        <w:keepLines w:val="0"/>
        <w:pageBreakBefore w:val="0"/>
        <w:widowControl w:val="0"/>
        <w:kinsoku/>
        <w:wordWrap/>
        <w:overflowPunct/>
        <w:topLinePunct w:val="0"/>
        <w:autoSpaceDE/>
        <w:autoSpaceDN/>
        <w:bidi w:val="0"/>
        <w:adjustRightInd/>
        <w:snapToGrid/>
        <w:spacing w:line="360" w:lineRule="auto"/>
        <w:ind w:firstLine="64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若</w:t>
      </w:r>
      <w:r>
        <w:rPr>
          <w:rFonts w:hint="eastAsia" w:ascii="宋体" w:hAnsi="宋体" w:eastAsia="宋体" w:cs="宋体"/>
          <w:sz w:val="21"/>
          <w:szCs w:val="21"/>
          <w:highlight w:val="none"/>
        </w:rPr>
        <w:t>年度</w:t>
      </w:r>
      <w:r>
        <w:rPr>
          <w:rFonts w:hint="eastAsia" w:ascii="宋体" w:hAnsi="宋体" w:eastAsia="宋体" w:cs="宋体"/>
          <w:sz w:val="21"/>
          <w:szCs w:val="21"/>
          <w:highlight w:val="none"/>
          <w:lang w:val="en-US" w:eastAsia="zh-CN"/>
        </w:rPr>
        <w:t>核定</w:t>
      </w:r>
      <w:r>
        <w:rPr>
          <w:rFonts w:hint="eastAsia" w:ascii="宋体" w:hAnsi="宋体" w:eastAsia="宋体" w:cs="宋体"/>
          <w:sz w:val="21"/>
          <w:szCs w:val="21"/>
          <w:highlight w:val="none"/>
          <w:lang w:eastAsia="zh-CN"/>
        </w:rPr>
        <w:t>救助</w:t>
      </w:r>
      <w:r>
        <w:rPr>
          <w:rFonts w:hint="eastAsia" w:ascii="宋体" w:hAnsi="宋体" w:eastAsia="宋体" w:cs="宋体"/>
          <w:sz w:val="21"/>
          <w:szCs w:val="21"/>
          <w:highlight w:val="none"/>
        </w:rPr>
        <w:t>金额</w:t>
      </w:r>
      <w:r>
        <w:rPr>
          <w:rFonts w:hint="eastAsia" w:ascii="宋体" w:hAnsi="宋体" w:eastAsia="宋体" w:cs="宋体"/>
          <w:sz w:val="21"/>
          <w:szCs w:val="21"/>
          <w:highlight w:val="none"/>
          <w:lang w:val="en-US" w:eastAsia="zh-CN"/>
        </w:rPr>
        <w:t>大于</w:t>
      </w:r>
      <w:r>
        <w:rPr>
          <w:rFonts w:hint="eastAsia" w:ascii="宋体" w:hAnsi="宋体" w:eastAsia="宋体" w:cs="宋体"/>
          <w:sz w:val="21"/>
          <w:szCs w:val="21"/>
          <w:highlight w:val="none"/>
        </w:rPr>
        <w:t>360万元</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且小于或等于450万元</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年度核定</w:t>
      </w:r>
      <w:r>
        <w:rPr>
          <w:rFonts w:hint="eastAsia" w:ascii="宋体" w:hAnsi="宋体" w:eastAsia="宋体" w:cs="宋体"/>
          <w:sz w:val="21"/>
          <w:szCs w:val="21"/>
          <w:highlight w:val="none"/>
          <w:lang w:eastAsia="zh-CN"/>
        </w:rPr>
        <w:t>救助</w:t>
      </w:r>
      <w:r>
        <w:rPr>
          <w:rFonts w:hint="eastAsia" w:ascii="宋体" w:hAnsi="宋体" w:eastAsia="宋体" w:cs="宋体"/>
          <w:sz w:val="21"/>
          <w:szCs w:val="21"/>
          <w:highlight w:val="none"/>
        </w:rPr>
        <w:t>金额与3</w:t>
      </w:r>
      <w:r>
        <w:rPr>
          <w:rFonts w:hint="eastAsia" w:ascii="宋体" w:hAnsi="宋体" w:eastAsia="宋体" w:cs="宋体"/>
          <w:sz w:val="21"/>
          <w:szCs w:val="21"/>
          <w:highlight w:val="none"/>
          <w:lang w:val="en-US" w:eastAsia="zh-CN"/>
        </w:rPr>
        <w:t>0</w:t>
      </w:r>
      <w:r>
        <w:rPr>
          <w:rFonts w:hint="eastAsia" w:ascii="宋体" w:hAnsi="宋体" w:eastAsia="宋体" w:cs="宋体"/>
          <w:sz w:val="21"/>
          <w:szCs w:val="21"/>
          <w:highlight w:val="none"/>
        </w:rPr>
        <w:t>0万元的差额部分，由</w:t>
      </w:r>
      <w:r>
        <w:rPr>
          <w:rFonts w:hint="eastAsia" w:ascii="宋体" w:hAnsi="宋体" w:eastAsia="宋体" w:cs="宋体"/>
          <w:sz w:val="21"/>
          <w:szCs w:val="21"/>
          <w:highlight w:val="none"/>
          <w:lang w:val="en-US" w:eastAsia="zh-CN"/>
        </w:rPr>
        <w:t>番禺区</w:t>
      </w:r>
      <w:r>
        <w:rPr>
          <w:rFonts w:hint="eastAsia" w:ascii="宋体" w:hAnsi="宋体" w:eastAsia="宋体" w:cs="宋体"/>
          <w:sz w:val="21"/>
          <w:szCs w:val="21"/>
          <w:highlight w:val="none"/>
        </w:rPr>
        <w:t>慈善会和</w:t>
      </w:r>
      <w:r>
        <w:rPr>
          <w:rFonts w:hint="eastAsia" w:ascii="宋体" w:hAnsi="宋体" w:eastAsia="宋体" w:cs="宋体"/>
          <w:sz w:val="21"/>
          <w:szCs w:val="21"/>
          <w:highlight w:val="none"/>
          <w:lang w:eastAsia="zh-CN"/>
        </w:rPr>
        <w:t>承办单位</w:t>
      </w:r>
      <w:r>
        <w:rPr>
          <w:rFonts w:hint="eastAsia" w:ascii="宋体" w:hAnsi="宋体" w:eastAsia="宋体" w:cs="宋体"/>
          <w:sz w:val="21"/>
          <w:szCs w:val="21"/>
          <w:highlight w:val="none"/>
        </w:rPr>
        <w:t>按70%和30%比例承担</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即</w:t>
      </w:r>
      <w:r>
        <w:rPr>
          <w:rFonts w:hint="eastAsia" w:ascii="宋体" w:hAnsi="宋体" w:eastAsia="宋体" w:cs="宋体"/>
          <w:sz w:val="21"/>
          <w:szCs w:val="21"/>
          <w:highlight w:val="none"/>
          <w:lang w:val="en-US" w:eastAsia="zh-CN"/>
        </w:rPr>
        <w:t>番禺区</w:t>
      </w:r>
      <w:r>
        <w:rPr>
          <w:rFonts w:hint="eastAsia" w:ascii="宋体" w:hAnsi="宋体" w:eastAsia="宋体" w:cs="宋体"/>
          <w:sz w:val="21"/>
          <w:szCs w:val="21"/>
          <w:highlight w:val="none"/>
        </w:rPr>
        <w:t>慈善会需补缴差额部分的70%作为</w:t>
      </w:r>
      <w:r>
        <w:rPr>
          <w:rFonts w:hint="eastAsia" w:ascii="宋体" w:hAnsi="宋体" w:eastAsia="宋体" w:cs="宋体"/>
          <w:sz w:val="21"/>
          <w:szCs w:val="21"/>
          <w:highlight w:val="none"/>
          <w:lang w:val="en-US" w:eastAsia="zh-CN"/>
        </w:rPr>
        <w:t>项目补充费用</w:t>
      </w:r>
      <w:r>
        <w:rPr>
          <w:rFonts w:hint="eastAsia" w:ascii="宋体" w:hAnsi="宋体" w:eastAsia="宋体" w:cs="宋体"/>
          <w:sz w:val="21"/>
          <w:szCs w:val="21"/>
          <w:highlight w:val="none"/>
        </w:rPr>
        <w:t>。</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6）若年度核定救助金额大于450万元，年度核定救助金额与300万元的差额部分，承办单位承担45万元，其余由番禺区慈善会承担，即番禺区慈善会需补缴一定数额经费作为项目补充费用。如年度核定救助金额为460万元，承担单位承担45万元，番禺区慈善会需承担并补缴115万元。</w:t>
      </w:r>
    </w:p>
    <w:p>
      <w:pPr>
        <w:numPr>
          <w:ilvl w:val="0"/>
          <w:numId w:val="0"/>
        </w:num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合作周期计划</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拟先达成</w:t>
      </w:r>
      <w:r>
        <w:rPr>
          <w:rFonts w:hint="eastAsia" w:ascii="宋体" w:hAnsi="宋体" w:eastAsia="宋体" w:cs="宋体"/>
          <w:color w:val="auto"/>
          <w:sz w:val="21"/>
          <w:szCs w:val="21"/>
          <w:highlight w:val="none"/>
          <w:lang w:val="en-US" w:eastAsia="zh-CN"/>
        </w:rPr>
        <w:t>三</w:t>
      </w:r>
      <w:r>
        <w:rPr>
          <w:rFonts w:hint="eastAsia" w:ascii="宋体" w:hAnsi="宋体" w:eastAsia="宋体" w:cs="宋体"/>
          <w:color w:val="auto"/>
          <w:sz w:val="21"/>
          <w:szCs w:val="21"/>
          <w:highlight w:val="none"/>
        </w:rPr>
        <w:t>年期合作意向，目前先定下首年预算，后续根据上述项目调节机制及项目运营具体情况需求，在每年度合同到期前两个月开始下年合作探讨。</w:t>
      </w:r>
    </w:p>
    <w:p>
      <w:pPr>
        <w:numPr>
          <w:ilvl w:val="0"/>
          <w:numId w:val="11"/>
        </w:num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项目预算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本项目拟通过公开招标形式采购第三方服务，项目费用共计300万元，涵盖</w:t>
      </w:r>
      <w:r>
        <w:rPr>
          <w:rFonts w:hint="eastAsia" w:ascii="宋体" w:hAnsi="宋体" w:eastAsia="宋体" w:cs="宋体"/>
          <w:color w:val="auto"/>
          <w:sz w:val="21"/>
          <w:szCs w:val="21"/>
          <w:highlight w:val="none"/>
        </w:rPr>
        <w:t>来穗务工人员重大疾病医疗救助</w:t>
      </w:r>
      <w:r>
        <w:rPr>
          <w:rFonts w:hint="eastAsia" w:ascii="宋体" w:hAnsi="宋体" w:eastAsia="宋体" w:cs="宋体"/>
          <w:color w:val="auto"/>
          <w:sz w:val="21"/>
          <w:szCs w:val="21"/>
          <w:highlight w:val="none"/>
          <w:lang w:val="en-US" w:eastAsia="zh-CN"/>
        </w:rPr>
        <w:t>费用</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医疗救助</w:t>
      </w:r>
      <w:r>
        <w:rPr>
          <w:rFonts w:hint="eastAsia" w:ascii="宋体" w:hAnsi="宋体" w:eastAsia="宋体" w:cs="宋体"/>
          <w:color w:val="auto"/>
          <w:sz w:val="21"/>
          <w:szCs w:val="21"/>
          <w:highlight w:val="none"/>
          <w:lang w:val="en-US" w:eastAsia="zh-CN"/>
        </w:rPr>
        <w:t>费用</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临时生活困难救助</w:t>
      </w:r>
      <w:r>
        <w:rPr>
          <w:rFonts w:hint="eastAsia" w:ascii="宋体" w:hAnsi="宋体" w:eastAsia="宋体" w:cs="宋体"/>
          <w:color w:val="auto"/>
          <w:sz w:val="21"/>
          <w:szCs w:val="21"/>
          <w:highlight w:val="none"/>
          <w:lang w:val="en-US" w:eastAsia="zh-CN"/>
        </w:rPr>
        <w:t>费用</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助学救助</w:t>
      </w:r>
      <w:r>
        <w:rPr>
          <w:rFonts w:hint="eastAsia" w:ascii="宋体" w:hAnsi="宋体" w:eastAsia="宋体" w:cs="宋体"/>
          <w:color w:val="auto"/>
          <w:sz w:val="21"/>
          <w:szCs w:val="21"/>
          <w:highlight w:val="none"/>
          <w:lang w:val="en-US" w:eastAsia="zh-CN"/>
        </w:rPr>
        <w:t>费用。</w:t>
      </w:r>
    </w:p>
    <w:p>
      <w:pPr>
        <w:numPr>
          <w:ilvl w:val="0"/>
          <w:numId w:val="11"/>
        </w:num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各分项救助内容</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2"/>
        <w:gridCol w:w="1132"/>
        <w:gridCol w:w="4309"/>
        <w:gridCol w:w="2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2" w:type="dxa"/>
            <w:noWrap w:val="0"/>
            <w:vAlign w:val="center"/>
          </w:tcPr>
          <w:p>
            <w:pPr>
              <w:pStyle w:val="35"/>
              <w:widowControl/>
              <w:adjustRightInd w:val="0"/>
              <w:snapToGrid w:val="0"/>
              <w:spacing w:line="360" w:lineRule="auto"/>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保障项目</w:t>
            </w:r>
          </w:p>
        </w:tc>
        <w:tc>
          <w:tcPr>
            <w:tcW w:w="1132" w:type="dxa"/>
            <w:noWrap w:val="0"/>
            <w:vAlign w:val="center"/>
          </w:tcPr>
          <w:p>
            <w:pPr>
              <w:pStyle w:val="35"/>
              <w:widowControl/>
              <w:adjustRightInd w:val="0"/>
              <w:snapToGrid w:val="0"/>
              <w:spacing w:line="360" w:lineRule="auto"/>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保障</w:t>
            </w:r>
          </w:p>
          <w:p>
            <w:pPr>
              <w:pStyle w:val="35"/>
              <w:widowControl/>
              <w:adjustRightInd w:val="0"/>
              <w:snapToGrid w:val="0"/>
              <w:spacing w:line="360" w:lineRule="auto"/>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金额</w:t>
            </w:r>
          </w:p>
        </w:tc>
        <w:tc>
          <w:tcPr>
            <w:tcW w:w="6616" w:type="dxa"/>
            <w:gridSpan w:val="2"/>
            <w:noWrap w:val="0"/>
            <w:vAlign w:val="center"/>
          </w:tcPr>
          <w:p>
            <w:pPr>
              <w:pStyle w:val="35"/>
              <w:widowControl/>
              <w:adjustRightInd w:val="0"/>
              <w:snapToGrid w:val="0"/>
              <w:spacing w:line="360" w:lineRule="auto"/>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保障说明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2" w:type="dxa"/>
            <w:noWrap w:val="0"/>
            <w:vAlign w:val="top"/>
          </w:tcPr>
          <w:p>
            <w:pPr>
              <w:pStyle w:val="35"/>
              <w:widowControl/>
              <w:adjustRightInd w:val="0"/>
              <w:snapToGrid w:val="0"/>
              <w:spacing w:line="360" w:lineRule="auto"/>
              <w:ind w:firstLine="0" w:firstLineChars="0"/>
              <w:rPr>
                <w:rFonts w:hint="eastAsia" w:ascii="宋体" w:hAnsi="宋体" w:eastAsia="宋体" w:cs="宋体"/>
                <w:b/>
                <w:color w:val="auto"/>
                <w:sz w:val="21"/>
                <w:szCs w:val="21"/>
                <w:highlight w:val="none"/>
              </w:rPr>
            </w:pPr>
          </w:p>
          <w:p>
            <w:pPr>
              <w:pStyle w:val="35"/>
              <w:widowControl/>
              <w:adjustRightInd w:val="0"/>
              <w:snapToGrid w:val="0"/>
              <w:spacing w:line="360" w:lineRule="auto"/>
              <w:ind w:firstLine="0" w:firstLineChars="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来穗务工人员重大疾病医疗救助</w:t>
            </w:r>
          </w:p>
        </w:tc>
        <w:tc>
          <w:tcPr>
            <w:tcW w:w="1132" w:type="dxa"/>
            <w:noWrap w:val="0"/>
            <w:vAlign w:val="top"/>
          </w:tcPr>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50000元</w:t>
            </w:r>
          </w:p>
        </w:tc>
        <w:tc>
          <w:tcPr>
            <w:tcW w:w="6616" w:type="dxa"/>
            <w:gridSpan w:val="2"/>
            <w:noWrap w:val="0"/>
            <w:vAlign w:val="top"/>
          </w:tcPr>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保障人员范围内人员患有重大疾病，已享受社会医疗保险、城镇居民基本医疗保险、新型农村合作医疗、政府医疗救助以及其他专项救助后，其家庭生活困难的，</w:t>
            </w:r>
            <w:r>
              <w:rPr>
                <w:rFonts w:hint="eastAsia" w:ascii="宋体" w:hAnsi="宋体" w:eastAsia="宋体" w:cs="宋体"/>
                <w:color w:val="auto"/>
                <w:sz w:val="21"/>
                <w:szCs w:val="21"/>
                <w:highlight w:val="none"/>
                <w:lang w:val="en-US" w:eastAsia="zh-CN"/>
              </w:rPr>
              <w:t>承办单位</w:t>
            </w:r>
            <w:r>
              <w:rPr>
                <w:rFonts w:hint="eastAsia" w:ascii="宋体" w:hAnsi="宋体" w:eastAsia="宋体" w:cs="宋体"/>
                <w:color w:val="auto"/>
                <w:sz w:val="21"/>
                <w:szCs w:val="21"/>
                <w:highlight w:val="none"/>
              </w:rPr>
              <w:t>提供自申请之日止前6个月发生的（因意外事故造成身体伤害申请的不受此限制）医疗费用救助金。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232" w:type="dxa"/>
            <w:vMerge w:val="restart"/>
            <w:noWrap w:val="0"/>
            <w:vAlign w:val="top"/>
          </w:tcPr>
          <w:p>
            <w:pPr>
              <w:pStyle w:val="35"/>
              <w:widowControl/>
              <w:adjustRightInd w:val="0"/>
              <w:snapToGrid w:val="0"/>
              <w:spacing w:line="360" w:lineRule="auto"/>
              <w:ind w:firstLine="0" w:firstLineChars="0"/>
              <w:rPr>
                <w:rFonts w:hint="eastAsia" w:ascii="宋体" w:hAnsi="宋体" w:eastAsia="宋体" w:cs="宋体"/>
                <w:b/>
                <w:color w:val="auto"/>
                <w:sz w:val="21"/>
                <w:szCs w:val="21"/>
                <w:highlight w:val="none"/>
              </w:rPr>
            </w:pPr>
          </w:p>
          <w:p>
            <w:pPr>
              <w:pStyle w:val="35"/>
              <w:widowControl/>
              <w:adjustRightInd w:val="0"/>
              <w:snapToGrid w:val="0"/>
              <w:spacing w:line="360" w:lineRule="auto"/>
              <w:ind w:firstLine="0" w:firstLineChars="0"/>
              <w:rPr>
                <w:rFonts w:hint="eastAsia" w:ascii="宋体" w:hAnsi="宋体" w:eastAsia="宋体" w:cs="宋体"/>
                <w:b/>
                <w:color w:val="auto"/>
                <w:sz w:val="21"/>
                <w:szCs w:val="21"/>
                <w:highlight w:val="none"/>
              </w:rPr>
            </w:pPr>
          </w:p>
          <w:p>
            <w:pPr>
              <w:pStyle w:val="35"/>
              <w:widowControl/>
              <w:adjustRightInd w:val="0"/>
              <w:snapToGrid w:val="0"/>
              <w:spacing w:line="360" w:lineRule="auto"/>
              <w:ind w:firstLine="0" w:firstLineChars="0"/>
              <w:rPr>
                <w:rFonts w:hint="eastAsia" w:ascii="宋体" w:hAnsi="宋体" w:eastAsia="宋体" w:cs="宋体"/>
                <w:b/>
                <w:color w:val="auto"/>
                <w:sz w:val="21"/>
                <w:szCs w:val="21"/>
                <w:highlight w:val="none"/>
              </w:rPr>
            </w:pPr>
          </w:p>
          <w:p>
            <w:pPr>
              <w:pStyle w:val="35"/>
              <w:widowControl/>
              <w:adjustRightInd w:val="0"/>
              <w:snapToGrid w:val="0"/>
              <w:spacing w:line="360" w:lineRule="auto"/>
              <w:ind w:firstLine="0" w:firstLineChars="0"/>
              <w:rPr>
                <w:rFonts w:hint="eastAsia" w:ascii="宋体" w:hAnsi="宋体" w:eastAsia="宋体" w:cs="宋体"/>
                <w:b/>
                <w:color w:val="auto"/>
                <w:sz w:val="21"/>
                <w:szCs w:val="21"/>
                <w:highlight w:val="none"/>
              </w:rPr>
            </w:pPr>
          </w:p>
          <w:p>
            <w:pPr>
              <w:pStyle w:val="35"/>
              <w:widowControl/>
              <w:adjustRightInd w:val="0"/>
              <w:snapToGrid w:val="0"/>
              <w:spacing w:line="360" w:lineRule="auto"/>
              <w:ind w:firstLine="0" w:firstLineChars="0"/>
              <w:rPr>
                <w:rFonts w:hint="eastAsia" w:ascii="宋体" w:hAnsi="宋体" w:eastAsia="宋体" w:cs="宋体"/>
                <w:b/>
                <w:color w:val="auto"/>
                <w:sz w:val="21"/>
                <w:szCs w:val="21"/>
                <w:highlight w:val="none"/>
              </w:rPr>
            </w:pPr>
          </w:p>
          <w:p>
            <w:pPr>
              <w:pStyle w:val="35"/>
              <w:widowControl/>
              <w:adjustRightInd w:val="0"/>
              <w:snapToGrid w:val="0"/>
              <w:spacing w:line="360" w:lineRule="auto"/>
              <w:ind w:firstLine="0" w:firstLineChars="0"/>
              <w:rPr>
                <w:rFonts w:hint="eastAsia" w:ascii="宋体" w:hAnsi="宋体" w:eastAsia="宋体" w:cs="宋体"/>
                <w:b/>
                <w:color w:val="auto"/>
                <w:sz w:val="21"/>
                <w:szCs w:val="21"/>
                <w:highlight w:val="none"/>
              </w:rPr>
            </w:pPr>
          </w:p>
          <w:p>
            <w:pPr>
              <w:pStyle w:val="35"/>
              <w:widowControl/>
              <w:adjustRightInd w:val="0"/>
              <w:snapToGrid w:val="0"/>
              <w:spacing w:line="360" w:lineRule="auto"/>
              <w:ind w:firstLine="0" w:firstLineChars="0"/>
              <w:rPr>
                <w:rFonts w:hint="eastAsia" w:ascii="宋体" w:hAnsi="宋体" w:eastAsia="宋体" w:cs="宋体"/>
                <w:b/>
                <w:color w:val="auto"/>
                <w:sz w:val="21"/>
                <w:szCs w:val="21"/>
                <w:highlight w:val="none"/>
              </w:rPr>
            </w:pPr>
          </w:p>
          <w:p>
            <w:pPr>
              <w:pStyle w:val="35"/>
              <w:widowControl/>
              <w:adjustRightInd w:val="0"/>
              <w:snapToGrid w:val="0"/>
              <w:spacing w:line="360" w:lineRule="auto"/>
              <w:ind w:firstLine="0" w:firstLineChars="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医疗救助</w:t>
            </w:r>
          </w:p>
        </w:tc>
        <w:tc>
          <w:tcPr>
            <w:tcW w:w="1132" w:type="dxa"/>
            <w:vMerge w:val="restart"/>
            <w:noWrap w:val="0"/>
            <w:vAlign w:val="top"/>
          </w:tcPr>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50000元</w:t>
            </w:r>
          </w:p>
        </w:tc>
        <w:tc>
          <w:tcPr>
            <w:tcW w:w="4309" w:type="dxa"/>
            <w:noWrap w:val="0"/>
            <w:vAlign w:val="top"/>
          </w:tcPr>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低保、特困人员、孤儿、事实无人抚养儿童个人申请本医疗救助的，不超过其个人自付医疗费用的90%给予救助</w:t>
            </w:r>
          </w:p>
        </w:tc>
        <w:tc>
          <w:tcPr>
            <w:tcW w:w="2307" w:type="dxa"/>
            <w:vMerge w:val="restart"/>
            <w:noWrap w:val="0"/>
            <w:vAlign w:val="top"/>
          </w:tcPr>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申请人属单亲家庭、计生特别帮扶家庭、特困职工家庭、残疾人家庭或孤儿、事实无人抚养儿童的，救助标准可提高10%；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232" w:type="dxa"/>
            <w:vMerge w:val="continue"/>
            <w:noWrap w:val="0"/>
            <w:vAlign w:val="top"/>
          </w:tcPr>
          <w:p>
            <w:pPr>
              <w:pStyle w:val="35"/>
              <w:widowControl/>
              <w:adjustRightInd w:val="0"/>
              <w:snapToGrid w:val="0"/>
              <w:spacing w:line="360" w:lineRule="auto"/>
              <w:ind w:firstLine="0" w:firstLineChars="0"/>
              <w:rPr>
                <w:rFonts w:hint="eastAsia" w:ascii="宋体" w:hAnsi="宋体" w:eastAsia="宋体" w:cs="宋体"/>
                <w:b/>
                <w:color w:val="auto"/>
                <w:sz w:val="21"/>
                <w:szCs w:val="21"/>
                <w:highlight w:val="none"/>
              </w:rPr>
            </w:pPr>
          </w:p>
        </w:tc>
        <w:tc>
          <w:tcPr>
            <w:tcW w:w="1132" w:type="dxa"/>
            <w:vMerge w:val="continue"/>
            <w:noWrap w:val="0"/>
            <w:vAlign w:val="top"/>
          </w:tcPr>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tc>
        <w:tc>
          <w:tcPr>
            <w:tcW w:w="4309" w:type="dxa"/>
            <w:noWrap w:val="0"/>
            <w:vAlign w:val="top"/>
          </w:tcPr>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低收入家庭人员个人申请本医疗救助的，不超过其个人自付医疗费用的80%给予救助</w:t>
            </w:r>
          </w:p>
        </w:tc>
        <w:tc>
          <w:tcPr>
            <w:tcW w:w="2307" w:type="dxa"/>
            <w:vMerge w:val="continue"/>
            <w:noWrap w:val="0"/>
            <w:vAlign w:val="top"/>
          </w:tcPr>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232" w:type="dxa"/>
            <w:vMerge w:val="continue"/>
            <w:noWrap w:val="0"/>
            <w:vAlign w:val="top"/>
          </w:tcPr>
          <w:p>
            <w:pPr>
              <w:pStyle w:val="35"/>
              <w:widowControl/>
              <w:adjustRightInd w:val="0"/>
              <w:snapToGrid w:val="0"/>
              <w:spacing w:line="360" w:lineRule="auto"/>
              <w:ind w:firstLine="0" w:firstLineChars="0"/>
              <w:rPr>
                <w:rFonts w:hint="eastAsia" w:ascii="宋体" w:hAnsi="宋体" w:eastAsia="宋体" w:cs="宋体"/>
                <w:b/>
                <w:color w:val="auto"/>
                <w:sz w:val="21"/>
                <w:szCs w:val="21"/>
                <w:highlight w:val="none"/>
              </w:rPr>
            </w:pPr>
          </w:p>
        </w:tc>
        <w:tc>
          <w:tcPr>
            <w:tcW w:w="1132" w:type="dxa"/>
            <w:vMerge w:val="continue"/>
            <w:noWrap w:val="0"/>
            <w:vAlign w:val="top"/>
          </w:tcPr>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tc>
        <w:tc>
          <w:tcPr>
            <w:tcW w:w="4309" w:type="dxa"/>
            <w:noWrap w:val="0"/>
            <w:vAlign w:val="top"/>
          </w:tcPr>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优抚对象个人和本区户籍军队退役士兵、现役军人家属个人申请医疗救助的，其个人自付医疗费用的70%给予救助</w:t>
            </w:r>
          </w:p>
        </w:tc>
        <w:tc>
          <w:tcPr>
            <w:tcW w:w="2307" w:type="dxa"/>
            <w:vMerge w:val="continue"/>
            <w:noWrap w:val="0"/>
            <w:vAlign w:val="top"/>
          </w:tcPr>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232" w:type="dxa"/>
            <w:vMerge w:val="continue"/>
            <w:noWrap w:val="0"/>
            <w:vAlign w:val="top"/>
          </w:tcPr>
          <w:p>
            <w:pPr>
              <w:pStyle w:val="35"/>
              <w:widowControl/>
              <w:adjustRightInd w:val="0"/>
              <w:snapToGrid w:val="0"/>
              <w:spacing w:line="360" w:lineRule="auto"/>
              <w:ind w:firstLine="0" w:firstLineChars="0"/>
              <w:rPr>
                <w:rFonts w:hint="eastAsia" w:ascii="宋体" w:hAnsi="宋体" w:eastAsia="宋体" w:cs="宋体"/>
                <w:b/>
                <w:color w:val="auto"/>
                <w:sz w:val="21"/>
                <w:szCs w:val="21"/>
                <w:highlight w:val="none"/>
              </w:rPr>
            </w:pPr>
          </w:p>
        </w:tc>
        <w:tc>
          <w:tcPr>
            <w:tcW w:w="1132" w:type="dxa"/>
            <w:vMerge w:val="continue"/>
            <w:noWrap w:val="0"/>
            <w:vAlign w:val="top"/>
          </w:tcPr>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tc>
        <w:tc>
          <w:tcPr>
            <w:tcW w:w="4309" w:type="dxa"/>
            <w:noWrap w:val="0"/>
            <w:vAlign w:val="top"/>
          </w:tcPr>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在本区见义勇为遭受人身伤害申请本医疗救助的，在享受政府医疗救助后，不超过其个人自付医疗费用的90%给予救助</w:t>
            </w:r>
          </w:p>
        </w:tc>
        <w:tc>
          <w:tcPr>
            <w:tcW w:w="2307" w:type="dxa"/>
            <w:vMerge w:val="continue"/>
            <w:noWrap w:val="0"/>
            <w:vAlign w:val="top"/>
          </w:tcPr>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232" w:type="dxa"/>
            <w:vMerge w:val="continue"/>
            <w:noWrap w:val="0"/>
            <w:vAlign w:val="top"/>
          </w:tcPr>
          <w:p>
            <w:pPr>
              <w:pStyle w:val="35"/>
              <w:widowControl/>
              <w:adjustRightInd w:val="0"/>
              <w:snapToGrid w:val="0"/>
              <w:spacing w:line="360" w:lineRule="auto"/>
              <w:ind w:firstLine="0" w:firstLineChars="0"/>
              <w:rPr>
                <w:rFonts w:hint="eastAsia" w:ascii="宋体" w:hAnsi="宋体" w:eastAsia="宋体" w:cs="宋体"/>
                <w:b/>
                <w:color w:val="auto"/>
                <w:sz w:val="21"/>
                <w:szCs w:val="21"/>
                <w:highlight w:val="none"/>
              </w:rPr>
            </w:pPr>
          </w:p>
        </w:tc>
        <w:tc>
          <w:tcPr>
            <w:tcW w:w="1132" w:type="dxa"/>
            <w:vMerge w:val="continue"/>
            <w:noWrap w:val="0"/>
            <w:vAlign w:val="top"/>
          </w:tcPr>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tc>
        <w:tc>
          <w:tcPr>
            <w:tcW w:w="4309" w:type="dxa"/>
            <w:noWrap w:val="0"/>
            <w:vAlign w:val="top"/>
          </w:tcPr>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其他人员申请本医疗救助的，救助标准根据申请人家庭成员结构、经济收入状况等因素综合考虑确定，不超过其个人自付医疗费用的50%</w:t>
            </w:r>
          </w:p>
        </w:tc>
        <w:tc>
          <w:tcPr>
            <w:tcW w:w="2307" w:type="dxa"/>
            <w:vMerge w:val="continue"/>
            <w:noWrap w:val="0"/>
            <w:vAlign w:val="top"/>
          </w:tcPr>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2" w:type="dxa"/>
            <w:noWrap w:val="0"/>
            <w:vAlign w:val="top"/>
          </w:tcPr>
          <w:p>
            <w:pPr>
              <w:pStyle w:val="35"/>
              <w:widowControl/>
              <w:adjustRightInd w:val="0"/>
              <w:snapToGrid w:val="0"/>
              <w:spacing w:line="360" w:lineRule="auto"/>
              <w:ind w:firstLine="0" w:firstLineChars="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临时生活困难救助</w:t>
            </w:r>
          </w:p>
        </w:tc>
        <w:tc>
          <w:tcPr>
            <w:tcW w:w="1132" w:type="dxa"/>
            <w:noWrap w:val="0"/>
            <w:vAlign w:val="top"/>
          </w:tcPr>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5000元/次</w:t>
            </w:r>
          </w:p>
        </w:tc>
        <w:tc>
          <w:tcPr>
            <w:tcW w:w="6616" w:type="dxa"/>
            <w:gridSpan w:val="2"/>
            <w:noWrap w:val="0"/>
            <w:vAlign w:val="top"/>
          </w:tcPr>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救助人员范围内人员因各种客观原因致使出现临时性生活困难的，可申请临时生活困难救助，</w:t>
            </w:r>
            <w:r>
              <w:rPr>
                <w:rFonts w:hint="eastAsia" w:ascii="宋体" w:hAnsi="宋体" w:eastAsia="宋体" w:cs="宋体"/>
                <w:color w:val="auto"/>
                <w:sz w:val="21"/>
                <w:szCs w:val="21"/>
                <w:highlight w:val="none"/>
                <w:lang w:val="en-US" w:eastAsia="zh-CN"/>
              </w:rPr>
              <w:t>承办单位</w:t>
            </w:r>
            <w:r>
              <w:rPr>
                <w:rFonts w:hint="eastAsia" w:ascii="宋体" w:hAnsi="宋体" w:eastAsia="宋体" w:cs="宋体"/>
                <w:color w:val="auto"/>
                <w:sz w:val="21"/>
                <w:szCs w:val="21"/>
                <w:highlight w:val="none"/>
              </w:rPr>
              <w:t>提供临时生活困难救助金，年累计最高救助总额不超过 20000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2" w:type="dxa"/>
            <w:noWrap w:val="0"/>
            <w:vAlign w:val="top"/>
          </w:tcPr>
          <w:p>
            <w:pPr>
              <w:pStyle w:val="35"/>
              <w:widowControl/>
              <w:adjustRightInd w:val="0"/>
              <w:snapToGrid w:val="0"/>
              <w:spacing w:line="360" w:lineRule="auto"/>
              <w:ind w:firstLine="0" w:firstLineChars="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助学救助</w:t>
            </w:r>
          </w:p>
        </w:tc>
        <w:tc>
          <w:tcPr>
            <w:tcW w:w="1132" w:type="dxa"/>
            <w:noWrap w:val="0"/>
            <w:vAlign w:val="top"/>
          </w:tcPr>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p>
        </w:tc>
        <w:tc>
          <w:tcPr>
            <w:tcW w:w="6616" w:type="dxa"/>
            <w:gridSpan w:val="2"/>
            <w:noWrap w:val="0"/>
            <w:vAlign w:val="top"/>
          </w:tcPr>
          <w:p>
            <w:pPr>
              <w:pStyle w:val="35"/>
              <w:widowControl/>
              <w:adjustRightInd w:val="0"/>
              <w:snapToGrid w:val="0"/>
              <w:spacing w:line="36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按《广州市番禺区慈善会助学实施办法》标准</w:t>
            </w:r>
          </w:p>
        </w:tc>
      </w:tr>
    </w:tbl>
    <w:p>
      <w:pPr>
        <w:adjustRightInd w:val="0"/>
        <w:snapToGrid w:val="0"/>
        <w:spacing w:line="360" w:lineRule="auto"/>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eastAsia="zh-CN"/>
        </w:rPr>
        <w:t>（</w:t>
      </w:r>
      <w:r>
        <w:rPr>
          <w:rFonts w:hint="eastAsia" w:ascii="宋体" w:hAnsi="宋体" w:eastAsia="宋体" w:cs="宋体"/>
          <w:b/>
          <w:color w:val="auto"/>
          <w:sz w:val="21"/>
          <w:szCs w:val="21"/>
          <w:highlight w:val="none"/>
          <w:lang w:val="en-US" w:eastAsia="zh-CN"/>
        </w:rPr>
        <w:t>一</w:t>
      </w:r>
      <w:r>
        <w:rPr>
          <w:rFonts w:hint="eastAsia" w:ascii="宋体" w:hAnsi="宋体" w:eastAsia="宋体" w:cs="宋体"/>
          <w:b/>
          <w:color w:val="auto"/>
          <w:sz w:val="21"/>
          <w:szCs w:val="21"/>
          <w:highlight w:val="none"/>
          <w:lang w:eastAsia="zh-CN"/>
        </w:rPr>
        <w:t>）</w:t>
      </w:r>
      <w:r>
        <w:rPr>
          <w:rFonts w:hint="eastAsia" w:ascii="宋体" w:hAnsi="宋体" w:eastAsia="宋体" w:cs="宋体"/>
          <w:b/>
          <w:color w:val="auto"/>
          <w:sz w:val="21"/>
          <w:szCs w:val="21"/>
          <w:highlight w:val="none"/>
        </w:rPr>
        <w:t>来穗务工人员重大疾病医疗救助</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1.来穗务工人员符合下列条件之一：</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①截至申请之日，已在本区连续居住两年，并连续工作满一年的</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②截至申请之日，已在本区连续居住两年，并截至申请之日三年内累计工作满24个月的。</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（8）来穗务工人员子女，须其父母一方满足来穗务工人员条件的其中之一，并且其符合下列条件:未满十八周岁，学籍在本区，并就读满一年（需提供区内有关就读证明），随父母一起生活，患有重大疾病。</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2.救助责任：</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保障人员范围内人员患有重大疾病，已享受社会医疗保险、城镇居民基本医疗保险、新型农村合作医疗、政府医疗救助以及其他专项救助后，其家庭生活困难的，保险公司提供自申请之日止前6个月发生的（因意外事故造成身体伤害申请的不受此限制）医疗费用救助金。</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3.救助金额：</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每人年度救助总额不超过50000元。</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个人自付医疗费用是指在享受社会医疗保险、商业保险以及政府、社会团体等的救助后个人实际需要负担的基本医疗费用。</w:t>
      </w:r>
    </w:p>
    <w:p>
      <w:pPr>
        <w:pStyle w:val="35"/>
        <w:adjustRightInd w:val="0"/>
        <w:snapToGrid w:val="0"/>
        <w:spacing w:line="360" w:lineRule="auto"/>
        <w:ind w:firstLine="643"/>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eastAsia="zh-CN"/>
        </w:rPr>
        <w:t>（</w:t>
      </w:r>
      <w:r>
        <w:rPr>
          <w:rFonts w:hint="eastAsia" w:ascii="宋体" w:hAnsi="宋体" w:eastAsia="宋体" w:cs="宋体"/>
          <w:b/>
          <w:color w:val="auto"/>
          <w:sz w:val="21"/>
          <w:szCs w:val="21"/>
          <w:highlight w:val="none"/>
          <w:lang w:val="en-US" w:eastAsia="zh-CN"/>
        </w:rPr>
        <w:t>二</w:t>
      </w:r>
      <w:r>
        <w:rPr>
          <w:rFonts w:hint="eastAsia" w:ascii="宋体" w:hAnsi="宋体" w:eastAsia="宋体" w:cs="宋体"/>
          <w:b/>
          <w:color w:val="auto"/>
          <w:sz w:val="21"/>
          <w:szCs w:val="21"/>
          <w:highlight w:val="none"/>
          <w:lang w:eastAsia="zh-CN"/>
        </w:rPr>
        <w:t>）</w:t>
      </w:r>
      <w:r>
        <w:rPr>
          <w:rFonts w:hint="eastAsia" w:ascii="宋体" w:hAnsi="宋体" w:eastAsia="宋体" w:cs="宋体"/>
          <w:b/>
          <w:color w:val="auto"/>
          <w:sz w:val="21"/>
          <w:szCs w:val="21"/>
          <w:highlight w:val="none"/>
        </w:rPr>
        <w:t>医疗救助</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1.救助人员范围：</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（1）本区低保、特困人员；</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（2）本区低收入家庭人员；</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（3）本区孤儿、事实无人抚养儿童；</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（4）本区优抚对象；</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（5）本区户籍军队退役士兵及现役军人家属；</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（6）经有关部门认定为本区行政区域内见义勇为的人员；</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（7）除上述人员以外的其他本区户籍困难人员。</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2.救助责任：</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救助人员范围内人员患有重大疾病，已享受职工社会医疗保险、城乡居民基本医疗保险、政府医疗救助以及其他专项救助后，其家庭生活困难的，可对个人自付医疗费用（指在享受社会医疗保险、商业保险以及政府、社会团体等的救助后个人实际需要负担的基本医疗费用）申请医疗救助，保险公司提供自申请之日止前12个月发生的（因意外事故造成身体伤害申请的不受此限制）医疗费用救助金。</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3.救助金额：</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每人年度救助总额不超过50000元。</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（1）低保、特困人员、孤儿、事实无人抚养儿童个人申请本医疗救助的，不超过其个人自付医疗费用的90%给予救助。</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（2）低收入家庭人员个人申请本医疗救助的，不超过其个人自付医疗费用的80%给予救助。</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（3）优抚对象个人和本区户籍军队退役士兵、现役军人家属个人申请医疗救助的，其个人自付医疗费用的70%给予救助。</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（4）在本区见义勇为遭受人身伤害申请本医疗救助的，在享受政府医疗救助后，不超过其个人自付医疗费用的90%给予救助。</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（5）其他人员申请本医疗救助的，救助标准根据申请人家庭成员结构、经济收入状况等因素综合考虑确定，不超过其个人自付医疗费用的50%。</w:t>
      </w:r>
    </w:p>
    <w:p>
      <w:pPr>
        <w:pStyle w:val="35"/>
        <w:adjustRightInd w:val="0"/>
        <w:snapToGrid w:val="0"/>
        <w:spacing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申请人属单亲家庭、计生特别帮扶家庭、特困职工家庭、残疾人家庭或孤儿、事实无人抚养儿童的，救助标准可提高10%；如已参加本区职工社会医疗保险和城乡居民社会医疗保险，并得到保险机构其他理赔的，救助金额不得高于个人自付医疗费用部分。</w:t>
      </w:r>
    </w:p>
    <w:p>
      <w:pPr>
        <w:pStyle w:val="35"/>
        <w:adjustRightInd w:val="0"/>
        <w:snapToGrid w:val="0"/>
        <w:spacing w:line="360" w:lineRule="auto"/>
        <w:ind w:firstLine="643"/>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eastAsia="zh-CN"/>
        </w:rPr>
        <w:t>（</w:t>
      </w:r>
      <w:r>
        <w:rPr>
          <w:rFonts w:hint="eastAsia" w:ascii="宋体" w:hAnsi="宋体" w:eastAsia="宋体" w:cs="宋体"/>
          <w:b/>
          <w:color w:val="auto"/>
          <w:sz w:val="21"/>
          <w:szCs w:val="21"/>
          <w:highlight w:val="none"/>
          <w:lang w:val="en-US" w:eastAsia="zh-CN"/>
        </w:rPr>
        <w:t>三</w:t>
      </w:r>
      <w:r>
        <w:rPr>
          <w:rFonts w:hint="eastAsia" w:ascii="宋体" w:hAnsi="宋体" w:eastAsia="宋体" w:cs="宋体"/>
          <w:b/>
          <w:color w:val="auto"/>
          <w:sz w:val="21"/>
          <w:szCs w:val="21"/>
          <w:highlight w:val="none"/>
          <w:lang w:eastAsia="zh-CN"/>
        </w:rPr>
        <w:t>）</w:t>
      </w:r>
      <w:r>
        <w:rPr>
          <w:rFonts w:hint="eastAsia" w:ascii="宋体" w:hAnsi="宋体" w:eastAsia="宋体" w:cs="宋体"/>
          <w:b/>
          <w:color w:val="auto"/>
          <w:sz w:val="21"/>
          <w:szCs w:val="21"/>
          <w:highlight w:val="none"/>
        </w:rPr>
        <w:t>临时生活困难救助</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1.救助人员范围：</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本区户籍在册低保、低收入家庭以及其他困难群众。</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2.救助责任：</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救助人员范围内人员因各种客观原因致使出现临时性生活困难的，可申请临时生活困难救助，保险公司提供临时生活困难救助金。</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3.救助金额：</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根据申请人家庭生活困难程度、家庭收入状况等因素综合考虑确认，给予每次最高不少过5000元的救助金，年累计最高救助总额不超过 20000 元。</w:t>
      </w:r>
    </w:p>
    <w:p>
      <w:pPr>
        <w:pStyle w:val="35"/>
        <w:adjustRightInd w:val="0"/>
        <w:snapToGrid w:val="0"/>
        <w:spacing w:line="360" w:lineRule="auto"/>
        <w:ind w:firstLine="643"/>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eastAsia="zh-CN"/>
        </w:rPr>
        <w:t>（</w:t>
      </w:r>
      <w:r>
        <w:rPr>
          <w:rFonts w:hint="eastAsia" w:ascii="宋体" w:hAnsi="宋体" w:eastAsia="宋体" w:cs="宋体"/>
          <w:b/>
          <w:color w:val="auto"/>
          <w:sz w:val="21"/>
          <w:szCs w:val="21"/>
          <w:highlight w:val="none"/>
          <w:lang w:val="en-US" w:eastAsia="zh-CN"/>
        </w:rPr>
        <w:t>四</w:t>
      </w:r>
      <w:r>
        <w:rPr>
          <w:rFonts w:hint="eastAsia" w:ascii="宋体" w:hAnsi="宋体" w:eastAsia="宋体" w:cs="宋体"/>
          <w:b/>
          <w:color w:val="auto"/>
          <w:sz w:val="21"/>
          <w:szCs w:val="21"/>
          <w:highlight w:val="none"/>
          <w:lang w:eastAsia="zh-CN"/>
        </w:rPr>
        <w:t>）</w:t>
      </w:r>
      <w:r>
        <w:rPr>
          <w:rFonts w:hint="eastAsia" w:ascii="宋体" w:hAnsi="宋体" w:eastAsia="宋体" w:cs="宋体"/>
          <w:b/>
          <w:color w:val="auto"/>
          <w:sz w:val="21"/>
          <w:szCs w:val="21"/>
          <w:highlight w:val="none"/>
        </w:rPr>
        <w:t>助学救助</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1.救助人员范围：</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（1）本区户籍在读幼儿园、小学、初中、高中（含职中），以及全日制大专、本科或以上的学生，符合下列条件之一：</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①普通助学：在册城乡低保、低收入家庭子女和孤儿、事实无人抚养儿童；</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②幸福女孩助学：在册城乡低保、低收入家庭中符合计划生育政策的独生女和纯生儿女户结扎家庭女孩；</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③金秋助学：区总工会备案的在册特困职工家庭子女；</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④“持证”高中住宿生助学：持有《广州市城乡居民最低生活保障证》的在册城乡低保户家庭子女、持有特困职工证明的特困职工家庭子女、孤儿和事实无人抚养儿童。</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（2）有下列情形之一，不纳入救助范围：</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①申请人停学、休学、中途退学或毕业的；</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②申请人家庭违反国家计划生育政策，未采取补救措施的；</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③申请人有违法犯罪行为的；</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④其他不应当给予资助的情形。</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救助责任：保障人员范围内人员，申请助学救助金的，保险公司按照约定金额提供助学救助金。</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3.救助金额：</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每人每次责任按慈善会助学标准表：</w:t>
      </w:r>
    </w:p>
    <w:tbl>
      <w:tblPr>
        <w:tblStyle w:val="18"/>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27"/>
        <w:gridCol w:w="777"/>
        <w:gridCol w:w="1201"/>
        <w:gridCol w:w="761"/>
        <w:gridCol w:w="751"/>
        <w:gridCol w:w="751"/>
        <w:gridCol w:w="761"/>
        <w:gridCol w:w="761"/>
        <w:gridCol w:w="761"/>
        <w:gridCol w:w="772"/>
        <w:gridCol w:w="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8642" w:type="dxa"/>
            <w:gridSpan w:val="11"/>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每人每次责任按慈善会助学标准表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27"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助学类别</w:t>
            </w:r>
          </w:p>
        </w:tc>
        <w:tc>
          <w:tcPr>
            <w:tcW w:w="777"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属别</w:t>
            </w:r>
          </w:p>
        </w:tc>
        <w:tc>
          <w:tcPr>
            <w:tcW w:w="1201"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家庭情况</w:t>
            </w:r>
          </w:p>
        </w:tc>
        <w:tc>
          <w:tcPr>
            <w:tcW w:w="6237" w:type="dxa"/>
            <w:gridSpan w:val="8"/>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助学标准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2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eastAsia="宋体" w:cs="宋体"/>
                <w:color w:val="auto"/>
                <w:sz w:val="21"/>
                <w:szCs w:val="21"/>
                <w:highlight w:val="none"/>
              </w:rPr>
            </w:pPr>
          </w:p>
        </w:tc>
        <w:tc>
          <w:tcPr>
            <w:tcW w:w="77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eastAsia="宋体" w:cs="宋体"/>
                <w:color w:val="auto"/>
                <w:sz w:val="21"/>
                <w:szCs w:val="21"/>
                <w:highlight w:val="none"/>
              </w:rPr>
            </w:pPr>
          </w:p>
        </w:tc>
        <w:tc>
          <w:tcPr>
            <w:tcW w:w="12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eastAsia="宋体" w:cs="宋体"/>
                <w:color w:val="auto"/>
                <w:sz w:val="21"/>
                <w:szCs w:val="21"/>
                <w:highlight w:val="none"/>
              </w:rPr>
            </w:pP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幼儿园</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小学</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初中</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高中/职中</w:t>
            </w:r>
          </w:p>
        </w:tc>
        <w:tc>
          <w:tcPr>
            <w:tcW w:w="1522"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大专</w:t>
            </w:r>
          </w:p>
        </w:tc>
        <w:tc>
          <w:tcPr>
            <w:tcW w:w="1691"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本科或以上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2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eastAsia="宋体" w:cs="宋体"/>
                <w:color w:val="auto"/>
                <w:sz w:val="21"/>
                <w:szCs w:val="21"/>
                <w:highlight w:val="none"/>
              </w:rPr>
            </w:pPr>
          </w:p>
        </w:tc>
        <w:tc>
          <w:tcPr>
            <w:tcW w:w="77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eastAsia="宋体" w:cs="宋体"/>
                <w:color w:val="auto"/>
                <w:sz w:val="21"/>
                <w:szCs w:val="21"/>
                <w:highlight w:val="none"/>
              </w:rPr>
            </w:pPr>
          </w:p>
        </w:tc>
        <w:tc>
          <w:tcPr>
            <w:tcW w:w="12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eastAsia="宋体" w:cs="宋体"/>
                <w:color w:val="auto"/>
                <w:sz w:val="21"/>
                <w:szCs w:val="21"/>
                <w:highlight w:val="none"/>
              </w:rPr>
            </w:pP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每学年</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每学年</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每学年</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每学年</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第一学年</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非第一学年</w:t>
            </w:r>
          </w:p>
        </w:tc>
        <w:tc>
          <w:tcPr>
            <w:tcW w:w="77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第一学年</w:t>
            </w:r>
          </w:p>
        </w:tc>
        <w:tc>
          <w:tcPr>
            <w:tcW w:w="9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非第一学年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27"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普通助学</w:t>
            </w:r>
          </w:p>
        </w:tc>
        <w:tc>
          <w:tcPr>
            <w:tcW w:w="777"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低保</w:t>
            </w:r>
          </w:p>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孤儿</w:t>
            </w:r>
          </w:p>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事实无人抚养儿童</w:t>
            </w:r>
          </w:p>
        </w:tc>
        <w:tc>
          <w:tcPr>
            <w:tcW w:w="12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普通家庭</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3000</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400</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6000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4000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9000</w:t>
            </w:r>
          </w:p>
        </w:tc>
        <w:tc>
          <w:tcPr>
            <w:tcW w:w="9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2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eastAsia="宋体" w:cs="宋体"/>
                <w:color w:val="auto"/>
                <w:sz w:val="21"/>
                <w:szCs w:val="21"/>
                <w:highlight w:val="none"/>
              </w:rPr>
            </w:pPr>
          </w:p>
        </w:tc>
        <w:tc>
          <w:tcPr>
            <w:tcW w:w="77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eastAsia="宋体" w:cs="宋体"/>
                <w:color w:val="auto"/>
                <w:sz w:val="21"/>
                <w:szCs w:val="21"/>
                <w:highlight w:val="none"/>
              </w:rPr>
            </w:pPr>
          </w:p>
        </w:tc>
        <w:tc>
          <w:tcPr>
            <w:tcW w:w="12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单亲家庭</w:t>
            </w:r>
          </w:p>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残疾人家庭</w:t>
            </w:r>
          </w:p>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孤儿</w:t>
            </w:r>
          </w:p>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事实无人抚养儿童</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3300</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440</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660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6400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4400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9600</w:t>
            </w:r>
          </w:p>
        </w:tc>
        <w:tc>
          <w:tcPr>
            <w:tcW w:w="9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2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eastAsia="宋体" w:cs="宋体"/>
                <w:color w:val="auto"/>
                <w:sz w:val="21"/>
                <w:szCs w:val="21"/>
                <w:highlight w:val="none"/>
              </w:rPr>
            </w:pPr>
          </w:p>
        </w:tc>
        <w:tc>
          <w:tcPr>
            <w:tcW w:w="777"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低收入</w:t>
            </w:r>
          </w:p>
        </w:tc>
        <w:tc>
          <w:tcPr>
            <w:tcW w:w="12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普通家庭</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1500</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200</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2000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4500</w:t>
            </w:r>
          </w:p>
        </w:tc>
        <w:tc>
          <w:tcPr>
            <w:tcW w:w="9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2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eastAsia="宋体" w:cs="宋体"/>
                <w:color w:val="auto"/>
                <w:sz w:val="21"/>
                <w:szCs w:val="21"/>
                <w:highlight w:val="none"/>
              </w:rPr>
            </w:pPr>
          </w:p>
        </w:tc>
        <w:tc>
          <w:tcPr>
            <w:tcW w:w="77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eastAsia="宋体" w:cs="宋体"/>
                <w:color w:val="auto"/>
                <w:sz w:val="21"/>
                <w:szCs w:val="21"/>
                <w:highlight w:val="none"/>
              </w:rPr>
            </w:pPr>
          </w:p>
        </w:tc>
        <w:tc>
          <w:tcPr>
            <w:tcW w:w="12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单亲家庭</w:t>
            </w:r>
          </w:p>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残疾人家庭</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1650</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220</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550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3200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2200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4800</w:t>
            </w:r>
          </w:p>
        </w:tc>
        <w:tc>
          <w:tcPr>
            <w:tcW w:w="9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27"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幸福女孩助学</w:t>
            </w:r>
          </w:p>
        </w:tc>
        <w:tc>
          <w:tcPr>
            <w:tcW w:w="777"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低保</w:t>
            </w:r>
          </w:p>
        </w:tc>
        <w:tc>
          <w:tcPr>
            <w:tcW w:w="12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普通家庭</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4500</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600</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8000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6000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12000</w:t>
            </w:r>
          </w:p>
        </w:tc>
        <w:tc>
          <w:tcPr>
            <w:tcW w:w="9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2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eastAsia="宋体" w:cs="宋体"/>
                <w:color w:val="auto"/>
                <w:sz w:val="21"/>
                <w:szCs w:val="21"/>
                <w:highlight w:val="none"/>
              </w:rPr>
            </w:pPr>
          </w:p>
        </w:tc>
        <w:tc>
          <w:tcPr>
            <w:tcW w:w="77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eastAsia="宋体" w:cs="宋体"/>
                <w:color w:val="auto"/>
                <w:sz w:val="21"/>
                <w:szCs w:val="21"/>
                <w:highlight w:val="none"/>
              </w:rPr>
            </w:pPr>
          </w:p>
        </w:tc>
        <w:tc>
          <w:tcPr>
            <w:tcW w:w="12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单亲家庭</w:t>
            </w:r>
          </w:p>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残疾人家庭</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4800</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640</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960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8400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6400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12600</w:t>
            </w:r>
          </w:p>
        </w:tc>
        <w:tc>
          <w:tcPr>
            <w:tcW w:w="9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2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eastAsia="宋体" w:cs="宋体"/>
                <w:color w:val="auto"/>
                <w:sz w:val="21"/>
                <w:szCs w:val="21"/>
                <w:highlight w:val="none"/>
              </w:rPr>
            </w:pPr>
          </w:p>
        </w:tc>
        <w:tc>
          <w:tcPr>
            <w:tcW w:w="777"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低收入</w:t>
            </w:r>
          </w:p>
        </w:tc>
        <w:tc>
          <w:tcPr>
            <w:tcW w:w="12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普通家庭</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3000</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400</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5000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4000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7500</w:t>
            </w:r>
          </w:p>
        </w:tc>
        <w:tc>
          <w:tcPr>
            <w:tcW w:w="9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2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eastAsia="宋体" w:cs="宋体"/>
                <w:color w:val="auto"/>
                <w:sz w:val="21"/>
                <w:szCs w:val="21"/>
                <w:highlight w:val="none"/>
              </w:rPr>
            </w:pPr>
          </w:p>
        </w:tc>
        <w:tc>
          <w:tcPr>
            <w:tcW w:w="77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eastAsia="宋体" w:cs="宋体"/>
                <w:color w:val="auto"/>
                <w:sz w:val="21"/>
                <w:szCs w:val="21"/>
                <w:highlight w:val="none"/>
              </w:rPr>
            </w:pPr>
          </w:p>
        </w:tc>
        <w:tc>
          <w:tcPr>
            <w:tcW w:w="12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单亲家庭</w:t>
            </w:r>
          </w:p>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残疾人家庭</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3150</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420</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630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1050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5200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4200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7800</w:t>
            </w:r>
          </w:p>
        </w:tc>
        <w:tc>
          <w:tcPr>
            <w:tcW w:w="9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27"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金秋助学</w:t>
            </w:r>
          </w:p>
        </w:tc>
        <w:tc>
          <w:tcPr>
            <w:tcW w:w="777"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特困职工</w:t>
            </w:r>
          </w:p>
        </w:tc>
        <w:tc>
          <w:tcPr>
            <w:tcW w:w="12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普通家庭</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3000</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400</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6000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4000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9000</w:t>
            </w:r>
          </w:p>
        </w:tc>
        <w:tc>
          <w:tcPr>
            <w:tcW w:w="9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0" w:hRule="atLeast"/>
        </w:trPr>
        <w:tc>
          <w:tcPr>
            <w:tcW w:w="42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eastAsia="宋体" w:cs="宋体"/>
                <w:color w:val="auto"/>
                <w:sz w:val="21"/>
                <w:szCs w:val="21"/>
                <w:highlight w:val="none"/>
              </w:rPr>
            </w:pPr>
          </w:p>
        </w:tc>
        <w:tc>
          <w:tcPr>
            <w:tcW w:w="77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eastAsia="宋体" w:cs="宋体"/>
                <w:color w:val="auto"/>
                <w:sz w:val="21"/>
                <w:szCs w:val="21"/>
                <w:highlight w:val="none"/>
              </w:rPr>
            </w:pPr>
          </w:p>
        </w:tc>
        <w:tc>
          <w:tcPr>
            <w:tcW w:w="120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单亲家庭</w:t>
            </w:r>
          </w:p>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残疾人家庭</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3300</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440</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660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6400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4400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9600</w:t>
            </w:r>
          </w:p>
        </w:tc>
        <w:tc>
          <w:tcPr>
            <w:tcW w:w="9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05"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“持证”高中住宿生</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c>
          <w:tcPr>
            <w:tcW w:w="7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3000</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c>
          <w:tcPr>
            <w:tcW w:w="7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c>
          <w:tcPr>
            <w:tcW w:w="77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c>
          <w:tcPr>
            <w:tcW w:w="9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bl>
    <w:p>
      <w:pPr>
        <w:numPr>
          <w:ilvl w:val="0"/>
          <w:numId w:val="11"/>
        </w:numPr>
        <w:spacing w:line="360" w:lineRule="auto"/>
        <w:ind w:firstLine="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保障机制</w:t>
      </w:r>
    </w:p>
    <w:p>
      <w:pPr>
        <w:adjustRightInd w:val="0"/>
        <w:snapToGrid w:val="0"/>
        <w:spacing w:line="360" w:lineRule="auto"/>
        <w:ind w:firstLine="422" w:firstLineChars="200"/>
        <w:rPr>
          <w:rFonts w:hint="eastAsia" w:ascii="宋体" w:hAnsi="宋体" w:eastAsia="宋体" w:cs="宋体"/>
          <w:color w:val="auto"/>
          <w:sz w:val="21"/>
          <w:szCs w:val="21"/>
          <w:highlight w:val="none"/>
        </w:rPr>
      </w:pPr>
      <w:r>
        <w:rPr>
          <w:rFonts w:hint="eastAsia" w:ascii="宋体" w:hAnsi="宋体" w:eastAsia="宋体" w:cs="宋体"/>
          <w:b/>
          <w:color w:val="auto"/>
          <w:kern w:val="0"/>
          <w:sz w:val="21"/>
          <w:szCs w:val="21"/>
          <w:highlight w:val="none"/>
        </w:rPr>
        <w:t>（</w:t>
      </w:r>
      <w:r>
        <w:rPr>
          <w:rFonts w:hint="eastAsia" w:ascii="宋体" w:hAnsi="宋体" w:eastAsia="宋体" w:cs="宋体"/>
          <w:b/>
          <w:color w:val="auto"/>
          <w:kern w:val="0"/>
          <w:sz w:val="21"/>
          <w:szCs w:val="21"/>
          <w:highlight w:val="none"/>
          <w:lang w:val="zh-CN"/>
        </w:rPr>
        <w:t>一</w:t>
      </w:r>
      <w:r>
        <w:rPr>
          <w:rFonts w:hint="eastAsia" w:ascii="宋体" w:hAnsi="宋体" w:eastAsia="宋体" w:cs="宋体"/>
          <w:b/>
          <w:color w:val="auto"/>
          <w:kern w:val="0"/>
          <w:sz w:val="21"/>
          <w:szCs w:val="21"/>
          <w:highlight w:val="none"/>
        </w:rPr>
        <w:t>）</w:t>
      </w:r>
      <w:r>
        <w:rPr>
          <w:rFonts w:hint="eastAsia" w:ascii="宋体" w:hAnsi="宋体" w:eastAsia="宋体" w:cs="宋体"/>
          <w:b/>
          <w:color w:val="auto"/>
          <w:kern w:val="0"/>
          <w:sz w:val="21"/>
          <w:szCs w:val="21"/>
          <w:highlight w:val="none"/>
          <w:lang w:val="zh-CN"/>
        </w:rPr>
        <w:t>制度保障。</w:t>
      </w:r>
      <w:r>
        <w:rPr>
          <w:rFonts w:hint="eastAsia" w:ascii="宋体" w:hAnsi="宋体" w:eastAsia="宋体" w:cs="宋体"/>
          <w:b w:val="0"/>
          <w:color w:val="auto"/>
          <w:kern w:val="2"/>
          <w:sz w:val="21"/>
          <w:szCs w:val="21"/>
          <w:highlight w:val="none"/>
          <w:lang w:val="en-US" w:eastAsia="zh-CN"/>
        </w:rPr>
        <w:t>认真落实</w:t>
      </w:r>
      <w:r>
        <w:rPr>
          <w:rFonts w:hint="eastAsia" w:ascii="宋体" w:hAnsi="宋体" w:eastAsia="宋体" w:cs="宋体"/>
          <w:color w:val="auto"/>
          <w:sz w:val="21"/>
          <w:szCs w:val="21"/>
          <w:highlight w:val="none"/>
        </w:rPr>
        <w:t>《广州市番禺区慈善会临时生活困难及自然灾害救助实施办法》、《广州市番禺区慈善会助学实施办法》、《广州市番禺区慈善会医疗救助实施办法》、《广州市番禺区慈善会来穗务工人员重大疾病医疗救助实施办法》等办法，</w:t>
      </w:r>
      <w:r>
        <w:rPr>
          <w:rFonts w:hint="eastAsia" w:ascii="宋体" w:hAnsi="宋体" w:eastAsia="宋体" w:cs="宋体"/>
          <w:color w:val="auto"/>
          <w:sz w:val="21"/>
          <w:szCs w:val="21"/>
          <w:highlight w:val="none"/>
          <w:lang w:val="en-US" w:eastAsia="zh-CN"/>
        </w:rPr>
        <w:t>通过与承办单位签订服务协议，借助承办单位的专业优势、网点优势和资源优势，为救助群体提供全面服务，</w:t>
      </w:r>
      <w:r>
        <w:rPr>
          <w:rFonts w:hint="eastAsia" w:ascii="宋体" w:hAnsi="宋体" w:eastAsia="宋体" w:cs="宋体"/>
          <w:color w:val="auto"/>
          <w:sz w:val="21"/>
          <w:szCs w:val="21"/>
          <w:highlight w:val="none"/>
        </w:rPr>
        <w:t>切实提高慈善资金的使用效益和社会效益，</w:t>
      </w:r>
      <w:r>
        <w:rPr>
          <w:rFonts w:hint="eastAsia" w:ascii="宋体" w:hAnsi="宋体" w:eastAsia="宋体" w:cs="宋体"/>
          <w:color w:val="auto"/>
          <w:sz w:val="21"/>
          <w:szCs w:val="21"/>
          <w:highlight w:val="none"/>
          <w:lang w:val="en-US" w:eastAsia="zh-CN"/>
        </w:rPr>
        <w:t>为番禺区慈善会的救助业务提供系统全面的保障。</w:t>
      </w:r>
    </w:p>
    <w:p>
      <w:pPr>
        <w:adjustRightInd/>
        <w:snapToGrid/>
        <w:spacing w:line="360" w:lineRule="auto"/>
        <w:ind w:firstLine="422" w:firstLineChars="200"/>
        <w:rPr>
          <w:rFonts w:hint="eastAsia" w:ascii="宋体" w:hAnsi="宋体" w:eastAsia="宋体" w:cs="宋体"/>
          <w:color w:val="auto"/>
          <w:sz w:val="21"/>
          <w:szCs w:val="21"/>
          <w:highlight w:val="none"/>
          <w:lang w:eastAsia="zh-CN"/>
        </w:rPr>
      </w:pPr>
      <w:r>
        <w:rPr>
          <w:rFonts w:hint="eastAsia" w:ascii="宋体" w:hAnsi="宋体" w:eastAsia="宋体" w:cs="宋体"/>
          <w:b/>
          <w:color w:val="auto"/>
          <w:kern w:val="0"/>
          <w:sz w:val="21"/>
          <w:szCs w:val="21"/>
          <w:highlight w:val="none"/>
          <w:lang w:val="zh-CN"/>
        </w:rPr>
        <w:t>（二）组织保障。</w:t>
      </w:r>
      <w:r>
        <w:rPr>
          <w:rFonts w:hint="eastAsia" w:ascii="宋体" w:hAnsi="宋体" w:eastAsia="宋体" w:cs="宋体"/>
          <w:color w:val="auto"/>
          <w:sz w:val="21"/>
          <w:szCs w:val="21"/>
          <w:highlight w:val="none"/>
        </w:rPr>
        <w:t>坚持</w:t>
      </w:r>
      <w:r>
        <w:rPr>
          <w:rFonts w:hint="eastAsia" w:ascii="宋体" w:hAnsi="宋体" w:eastAsia="宋体" w:cs="宋体"/>
          <w:color w:val="auto"/>
          <w:sz w:val="21"/>
          <w:szCs w:val="21"/>
          <w:highlight w:val="none"/>
          <w:lang w:val="en-US" w:eastAsia="zh-CN"/>
        </w:rPr>
        <w:t>本会</w:t>
      </w:r>
      <w:r>
        <w:rPr>
          <w:rFonts w:hint="eastAsia" w:ascii="宋体" w:hAnsi="宋体" w:eastAsia="宋体" w:cs="宋体"/>
          <w:color w:val="auto"/>
          <w:sz w:val="21"/>
          <w:szCs w:val="21"/>
          <w:highlight w:val="none"/>
        </w:rPr>
        <w:t>主导、跨界融合</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组建救助业务工作小组，以项目负责人为核心，承办单位各网点工作人员为骨干，打造覆盖全区的工作网络平台，为救助服务的审核、落户核查等工作提供有力的组织保障。</w:t>
      </w:r>
    </w:p>
    <w:p>
      <w:pPr>
        <w:spacing w:line="360" w:lineRule="auto"/>
        <w:ind w:firstLine="422"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b/>
          <w:color w:val="auto"/>
          <w:kern w:val="0"/>
          <w:sz w:val="21"/>
          <w:szCs w:val="21"/>
          <w:highlight w:val="none"/>
          <w:lang w:val="zh-CN"/>
        </w:rPr>
        <w:t>（三）资金保障。</w:t>
      </w:r>
      <w:r>
        <w:rPr>
          <w:rFonts w:hint="eastAsia" w:ascii="宋体" w:hAnsi="宋体" w:eastAsia="宋体" w:cs="宋体"/>
          <w:color w:val="auto"/>
          <w:sz w:val="21"/>
          <w:szCs w:val="21"/>
          <w:highlight w:val="none"/>
          <w:lang w:val="en-US" w:eastAsia="zh-CN"/>
        </w:rPr>
        <w:t xml:space="preserve">根据区内各类救助资源情况，对各类救助费用额度进行合理调适。同时，根据章程规定的业务范围对目前资金结余进行重新归类，新增设立5大专项基金，分别是番禺区慈善会慈善医疗救助基金、番禺区慈善会社会关爱基金、番禺区慈善会助学助教基金、番禺区慈善会扶贫济困及社区发展基金、番禺区慈善会应急援助基金，保障救助业务的资金投入。  </w:t>
      </w:r>
    </w:p>
    <w:p>
      <w:pPr>
        <w:spacing w:line="360" w:lineRule="auto"/>
        <w:rPr>
          <w:rFonts w:hint="eastAsia" w:ascii="宋体" w:hAnsi="宋体" w:eastAsia="宋体" w:cs="宋体"/>
          <w:color w:val="auto"/>
          <w:sz w:val="21"/>
          <w:szCs w:val="21"/>
          <w:highlight w:val="none"/>
        </w:rPr>
      </w:pPr>
    </w:p>
    <w:p>
      <w:pPr>
        <w:widowControl/>
        <w:tabs>
          <w:tab w:val="left" w:pos="420"/>
        </w:tabs>
        <w:spacing w:line="360" w:lineRule="auto"/>
        <w:rPr>
          <w:rFonts w:cs="仿宋_GB2312" w:asciiTheme="minorEastAsia" w:hAnsiTheme="minorEastAsia" w:eastAsiaTheme="minorEastAsia"/>
          <w:b/>
          <w:bCs/>
          <w:szCs w:val="21"/>
        </w:rPr>
      </w:pPr>
    </w:p>
    <w:p>
      <w:pPr>
        <w:widowControl/>
        <w:tabs>
          <w:tab w:val="left" w:pos="420"/>
        </w:tabs>
        <w:spacing w:line="560" w:lineRule="exact"/>
        <w:rPr>
          <w:rFonts w:ascii="仿宋_GB2312" w:hAnsi="仿宋_GB2312" w:eastAsia="仿宋_GB2312" w:cs="仿宋_GB2312"/>
          <w:b/>
          <w:bCs/>
          <w:sz w:val="32"/>
          <w:szCs w:val="32"/>
        </w:rPr>
      </w:pPr>
    </w:p>
    <w:p>
      <w:pPr>
        <w:pStyle w:val="2"/>
        <w:rPr>
          <w:rFonts w:ascii="仿宋_GB2312" w:hAnsi="仿宋_GB2312" w:eastAsia="仿宋_GB2312" w:cs="仿宋_GB2312"/>
          <w:b/>
          <w:bCs/>
          <w:sz w:val="32"/>
          <w:szCs w:val="32"/>
        </w:rPr>
      </w:pPr>
    </w:p>
    <w:p/>
    <w:p>
      <w:pPr>
        <w:spacing w:beforeLines="50" w:afterLines="50" w:line="360" w:lineRule="auto"/>
        <w:jc w:val="center"/>
        <w:outlineLvl w:val="0"/>
        <w:rPr>
          <w:rFonts w:ascii="宋体" w:hAnsi="宋体"/>
          <w:b/>
          <w:bCs/>
          <w:sz w:val="28"/>
          <w:szCs w:val="28"/>
        </w:rPr>
      </w:pPr>
      <w:bookmarkStart w:id="13" w:name="_Toc12788"/>
      <w:r>
        <w:rPr>
          <w:rFonts w:hint="eastAsia" w:ascii="宋体" w:hAnsi="宋体"/>
          <w:b/>
          <w:bCs/>
          <w:sz w:val="28"/>
          <w:szCs w:val="28"/>
        </w:rPr>
        <w:t>第五章</w:t>
      </w:r>
      <w:bookmarkStart w:id="14" w:name="_Toc435109307"/>
      <w:r>
        <w:rPr>
          <w:rFonts w:hint="eastAsia" w:ascii="宋体" w:hAnsi="宋体"/>
          <w:b/>
          <w:bCs/>
          <w:sz w:val="28"/>
          <w:szCs w:val="28"/>
        </w:rPr>
        <w:t xml:space="preserve">  合同通用条款</w:t>
      </w:r>
      <w:bookmarkEnd w:id="13"/>
      <w:bookmarkEnd w:id="14"/>
      <w:r>
        <w:rPr>
          <w:rFonts w:hint="eastAsia" w:ascii="宋体" w:hAnsi="宋体"/>
          <w:b/>
          <w:bCs/>
          <w:sz w:val="28"/>
          <w:szCs w:val="28"/>
        </w:rPr>
        <w:t>（参考）</w:t>
      </w:r>
    </w:p>
    <w:p>
      <w:pPr>
        <w:spacing w:beforeLines="50" w:afterLines="50" w:line="360" w:lineRule="auto"/>
        <w:jc w:val="center"/>
        <w:outlineLvl w:val="0"/>
        <w:rPr>
          <w:rFonts w:ascii="宋体" w:hAnsi="宋体"/>
          <w:b/>
          <w:bCs/>
          <w:sz w:val="24"/>
        </w:rPr>
      </w:pPr>
      <w:r>
        <w:rPr>
          <w:rFonts w:ascii="宋体" w:hAnsi="宋体"/>
          <w:b/>
          <w:bCs/>
          <w:sz w:val="24"/>
        </w:rPr>
        <w:t>（本合同条款仅供参考，最终合同条款以招标文件要求及采购人要求的条款为准）</w:t>
      </w:r>
    </w:p>
    <w:p>
      <w:pPr>
        <w:rPr>
          <w:rFonts w:ascii="宋体" w:hAnsi="宋体"/>
          <w:szCs w:val="21"/>
        </w:rPr>
      </w:pPr>
      <w:r>
        <w:rPr>
          <w:rFonts w:hint="eastAsia" w:ascii="宋体" w:hAnsi="宋体"/>
          <w:b/>
          <w:bCs/>
          <w:szCs w:val="21"/>
        </w:rPr>
        <w:t>甲 方</w:t>
      </w:r>
      <w:r>
        <w:rPr>
          <w:rFonts w:hint="eastAsia" w:ascii="宋体" w:hAnsi="宋体"/>
          <w:szCs w:val="21"/>
        </w:rPr>
        <w:t>（采购人）：</w:t>
      </w:r>
      <w:r>
        <w:rPr>
          <w:rFonts w:hint="eastAsia" w:ascii="宋体" w:hAnsi="宋体"/>
          <w:szCs w:val="21"/>
          <w:u w:val="single"/>
        </w:rPr>
        <w:t xml:space="preserve">                </w:t>
      </w:r>
      <w:r>
        <w:rPr>
          <w:rFonts w:hint="eastAsia" w:ascii="宋体" w:hAnsi="宋体"/>
          <w:szCs w:val="21"/>
        </w:rPr>
        <w:t xml:space="preserve"> </w:t>
      </w:r>
    </w:p>
    <w:p>
      <w:pPr>
        <w:rPr>
          <w:rFonts w:ascii="宋体" w:hAnsi="宋体"/>
          <w:szCs w:val="21"/>
        </w:rPr>
      </w:pPr>
      <w:r>
        <w:rPr>
          <w:rFonts w:hint="eastAsia" w:ascii="宋体" w:hAnsi="宋体"/>
          <w:szCs w:val="21"/>
        </w:rPr>
        <w:t xml:space="preserve">电 话：                       传 真：                   地 址： </w:t>
      </w:r>
    </w:p>
    <w:p>
      <w:pPr>
        <w:rPr>
          <w:rFonts w:ascii="宋体" w:hAnsi="宋体"/>
          <w:szCs w:val="21"/>
        </w:rPr>
      </w:pPr>
      <w:r>
        <w:rPr>
          <w:rFonts w:hint="eastAsia" w:ascii="宋体" w:hAnsi="宋体"/>
          <w:b/>
          <w:bCs/>
          <w:szCs w:val="21"/>
        </w:rPr>
        <w:t>乙 方</w:t>
      </w:r>
      <w:r>
        <w:rPr>
          <w:rFonts w:hint="eastAsia" w:ascii="宋体" w:hAnsi="宋体"/>
          <w:szCs w:val="21"/>
        </w:rPr>
        <w:t>（中标供应商）：</w:t>
      </w:r>
      <w:r>
        <w:rPr>
          <w:rFonts w:hint="eastAsia" w:ascii="宋体" w:hAnsi="宋体"/>
          <w:szCs w:val="21"/>
          <w:u w:val="single"/>
        </w:rPr>
        <w:t xml:space="preserve">                 </w:t>
      </w:r>
      <w:r>
        <w:rPr>
          <w:rFonts w:hint="eastAsia" w:ascii="宋体" w:hAnsi="宋体"/>
          <w:szCs w:val="21"/>
        </w:rPr>
        <w:t xml:space="preserve">          </w:t>
      </w:r>
    </w:p>
    <w:p>
      <w:pPr>
        <w:rPr>
          <w:rFonts w:ascii="宋体" w:hAnsi="宋体"/>
          <w:szCs w:val="21"/>
        </w:rPr>
      </w:pPr>
      <w:r>
        <w:rPr>
          <w:rFonts w:hint="eastAsia" w:ascii="宋体" w:hAnsi="宋体"/>
          <w:szCs w:val="21"/>
        </w:rPr>
        <w:t xml:space="preserve">电 话：                       传 真：                   地 址： </w:t>
      </w:r>
    </w:p>
    <w:p>
      <w:pPr>
        <w:rPr>
          <w:rFonts w:ascii="宋体" w:hAnsi="宋体"/>
          <w:szCs w:val="21"/>
        </w:rPr>
      </w:pPr>
      <w:r>
        <w:rPr>
          <w:rFonts w:hint="eastAsia" w:ascii="宋体" w:hAnsi="宋体"/>
          <w:szCs w:val="21"/>
        </w:rPr>
        <w:t xml:space="preserve">项目名称：                                              项目编号： </w:t>
      </w:r>
    </w:p>
    <w:p>
      <w:pPr>
        <w:rPr>
          <w:rFonts w:ascii="宋体" w:hAnsi="宋体"/>
          <w:szCs w:val="21"/>
        </w:rPr>
      </w:pPr>
      <w:r>
        <w:rPr>
          <w:rFonts w:hint="eastAsia" w:ascii="宋体" w:hAnsi="宋体"/>
          <w:szCs w:val="21"/>
        </w:rPr>
        <w:t xml:space="preserve">    根据</w:t>
      </w:r>
      <w:r>
        <w:rPr>
          <w:rFonts w:hint="eastAsia" w:ascii="宋体" w:hAnsi="宋体"/>
          <w:szCs w:val="21"/>
          <w:u w:val="single"/>
        </w:rPr>
        <w:t xml:space="preserve">             </w:t>
      </w:r>
      <w:r>
        <w:rPr>
          <w:rFonts w:hint="eastAsia" w:ascii="宋体" w:hAnsi="宋体"/>
          <w:szCs w:val="21"/>
        </w:rPr>
        <w:t xml:space="preserve">项目的采购结果，按照《中华人民共和国政府采购法》及其实施条例、《中华人民共和国民法典》的规定，经双方协商，本着平等互利和诚实信用的原则，一致同意签订本合同如下。 </w:t>
      </w:r>
    </w:p>
    <w:p>
      <w:pPr>
        <w:rPr>
          <w:rFonts w:ascii="宋体" w:hAnsi="宋体"/>
          <w:szCs w:val="21"/>
        </w:rPr>
      </w:pPr>
    </w:p>
    <w:p>
      <w:pPr>
        <w:rPr>
          <w:rFonts w:ascii="宋体" w:hAnsi="宋体"/>
          <w:szCs w:val="21"/>
        </w:rPr>
      </w:pPr>
      <w:r>
        <w:rPr>
          <w:rFonts w:hint="eastAsia" w:ascii="宋体" w:hAnsi="宋体"/>
          <w:b/>
          <w:bCs/>
          <w:szCs w:val="21"/>
        </w:rPr>
        <w:t>一、 合同金额</w:t>
      </w:r>
      <w:r>
        <w:rPr>
          <w:rFonts w:hint="eastAsia" w:ascii="宋体" w:hAnsi="宋体"/>
          <w:szCs w:val="21"/>
        </w:rPr>
        <w:t xml:space="preserve"> </w:t>
      </w:r>
    </w:p>
    <w:p>
      <w:pPr>
        <w:rPr>
          <w:rFonts w:ascii="宋体" w:hAnsi="宋体"/>
          <w:szCs w:val="21"/>
        </w:rPr>
      </w:pPr>
      <w:r>
        <w:rPr>
          <w:rFonts w:hint="eastAsia" w:ascii="宋体" w:hAnsi="宋体"/>
          <w:szCs w:val="21"/>
        </w:rPr>
        <w:t xml:space="preserve">合同金额为（大写）：_________________元（￥_______________元）。 </w:t>
      </w:r>
    </w:p>
    <w:p>
      <w:pPr>
        <w:numPr>
          <w:ilvl w:val="0"/>
          <w:numId w:val="16"/>
        </w:numPr>
      </w:pPr>
      <w:r>
        <w:rPr>
          <w:rFonts w:hint="eastAsia" w:ascii="宋体" w:hAnsi="宋体"/>
          <w:b/>
          <w:bCs/>
          <w:szCs w:val="21"/>
        </w:rPr>
        <w:t xml:space="preserve">合同内容 </w:t>
      </w:r>
    </w:p>
    <w:p>
      <w:pPr>
        <w:ind w:firstLine="420" w:firstLineChars="200"/>
        <w:rPr>
          <w:rFonts w:hint="eastAsia" w:ascii="宋体" w:hAnsi="宋体"/>
          <w:szCs w:val="21"/>
          <w:lang w:val="en-US" w:eastAsia="zh-CN"/>
        </w:rPr>
      </w:pPr>
      <w:r>
        <w:rPr>
          <w:rFonts w:hint="eastAsia" w:ascii="宋体" w:hAnsi="宋体"/>
          <w:szCs w:val="21"/>
          <w:lang w:val="en-US" w:eastAsia="zh-CN"/>
        </w:rPr>
        <w:t>更好落实《广州市番禺区慈善会临时生活困难及自然灾害救助实施办法》、《广州市番禺区慈善会助学实施办法》、《广州市番禺区慈善会医疗救助实施办法》、《广州市番禺区慈善会来穗务工人员重大疾病医疗救助实施办法》等办法的实施，同时通过保险运营模式起到慈善基金的一定杠杆作用，进一步加快慈善流程，提高慈善资金的使用效益和社会效益。</w:t>
      </w:r>
    </w:p>
    <w:p>
      <w:pPr>
        <w:rPr>
          <w:rFonts w:ascii="宋体" w:hAnsi="宋体"/>
          <w:b/>
          <w:bCs/>
          <w:szCs w:val="21"/>
        </w:rPr>
      </w:pPr>
      <w:r>
        <w:rPr>
          <w:rFonts w:hint="eastAsia" w:ascii="宋体" w:hAnsi="宋体"/>
          <w:b/>
          <w:bCs/>
          <w:szCs w:val="21"/>
        </w:rPr>
        <w:t xml:space="preserve">三、项目完成期限 </w:t>
      </w:r>
    </w:p>
    <w:p>
      <w:pPr>
        <w:ind w:firstLine="420" w:firstLineChars="200"/>
        <w:rPr>
          <w:rFonts w:hint="eastAsia" w:ascii="宋体" w:hAnsi="宋体"/>
          <w:szCs w:val="21"/>
          <w:lang w:val="en-US" w:eastAsia="zh-CN"/>
        </w:rPr>
      </w:pPr>
      <w:r>
        <w:rPr>
          <w:rFonts w:hint="eastAsia" w:ascii="宋体" w:hAnsi="宋体"/>
          <w:szCs w:val="21"/>
          <w:lang w:val="en-US" w:eastAsia="zh-CN"/>
        </w:rPr>
        <w:t>2021年8月至2022年7月</w:t>
      </w:r>
    </w:p>
    <w:p>
      <w:pPr>
        <w:rPr>
          <w:rFonts w:ascii="宋体" w:hAnsi="宋体"/>
          <w:color w:val="auto"/>
          <w:szCs w:val="21"/>
        </w:rPr>
      </w:pPr>
      <w:r>
        <w:rPr>
          <w:rFonts w:hint="eastAsia" w:ascii="宋体" w:hAnsi="宋体"/>
          <w:b/>
          <w:bCs/>
          <w:color w:val="auto"/>
          <w:szCs w:val="21"/>
          <w:lang w:val="en-US" w:eastAsia="zh-CN"/>
        </w:rPr>
        <w:t>四</w:t>
      </w:r>
      <w:r>
        <w:rPr>
          <w:rFonts w:hint="eastAsia" w:ascii="宋体" w:hAnsi="宋体"/>
          <w:b/>
          <w:bCs/>
          <w:color w:val="auto"/>
          <w:szCs w:val="21"/>
        </w:rPr>
        <w:t>、付款方式</w:t>
      </w:r>
    </w:p>
    <w:p>
      <w:pPr>
        <w:ind w:firstLine="420" w:firstLineChars="200"/>
        <w:rPr>
          <w:rFonts w:hint="eastAsia" w:ascii="宋体" w:hAnsi="宋体"/>
          <w:szCs w:val="21"/>
          <w:lang w:val="en-US" w:eastAsia="zh-CN"/>
        </w:rPr>
      </w:pPr>
      <w:r>
        <w:rPr>
          <w:rFonts w:hint="eastAsia" w:ascii="宋体" w:hAnsi="宋体"/>
          <w:szCs w:val="21"/>
          <w:lang w:val="en-US" w:eastAsia="zh-CN"/>
        </w:rPr>
        <w:t>...</w:t>
      </w:r>
    </w:p>
    <w:p>
      <w:pPr>
        <w:rPr>
          <w:rFonts w:ascii="宋体" w:hAnsi="宋体"/>
          <w:b/>
          <w:bCs/>
          <w:szCs w:val="21"/>
        </w:rPr>
      </w:pPr>
      <w:r>
        <w:rPr>
          <w:rFonts w:hint="eastAsia" w:ascii="宋体" w:hAnsi="宋体"/>
          <w:b/>
          <w:bCs/>
          <w:szCs w:val="21"/>
          <w:lang w:val="en-US" w:eastAsia="zh-CN"/>
        </w:rPr>
        <w:t>五</w:t>
      </w:r>
      <w:r>
        <w:rPr>
          <w:rFonts w:hint="eastAsia" w:ascii="宋体" w:hAnsi="宋体"/>
          <w:b/>
          <w:bCs/>
          <w:szCs w:val="21"/>
        </w:rPr>
        <w:t xml:space="preserve">、 知识产权产权归属 </w:t>
      </w:r>
    </w:p>
    <w:p>
      <w:pPr>
        <w:ind w:firstLine="420" w:firstLineChars="200"/>
        <w:rPr>
          <w:rFonts w:ascii="宋体" w:hAnsi="宋体"/>
          <w:szCs w:val="21"/>
        </w:rPr>
      </w:pPr>
      <w:r>
        <w:rPr>
          <w:rFonts w:hint="eastAsia" w:ascii="宋体" w:hAnsi="宋体"/>
          <w:szCs w:val="21"/>
        </w:rPr>
        <w:t>乙方应保证向甲方提供的设备、技术服务等不侵害任何第三方的知识产权，不会产生因第三方提出侵犯其专利权、商标权或其他知识产权而引起的法律和经济纠纷；如因第三方提出其专利权、商标权或其他知识产权的权利主张的，否则，乙方赔偿甲方因此遭受的一切损失（包括但不限于赔偿金、违约金、律师费、差旅费等）。</w:t>
      </w:r>
    </w:p>
    <w:p>
      <w:pPr>
        <w:rPr>
          <w:rFonts w:ascii="宋体" w:hAnsi="宋体" w:cs="宋体"/>
          <w:b/>
          <w:bCs/>
          <w:szCs w:val="21"/>
        </w:rPr>
      </w:pPr>
      <w:r>
        <w:rPr>
          <w:rFonts w:hint="eastAsia" w:ascii="宋体" w:hAnsi="宋体" w:cs="宋体"/>
          <w:b/>
          <w:bCs/>
          <w:szCs w:val="21"/>
          <w:lang w:val="en-US" w:eastAsia="zh-CN"/>
        </w:rPr>
        <w:t>六</w:t>
      </w:r>
      <w:r>
        <w:rPr>
          <w:rFonts w:hint="eastAsia" w:ascii="宋体" w:hAnsi="宋体" w:cs="宋体"/>
          <w:b/>
          <w:bCs/>
          <w:szCs w:val="21"/>
        </w:rPr>
        <w:t xml:space="preserve">、 保密 </w:t>
      </w:r>
    </w:p>
    <w:p>
      <w:pPr>
        <w:ind w:firstLine="420"/>
        <w:rPr>
          <w:rFonts w:ascii="宋体" w:hAnsi="宋体" w:cs="宋体"/>
          <w:szCs w:val="21"/>
        </w:rPr>
      </w:pPr>
      <w:r>
        <w:rPr>
          <w:rFonts w:hint="eastAsia" w:ascii="宋体" w:hAnsi="宋体" w:cs="宋体"/>
          <w:szCs w:val="21"/>
        </w:rPr>
        <w:t>乙方必须采取措施对本项目实施过程中的数据、源代码、技术文档等资料保密，否则，由于乙方过错导致的上述资料泄密的，乙方必须承担一切责任。保密期限：永久保密。</w:t>
      </w:r>
    </w:p>
    <w:p>
      <w:pPr>
        <w:ind w:firstLine="420" w:firstLineChars="200"/>
        <w:rPr>
          <w:rFonts w:ascii="宋体" w:hAnsi="宋体" w:cs="宋体"/>
          <w:szCs w:val="21"/>
        </w:rPr>
      </w:pPr>
      <w:r>
        <w:rPr>
          <w:rFonts w:hint="eastAsia" w:ascii="宋体" w:hAnsi="宋体" w:cs="宋体"/>
          <w:szCs w:val="21"/>
        </w:rPr>
        <w:t xml:space="preserve">1）未经甲方事先书面同意，乙方不得将本合同提供的条文、规格、计划、图纸、模型、样品或资料提供给与本合同无关的任何第三方，不得将其用于履行本合同之外的其它用途。即使向与履行本合同有关的人员提供，也应注意保密并限于履行合同所必需的范围。 </w:t>
      </w:r>
    </w:p>
    <w:p>
      <w:pPr>
        <w:ind w:firstLine="420" w:firstLineChars="200"/>
        <w:rPr>
          <w:rFonts w:ascii="宋体" w:hAnsi="宋体" w:cs="宋体"/>
          <w:szCs w:val="21"/>
        </w:rPr>
      </w:pPr>
      <w:r>
        <w:rPr>
          <w:rFonts w:hint="eastAsia" w:ascii="宋体" w:hAnsi="宋体" w:cs="宋体"/>
          <w:szCs w:val="21"/>
        </w:rPr>
        <w:t xml:space="preserve">2）除了合同本身之外，上款所列举的任何物品、资料均是甲方所有。如果甲方有要求，乙方在完成合同后应将这些物件及全部复制件还给甲方。 </w:t>
      </w:r>
    </w:p>
    <w:p>
      <w:pPr>
        <w:rPr>
          <w:rFonts w:ascii="宋体" w:hAnsi="宋体" w:cs="宋体"/>
          <w:b/>
          <w:bCs/>
          <w:szCs w:val="21"/>
        </w:rPr>
      </w:pPr>
      <w:r>
        <w:rPr>
          <w:rFonts w:hint="eastAsia" w:ascii="宋体" w:hAnsi="宋体" w:cs="宋体"/>
          <w:b/>
          <w:bCs/>
          <w:szCs w:val="21"/>
          <w:lang w:val="en-US" w:eastAsia="zh-CN"/>
        </w:rPr>
        <w:t>七</w:t>
      </w:r>
      <w:r>
        <w:rPr>
          <w:rFonts w:hint="eastAsia" w:ascii="宋体" w:hAnsi="宋体" w:cs="宋体"/>
          <w:b/>
          <w:bCs/>
          <w:szCs w:val="21"/>
        </w:rPr>
        <w:t xml:space="preserve">、 违约责任与赔偿损失 </w:t>
      </w:r>
    </w:p>
    <w:p>
      <w:pPr>
        <w:ind w:firstLine="420" w:firstLineChars="200"/>
        <w:rPr>
          <w:rFonts w:ascii="宋体" w:hAnsi="宋体" w:cs="宋体"/>
          <w:szCs w:val="21"/>
        </w:rPr>
      </w:pPr>
      <w:r>
        <w:rPr>
          <w:rFonts w:hint="eastAsia" w:ascii="宋体" w:hAnsi="宋体" w:cs="宋体"/>
          <w:szCs w:val="21"/>
        </w:rPr>
        <w:t xml:space="preserve">1）乙方提供的服务不符合采购文件、投标文件或本合同规定的，甲方有权拒收，并且乙方须向甲方支付本合同总价5%的违约金。 </w:t>
      </w:r>
    </w:p>
    <w:p>
      <w:pPr>
        <w:ind w:firstLine="420" w:firstLineChars="200"/>
        <w:rPr>
          <w:rFonts w:ascii="宋体" w:hAnsi="宋体" w:cs="宋体"/>
          <w:szCs w:val="21"/>
        </w:rPr>
      </w:pPr>
      <w:r>
        <w:rPr>
          <w:rFonts w:hint="eastAsia" w:ascii="宋体" w:hAnsi="宋体" w:cs="宋体"/>
          <w:szCs w:val="21"/>
        </w:rPr>
        <w:t xml:space="preserve">2）乙方未能按本合同规定的交货时间提供服务，从逾期之日起每日按本合同总价0.3‰向甲方支付逾期违约金；逾期15天以上的，甲方有权终止合同，要求乙方退还甲方已支付的合同价款，由此给甲方造成损失的，乙方应承担相应的赔偿责任。 </w:t>
      </w:r>
    </w:p>
    <w:p>
      <w:pPr>
        <w:ind w:firstLine="420" w:firstLineChars="200"/>
        <w:rPr>
          <w:rFonts w:ascii="宋体" w:hAnsi="宋体" w:cs="宋体"/>
          <w:szCs w:val="21"/>
        </w:rPr>
      </w:pPr>
      <w:r>
        <w:rPr>
          <w:rFonts w:hint="eastAsia" w:ascii="宋体" w:hAnsi="宋体" w:cs="宋体"/>
          <w:szCs w:val="21"/>
        </w:rPr>
        <w:t>3）甲方无正当理由拒收接受服务，到期拒付服务款项的，甲方向乙方偿付本合同总价5%的违约金。甲方逾期付款，则每日按本合同总价的0.3‰向乙方偿付违约金。</w:t>
      </w:r>
    </w:p>
    <w:p>
      <w:pPr>
        <w:ind w:firstLine="420" w:firstLineChars="200"/>
        <w:rPr>
          <w:rFonts w:ascii="宋体" w:hAnsi="宋体" w:cs="宋体"/>
          <w:szCs w:val="21"/>
        </w:rPr>
      </w:pPr>
      <w:r>
        <w:rPr>
          <w:rFonts w:hint="eastAsia" w:ascii="宋体" w:hAnsi="宋体" w:cs="宋体"/>
          <w:szCs w:val="21"/>
        </w:rPr>
        <w:t>4）乙方未按合同规定履行售后服务承诺的，甲方可选定第三方单位进行修复，其费用全部由乙方支付；否则，甲方有权从银行保函中兑现，若银行保函中金额不足以支付维修费用的，甲方有权要求乙方限期支付超出的部分。</w:t>
      </w:r>
    </w:p>
    <w:p>
      <w:pPr>
        <w:ind w:firstLine="420" w:firstLineChars="200"/>
        <w:rPr>
          <w:rFonts w:ascii="宋体" w:hAnsi="宋体" w:cs="宋体"/>
          <w:szCs w:val="21"/>
        </w:rPr>
      </w:pPr>
      <w:r>
        <w:rPr>
          <w:rFonts w:hint="eastAsia" w:ascii="宋体" w:hAnsi="宋体" w:cs="宋体"/>
          <w:szCs w:val="21"/>
        </w:rPr>
        <w:t>5）非因法定、不可抗力与政府行为或者双方协商一致，任何一方单方终止或解除本合同的，另一方有权要求解除方（或终止方）按照本合同总价的5%支付违约金，由此给另一方造成损失的，还应当承担相应的赔偿责任。</w:t>
      </w:r>
    </w:p>
    <w:p>
      <w:pPr>
        <w:ind w:firstLine="420" w:firstLineChars="200"/>
        <w:rPr>
          <w:rFonts w:ascii="宋体" w:hAnsi="宋体" w:cs="宋体"/>
          <w:szCs w:val="21"/>
        </w:rPr>
      </w:pPr>
      <w:r>
        <w:rPr>
          <w:rFonts w:hint="eastAsia" w:ascii="宋体" w:hAnsi="宋体" w:cs="宋体"/>
          <w:szCs w:val="21"/>
        </w:rPr>
        <w:t>6）任何一方违约，守约方除可要求对方承担本协议约定的违约责任外，还可要求违约方承担守约方因追究违约责任所支付的一切费用，包括但不限于诉讼费、律师费、鉴定费等。</w:t>
      </w:r>
    </w:p>
    <w:p>
      <w:pPr>
        <w:ind w:firstLine="420" w:firstLineChars="200"/>
        <w:rPr>
          <w:rFonts w:ascii="宋体" w:hAnsi="宋体" w:cs="宋体"/>
          <w:b/>
          <w:bCs/>
          <w:szCs w:val="21"/>
        </w:rPr>
      </w:pPr>
      <w:r>
        <w:rPr>
          <w:rFonts w:hint="eastAsia" w:ascii="宋体" w:hAnsi="宋体" w:cs="宋体"/>
          <w:szCs w:val="21"/>
        </w:rPr>
        <w:t>7）其它违约责任按《中华人民共和国民法典》处理。</w:t>
      </w:r>
    </w:p>
    <w:p>
      <w:pPr>
        <w:rPr>
          <w:rFonts w:ascii="宋体" w:hAnsi="宋体" w:cs="宋体"/>
          <w:b/>
          <w:bCs/>
          <w:szCs w:val="21"/>
        </w:rPr>
      </w:pPr>
      <w:r>
        <w:rPr>
          <w:rFonts w:hint="eastAsia" w:ascii="宋体" w:hAnsi="宋体" w:cs="宋体"/>
          <w:b/>
          <w:bCs/>
          <w:szCs w:val="21"/>
          <w:lang w:val="en-US" w:eastAsia="zh-CN"/>
        </w:rPr>
        <w:t>八</w:t>
      </w:r>
      <w:r>
        <w:rPr>
          <w:rFonts w:hint="eastAsia" w:ascii="宋体" w:hAnsi="宋体" w:cs="宋体"/>
          <w:b/>
          <w:bCs/>
          <w:szCs w:val="21"/>
        </w:rPr>
        <w:t xml:space="preserve">、 争端的解决 </w:t>
      </w:r>
    </w:p>
    <w:p>
      <w:pPr>
        <w:ind w:firstLine="420" w:firstLineChars="200"/>
        <w:rPr>
          <w:rFonts w:ascii="宋体" w:hAnsi="宋体" w:cs="宋体"/>
          <w:szCs w:val="21"/>
        </w:rPr>
      </w:pPr>
      <w:r>
        <w:rPr>
          <w:rFonts w:hint="eastAsia" w:ascii="宋体" w:hAnsi="宋体" w:cs="宋体"/>
          <w:szCs w:val="21"/>
        </w:rPr>
        <w:t xml:space="preserve">凡与本协议有关的一切争议，甲乙双方应首先通过友好协商方式，如经协商后仍不能达成协议时，双方均可向甲方所在地人民法院提起诉讼。 </w:t>
      </w:r>
    </w:p>
    <w:p>
      <w:pPr>
        <w:rPr>
          <w:rFonts w:ascii="宋体" w:hAnsi="宋体" w:cs="宋体"/>
          <w:b/>
          <w:bCs/>
          <w:szCs w:val="21"/>
        </w:rPr>
      </w:pPr>
      <w:r>
        <w:rPr>
          <w:rFonts w:hint="eastAsia" w:ascii="宋体" w:hAnsi="宋体" w:cs="宋体"/>
          <w:b/>
          <w:bCs/>
          <w:szCs w:val="21"/>
          <w:lang w:val="en-US" w:eastAsia="zh-CN"/>
        </w:rPr>
        <w:t>九</w:t>
      </w:r>
      <w:r>
        <w:rPr>
          <w:rFonts w:hint="eastAsia" w:ascii="宋体" w:hAnsi="宋体" w:cs="宋体"/>
          <w:b/>
          <w:bCs/>
          <w:szCs w:val="21"/>
        </w:rPr>
        <w:t xml:space="preserve">、 不可抗力 </w:t>
      </w:r>
    </w:p>
    <w:p>
      <w:pPr>
        <w:ind w:firstLine="420" w:firstLineChars="200"/>
        <w:rPr>
          <w:rFonts w:ascii="宋体" w:hAnsi="宋体" w:cs="宋体"/>
          <w:szCs w:val="21"/>
        </w:rPr>
      </w:pPr>
      <w:r>
        <w:rPr>
          <w:rFonts w:hint="eastAsia" w:ascii="宋体" w:hAnsi="宋体" w:cs="宋体"/>
          <w:szCs w:val="21"/>
        </w:rPr>
        <w:t>由于不能预见、不能避免和不能克服的自然原因或社会原因，致使本合同不能履行或者不能完全履行时，遇到上述不可抗力或政府行为的一方，应立即书面通知合同其他方，并应在不可抗力或政府行为发生后十五日内，向合同其他方提供经不可抗力事件发生地区县级以上政府部门出具的证明合同不能履行或需要延期履行、部分履行的有效证明文件。由合同各方按事件对履行合同影响的程度协商决定是否解除合同、或者部分或全部免除履行合同的责任、或者延期履行合同。遭受不可抗力或政府行为的一方未履行上述义务的，不能免除其违约责任。</w:t>
      </w:r>
    </w:p>
    <w:p>
      <w:pPr>
        <w:rPr>
          <w:rFonts w:ascii="宋体" w:hAnsi="宋体" w:cs="宋体"/>
          <w:szCs w:val="21"/>
        </w:rPr>
      </w:pPr>
      <w:r>
        <w:rPr>
          <w:rFonts w:hint="eastAsia" w:ascii="宋体" w:hAnsi="宋体" w:cs="宋体"/>
          <w:szCs w:val="21"/>
        </w:rPr>
        <w:t>在出现不可抗力或政府行为的情况下，双方均应采取适当措施减轻损失。任何一方因未采取措施或采取措施不当导致损失扩大的，应当对扩大的损失承担责任。</w:t>
      </w:r>
    </w:p>
    <w:p>
      <w:pPr>
        <w:rPr>
          <w:rFonts w:ascii="宋体" w:hAnsi="宋体" w:cs="宋体"/>
          <w:b/>
          <w:bCs/>
          <w:szCs w:val="21"/>
        </w:rPr>
      </w:pPr>
      <w:r>
        <w:rPr>
          <w:rFonts w:hint="eastAsia" w:ascii="宋体" w:hAnsi="宋体" w:cs="宋体"/>
          <w:b/>
          <w:bCs/>
          <w:szCs w:val="21"/>
        </w:rPr>
        <w:t xml:space="preserve">十、 税费 </w:t>
      </w:r>
    </w:p>
    <w:p>
      <w:pPr>
        <w:ind w:firstLine="420" w:firstLineChars="200"/>
        <w:rPr>
          <w:rFonts w:ascii="宋体" w:hAnsi="宋体" w:cs="宋体"/>
          <w:szCs w:val="21"/>
        </w:rPr>
      </w:pPr>
      <w:r>
        <w:rPr>
          <w:rFonts w:hint="eastAsia" w:ascii="宋体" w:hAnsi="宋体" w:cs="宋体"/>
          <w:szCs w:val="21"/>
        </w:rPr>
        <w:t xml:space="preserve">在中国境内、外发生的与本合同执行有关的一切税费均由乙方负担。 </w:t>
      </w:r>
    </w:p>
    <w:p>
      <w:pPr>
        <w:rPr>
          <w:rFonts w:ascii="宋体" w:hAnsi="宋体" w:cs="宋体"/>
          <w:b/>
          <w:bCs/>
          <w:szCs w:val="21"/>
        </w:rPr>
      </w:pPr>
      <w:r>
        <w:rPr>
          <w:rFonts w:hint="eastAsia" w:ascii="宋体" w:hAnsi="宋体" w:cs="宋体"/>
          <w:b/>
          <w:bCs/>
          <w:szCs w:val="21"/>
        </w:rPr>
        <w:t>十</w:t>
      </w:r>
      <w:r>
        <w:rPr>
          <w:rFonts w:hint="eastAsia" w:ascii="宋体" w:hAnsi="宋体" w:cs="宋体"/>
          <w:b/>
          <w:bCs/>
          <w:szCs w:val="21"/>
          <w:lang w:val="en-US" w:eastAsia="zh-CN"/>
        </w:rPr>
        <w:t>一</w:t>
      </w:r>
      <w:r>
        <w:rPr>
          <w:rFonts w:hint="eastAsia" w:ascii="宋体" w:hAnsi="宋体" w:cs="宋体"/>
          <w:b/>
          <w:bCs/>
          <w:szCs w:val="21"/>
        </w:rPr>
        <w:t>、通知送达</w:t>
      </w:r>
    </w:p>
    <w:p>
      <w:pPr>
        <w:ind w:firstLine="420" w:firstLineChars="200"/>
        <w:jc w:val="left"/>
        <w:rPr>
          <w:rFonts w:ascii="宋体" w:hAnsi="宋体" w:cs="宋体"/>
          <w:szCs w:val="21"/>
        </w:rPr>
      </w:pPr>
      <w:r>
        <w:rPr>
          <w:rFonts w:hint="eastAsia" w:ascii="宋体" w:hAnsi="宋体" w:cs="宋体"/>
          <w:szCs w:val="21"/>
        </w:rPr>
        <w:t>与本合同签订、履行以及争议解决等有关的文件、通知、材料等的送达，均以合同首部列明的地址和邮箱为准，只要有关的文件、通知、材料送达至上述地址或邮箱，无论受送达方是否实际拆阅或查阅，均视为送达。</w:t>
      </w:r>
    </w:p>
    <w:p>
      <w:pPr>
        <w:jc w:val="left"/>
      </w:pPr>
      <w:r>
        <w:rPr>
          <w:rFonts w:hint="eastAsia" w:ascii="宋体" w:hAnsi="宋体" w:cs="宋体"/>
          <w:szCs w:val="21"/>
        </w:rPr>
        <w:t>任何一方联系地址、联系方式或联系人变更，应在发生变更情况之日起3个工作日内以电话或书面形式通知另一方；否则，按未变更地址送达视为有效送达，无论该文件是否退回或被拒收，由此产生的责任与损失由变更方承担。</w:t>
      </w:r>
    </w:p>
    <w:p>
      <w:pPr>
        <w:rPr>
          <w:rFonts w:ascii="宋体" w:hAnsi="宋体" w:cs="宋体"/>
          <w:b/>
          <w:bCs/>
          <w:szCs w:val="21"/>
        </w:rPr>
      </w:pPr>
      <w:r>
        <w:rPr>
          <w:rFonts w:hint="eastAsia" w:ascii="宋体" w:hAnsi="宋体" w:cs="宋体"/>
          <w:b/>
          <w:bCs/>
          <w:szCs w:val="21"/>
        </w:rPr>
        <w:t>十</w:t>
      </w:r>
      <w:r>
        <w:rPr>
          <w:rFonts w:hint="eastAsia" w:ascii="宋体" w:hAnsi="宋体" w:cs="宋体"/>
          <w:b/>
          <w:bCs/>
          <w:szCs w:val="21"/>
          <w:lang w:val="en-US" w:eastAsia="zh-CN"/>
        </w:rPr>
        <w:t>二</w:t>
      </w:r>
      <w:r>
        <w:rPr>
          <w:rFonts w:hint="eastAsia" w:ascii="宋体" w:hAnsi="宋体" w:cs="宋体"/>
          <w:b/>
          <w:bCs/>
          <w:szCs w:val="21"/>
        </w:rPr>
        <w:t xml:space="preserve">、 其它 </w:t>
      </w:r>
    </w:p>
    <w:p>
      <w:pPr>
        <w:ind w:firstLine="420" w:firstLineChars="200"/>
        <w:rPr>
          <w:rFonts w:ascii="宋体" w:hAnsi="宋体" w:cs="宋体"/>
          <w:szCs w:val="21"/>
        </w:rPr>
      </w:pPr>
      <w:r>
        <w:rPr>
          <w:rFonts w:hint="eastAsia" w:ascii="宋体" w:hAnsi="宋体" w:cs="宋体"/>
          <w:szCs w:val="21"/>
        </w:rPr>
        <w:t xml:space="preserve">1）本合同所有附件、采购文件、投标文件、中标通知书均为合同的有效组成部分，与本合同具有同等法律效力。 </w:t>
      </w:r>
    </w:p>
    <w:p>
      <w:pPr>
        <w:ind w:firstLine="420" w:firstLineChars="200"/>
        <w:rPr>
          <w:rFonts w:ascii="宋体" w:hAnsi="宋体" w:cs="宋体"/>
          <w:szCs w:val="21"/>
        </w:rPr>
      </w:pPr>
      <w:r>
        <w:rPr>
          <w:rFonts w:hint="eastAsia" w:ascii="宋体" w:hAnsi="宋体" w:cs="宋体"/>
          <w:szCs w:val="21"/>
        </w:rPr>
        <w:t xml:space="preserve">2）在执行本合同的过程中，所有经双方签署确认的文件（包括会议纪要、补充协议、往来信函）即成为本合同的有效组成部分。 </w:t>
      </w:r>
    </w:p>
    <w:p>
      <w:pPr>
        <w:ind w:firstLine="420" w:firstLineChars="200"/>
        <w:rPr>
          <w:rFonts w:ascii="宋体" w:hAnsi="宋体" w:cs="宋体"/>
          <w:szCs w:val="21"/>
        </w:rPr>
      </w:pPr>
      <w:r>
        <w:rPr>
          <w:rFonts w:hint="eastAsia" w:ascii="宋体" w:hAnsi="宋体" w:cs="宋体"/>
          <w:szCs w:val="21"/>
        </w:rPr>
        <w:t xml:space="preserve">3）如一方地址、电话、传真号码有变更，应在变更当日内书面通知对方，否则，应承担相应责任。 </w:t>
      </w:r>
    </w:p>
    <w:p>
      <w:pPr>
        <w:ind w:firstLine="420" w:firstLineChars="200"/>
        <w:rPr>
          <w:rFonts w:ascii="宋体" w:hAnsi="宋体" w:cs="宋体"/>
          <w:szCs w:val="21"/>
        </w:rPr>
      </w:pPr>
      <w:r>
        <w:rPr>
          <w:rFonts w:hint="eastAsia" w:ascii="宋体" w:hAnsi="宋体" w:cs="宋体"/>
          <w:szCs w:val="21"/>
        </w:rPr>
        <w:t>4）除甲方事先书面同意外，乙方不得部分或全部转让其应履行的合同项下的义务。</w:t>
      </w:r>
    </w:p>
    <w:p>
      <w:pPr>
        <w:rPr>
          <w:rFonts w:ascii="宋体" w:hAnsi="宋体" w:cs="宋体"/>
          <w:b/>
          <w:bCs/>
          <w:szCs w:val="21"/>
        </w:rPr>
      </w:pPr>
      <w:r>
        <w:rPr>
          <w:rFonts w:hint="eastAsia" w:ascii="宋体" w:hAnsi="宋体" w:cs="宋体"/>
          <w:b/>
          <w:bCs/>
          <w:szCs w:val="21"/>
        </w:rPr>
        <w:t>十</w:t>
      </w:r>
      <w:r>
        <w:rPr>
          <w:rFonts w:hint="eastAsia" w:ascii="宋体" w:hAnsi="宋体" w:cs="宋体"/>
          <w:b/>
          <w:bCs/>
          <w:szCs w:val="21"/>
          <w:lang w:val="en-US" w:eastAsia="zh-CN"/>
        </w:rPr>
        <w:t>三</w:t>
      </w:r>
      <w:r>
        <w:rPr>
          <w:rFonts w:hint="eastAsia" w:ascii="宋体" w:hAnsi="宋体" w:cs="宋体"/>
          <w:b/>
          <w:bCs/>
          <w:szCs w:val="21"/>
        </w:rPr>
        <w:t xml:space="preserve">、 合同生效： </w:t>
      </w:r>
    </w:p>
    <w:p>
      <w:pPr>
        <w:ind w:firstLine="420" w:firstLineChars="200"/>
        <w:rPr>
          <w:rFonts w:ascii="宋体" w:hAnsi="宋体" w:cs="宋体"/>
          <w:szCs w:val="21"/>
        </w:rPr>
      </w:pPr>
      <w:r>
        <w:rPr>
          <w:rFonts w:hint="eastAsia" w:ascii="宋体" w:hAnsi="宋体" w:cs="宋体"/>
          <w:szCs w:val="21"/>
        </w:rPr>
        <w:t>1）本协议一式柒份，具有同等效力，甲方肆份、乙方贰份、招标代理机构壹份。协议自双方授权代表签字并加盖公章之日起生效。</w:t>
      </w:r>
    </w:p>
    <w:p>
      <w:pPr>
        <w:ind w:firstLine="420" w:firstLineChars="200"/>
        <w:rPr>
          <w:rFonts w:ascii="宋体" w:hAnsi="宋体" w:cs="宋体"/>
          <w:szCs w:val="21"/>
        </w:rPr>
      </w:pPr>
      <w:r>
        <w:rPr>
          <w:rFonts w:hint="eastAsia" w:ascii="宋体" w:hAnsi="宋体" w:cs="宋体"/>
          <w:szCs w:val="21"/>
        </w:rPr>
        <w:t>2）本协议在履行过程中未尽事宜，由双方签署补充协议确定，并与本协议具有同等法律效力。</w:t>
      </w:r>
    </w:p>
    <w:p>
      <w:pPr>
        <w:ind w:firstLine="420" w:firstLineChars="200"/>
        <w:jc w:val="left"/>
        <w:rPr>
          <w:rFonts w:ascii="宋体" w:hAnsi="宋体" w:cs="宋体"/>
          <w:szCs w:val="21"/>
        </w:rPr>
      </w:pPr>
      <w:r>
        <w:rPr>
          <w:rFonts w:hint="eastAsia" w:ascii="宋体" w:hAnsi="宋体" w:cs="宋体"/>
          <w:szCs w:val="21"/>
        </w:rPr>
        <w:t>3）本合同中有关争议解决的条款，不因本合同期满、解除或宣告无效而失效。</w:t>
      </w:r>
    </w:p>
    <w:p>
      <w:pPr>
        <w:rPr>
          <w:rFonts w:ascii="宋体" w:hAnsi="宋体" w:cs="宋体"/>
          <w:szCs w:val="21"/>
        </w:rPr>
      </w:pPr>
      <w:r>
        <w:rPr>
          <w:rFonts w:hint="eastAsia" w:ascii="宋体" w:hAnsi="宋体" w:cs="宋体"/>
          <w:szCs w:val="21"/>
        </w:rPr>
        <w:t>（以下无正文）</w:t>
      </w:r>
    </w:p>
    <w:p>
      <w:pPr>
        <w:rPr>
          <w:rFonts w:ascii="宋体" w:hAnsi="宋体" w:cs="宋体"/>
          <w:szCs w:val="21"/>
        </w:rPr>
      </w:pPr>
    </w:p>
    <w:p>
      <w:pPr>
        <w:rPr>
          <w:rFonts w:ascii="宋体" w:hAnsi="宋体" w:cs="宋体"/>
          <w:szCs w:val="21"/>
        </w:rPr>
      </w:pPr>
      <w:r>
        <w:rPr>
          <w:rFonts w:hint="eastAsia" w:ascii="宋体" w:hAnsi="宋体" w:cs="宋体"/>
          <w:szCs w:val="21"/>
        </w:rPr>
        <w:t xml:space="preserve">甲方（盖章）：                                 乙方（盖章）： </w:t>
      </w:r>
    </w:p>
    <w:p>
      <w:pPr>
        <w:rPr>
          <w:rFonts w:ascii="宋体" w:hAnsi="宋体" w:cs="宋体"/>
          <w:szCs w:val="21"/>
        </w:rPr>
      </w:pPr>
    </w:p>
    <w:p>
      <w:pPr>
        <w:rPr>
          <w:rFonts w:ascii="宋体" w:hAnsi="宋体" w:cs="宋体"/>
          <w:szCs w:val="21"/>
        </w:rPr>
      </w:pPr>
      <w:r>
        <w:rPr>
          <w:rFonts w:hint="eastAsia" w:ascii="宋体" w:hAnsi="宋体" w:cs="宋体"/>
          <w:szCs w:val="21"/>
        </w:rPr>
        <w:t xml:space="preserve">代表：                                        代表： </w:t>
      </w:r>
    </w:p>
    <w:p>
      <w:pPr>
        <w:rPr>
          <w:rFonts w:ascii="宋体" w:hAnsi="宋体" w:cs="宋体"/>
          <w:szCs w:val="21"/>
        </w:rPr>
      </w:pPr>
    </w:p>
    <w:p>
      <w:pPr>
        <w:rPr>
          <w:rFonts w:ascii="宋体" w:hAnsi="宋体" w:cs="宋体"/>
          <w:szCs w:val="21"/>
        </w:rPr>
      </w:pPr>
      <w:r>
        <w:rPr>
          <w:rFonts w:hint="eastAsia" w:ascii="宋体" w:hAnsi="宋体" w:cs="宋体"/>
          <w:szCs w:val="21"/>
        </w:rPr>
        <w:t xml:space="preserve">签定地点： </w:t>
      </w:r>
    </w:p>
    <w:p>
      <w:pPr>
        <w:rPr>
          <w:rFonts w:ascii="宋体" w:hAnsi="宋体" w:cs="宋体"/>
          <w:szCs w:val="21"/>
        </w:rPr>
      </w:pPr>
    </w:p>
    <w:p>
      <w:pPr>
        <w:rPr>
          <w:rFonts w:ascii="宋体" w:hAnsi="宋体" w:cs="宋体"/>
          <w:szCs w:val="21"/>
        </w:rPr>
      </w:pPr>
      <w:r>
        <w:rPr>
          <w:rFonts w:hint="eastAsia" w:ascii="宋体" w:hAnsi="宋体" w:cs="宋体"/>
          <w:szCs w:val="21"/>
        </w:rPr>
        <w:t xml:space="preserve">签定日期：     年     月     日               签定日期：    年     月     日 </w:t>
      </w:r>
    </w:p>
    <w:p>
      <w:pPr>
        <w:rPr>
          <w:rFonts w:ascii="宋体" w:hAnsi="宋体" w:cs="宋体"/>
          <w:szCs w:val="21"/>
        </w:rPr>
      </w:pPr>
    </w:p>
    <w:p>
      <w:pPr>
        <w:rPr>
          <w:rFonts w:ascii="宋体" w:hAnsi="宋体" w:cs="宋体"/>
          <w:szCs w:val="21"/>
        </w:rPr>
      </w:pPr>
      <w:r>
        <w:rPr>
          <w:rFonts w:hint="eastAsia" w:ascii="宋体" w:hAnsi="宋体" w:cs="宋体"/>
          <w:szCs w:val="21"/>
        </w:rPr>
        <w:t xml:space="preserve">                                              开户名称： </w:t>
      </w:r>
    </w:p>
    <w:p>
      <w:pPr>
        <w:rPr>
          <w:rFonts w:ascii="宋体" w:hAnsi="宋体" w:cs="宋体"/>
          <w:szCs w:val="21"/>
        </w:rPr>
      </w:pPr>
      <w:r>
        <w:rPr>
          <w:rFonts w:hint="eastAsia" w:ascii="宋体" w:hAnsi="宋体" w:cs="宋体"/>
          <w:szCs w:val="21"/>
        </w:rPr>
        <w:t xml:space="preserve"> </w:t>
      </w:r>
    </w:p>
    <w:p>
      <w:pPr>
        <w:rPr>
          <w:rFonts w:ascii="宋体" w:hAnsi="宋体" w:cs="宋体"/>
          <w:szCs w:val="21"/>
        </w:rPr>
      </w:pPr>
      <w:r>
        <w:rPr>
          <w:rFonts w:hint="eastAsia" w:ascii="宋体" w:hAnsi="宋体" w:cs="宋体"/>
          <w:szCs w:val="21"/>
        </w:rPr>
        <w:t xml:space="preserve">                                              银行账号： </w:t>
      </w:r>
    </w:p>
    <w:p>
      <w:pPr>
        <w:rPr>
          <w:rFonts w:ascii="宋体" w:hAnsi="宋体" w:cs="宋体"/>
          <w:szCs w:val="21"/>
        </w:rPr>
      </w:pPr>
    </w:p>
    <w:p>
      <w:pPr>
        <w:rPr>
          <w:rFonts w:ascii="宋体" w:hAnsi="宋体" w:cs="宋体"/>
          <w:szCs w:val="21"/>
        </w:rPr>
      </w:pPr>
      <w:r>
        <w:rPr>
          <w:rFonts w:hint="eastAsia" w:ascii="宋体" w:hAnsi="宋体" w:cs="宋体"/>
          <w:szCs w:val="21"/>
        </w:rPr>
        <w:t xml:space="preserve">                                              开 户 行： </w:t>
      </w:r>
    </w:p>
    <w:p>
      <w:pPr>
        <w:snapToGrid w:val="0"/>
        <w:spacing w:line="360" w:lineRule="auto"/>
        <w:ind w:firstLine="4200" w:firstLineChars="2000"/>
        <w:rPr>
          <w:rFonts w:ascii="宋体" w:hAnsi="宋体"/>
          <w:szCs w:val="21"/>
        </w:rPr>
      </w:pPr>
    </w:p>
    <w:p>
      <w:pPr>
        <w:spacing w:beforeLines="50" w:afterLines="50" w:line="360" w:lineRule="auto"/>
        <w:jc w:val="center"/>
        <w:outlineLvl w:val="0"/>
        <w:rPr>
          <w:rFonts w:ascii="宋体" w:hAnsi="宋体"/>
          <w:b/>
          <w:bCs/>
          <w:sz w:val="28"/>
          <w:szCs w:val="28"/>
        </w:rPr>
      </w:pPr>
      <w:r>
        <w:rPr>
          <w:rFonts w:ascii="宋体" w:hAnsi="宋体"/>
          <w:b/>
          <w:bCs/>
          <w:sz w:val="28"/>
          <w:szCs w:val="28"/>
        </w:rPr>
        <w:br w:type="page"/>
      </w:r>
      <w:bookmarkStart w:id="15" w:name="_Toc30288"/>
      <w:r>
        <w:rPr>
          <w:rFonts w:hint="eastAsia" w:ascii="宋体" w:hAnsi="宋体"/>
          <w:b/>
          <w:bCs/>
          <w:sz w:val="28"/>
          <w:szCs w:val="28"/>
        </w:rPr>
        <w:t>第六章  投标文件格式</w:t>
      </w:r>
      <w:bookmarkEnd w:id="15"/>
    </w:p>
    <w:p>
      <w:pPr>
        <w:autoSpaceDE w:val="0"/>
        <w:autoSpaceDN w:val="0"/>
        <w:adjustRightInd w:val="0"/>
        <w:snapToGrid w:val="0"/>
        <w:spacing w:line="360" w:lineRule="auto"/>
        <w:jc w:val="center"/>
        <w:outlineLvl w:val="1"/>
        <w:rPr>
          <w:rFonts w:ascii="宋体" w:hAnsi="宋体"/>
          <w:b/>
          <w:sz w:val="28"/>
          <w:szCs w:val="28"/>
          <w:lang w:eastAsia="zh-TW"/>
        </w:rPr>
      </w:pPr>
      <w:r>
        <w:rPr>
          <w:rFonts w:hint="eastAsia" w:ascii="宋体" w:hAnsi="宋体"/>
          <w:b/>
          <w:sz w:val="28"/>
          <w:szCs w:val="28"/>
          <w:lang w:eastAsia="zh-TW"/>
        </w:rPr>
        <w:t>投标文件包装封面参考</w:t>
      </w:r>
    </w:p>
    <w:tbl>
      <w:tblPr>
        <w:tblStyle w:val="18"/>
        <w:tblW w:w="106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5" w:hRule="atLeast"/>
          <w:jc w:val="center"/>
        </w:trPr>
        <w:tc>
          <w:tcPr>
            <w:tcW w:w="10682" w:type="dxa"/>
          </w:tcPr>
          <w:p>
            <w:pPr>
              <w:pStyle w:val="6"/>
              <w:spacing w:line="360" w:lineRule="auto"/>
              <w:rPr>
                <w:rFonts w:ascii="宋体" w:hAnsi="宋体"/>
                <w:b/>
                <w:kern w:val="2"/>
                <w:sz w:val="32"/>
              </w:rPr>
            </w:pPr>
          </w:p>
          <w:p>
            <w:pPr>
              <w:pStyle w:val="6"/>
              <w:spacing w:line="360" w:lineRule="auto"/>
              <w:rPr>
                <w:rFonts w:ascii="宋体" w:hAnsi="宋体"/>
                <w:b/>
                <w:kern w:val="2"/>
                <w:sz w:val="32"/>
              </w:rPr>
            </w:pPr>
          </w:p>
          <w:p>
            <w:pPr>
              <w:pStyle w:val="6"/>
              <w:spacing w:line="360" w:lineRule="auto"/>
              <w:jc w:val="center"/>
              <w:rPr>
                <w:rFonts w:ascii="宋体" w:hAnsi="宋体"/>
                <w:b/>
                <w:kern w:val="2"/>
                <w:sz w:val="72"/>
                <w:szCs w:val="72"/>
              </w:rPr>
            </w:pPr>
            <w:r>
              <w:rPr>
                <w:rFonts w:hint="eastAsia" w:ascii="宋体" w:hAnsi="宋体"/>
                <w:b/>
                <w:kern w:val="2"/>
                <w:sz w:val="72"/>
                <w:szCs w:val="72"/>
              </w:rPr>
              <w:t>投 标 文 件</w:t>
            </w:r>
          </w:p>
          <w:p>
            <w:pPr>
              <w:pStyle w:val="6"/>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开标信封</w:t>
            </w:r>
          </w:p>
          <w:p>
            <w:pPr>
              <w:pStyle w:val="6"/>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正本</w:t>
            </w:r>
          </w:p>
          <w:p>
            <w:pPr>
              <w:pStyle w:val="6"/>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副本</w:t>
            </w:r>
          </w:p>
          <w:p>
            <w:pPr>
              <w:pStyle w:val="6"/>
              <w:spacing w:line="360" w:lineRule="auto"/>
              <w:rPr>
                <w:rFonts w:ascii="宋体" w:hAnsi="宋体"/>
                <w:b/>
                <w:kern w:val="2"/>
                <w:sz w:val="32"/>
              </w:rPr>
            </w:pPr>
          </w:p>
          <w:p>
            <w:pPr>
              <w:pStyle w:val="6"/>
              <w:spacing w:line="360" w:lineRule="auto"/>
              <w:rPr>
                <w:rFonts w:ascii="宋体" w:hAnsi="宋体"/>
                <w:b/>
                <w:kern w:val="2"/>
                <w:sz w:val="32"/>
              </w:rPr>
            </w:pPr>
          </w:p>
          <w:p>
            <w:pPr>
              <w:pStyle w:val="6"/>
              <w:spacing w:line="400" w:lineRule="exact"/>
              <w:ind w:firstLine="900" w:firstLineChars="320"/>
              <w:rPr>
                <w:rFonts w:hint="eastAsia" w:ascii="宋体" w:hAnsi="宋体" w:eastAsia="宋体"/>
                <w:b/>
                <w:kern w:val="2"/>
                <w:sz w:val="28"/>
                <w:szCs w:val="28"/>
                <w:lang w:eastAsia="zh-CN"/>
              </w:rPr>
            </w:pPr>
            <w:r>
              <w:rPr>
                <w:rFonts w:hint="eastAsia" w:ascii="宋体" w:hAnsi="宋体"/>
                <w:b/>
                <w:kern w:val="2"/>
                <w:sz w:val="28"/>
                <w:szCs w:val="28"/>
              </w:rPr>
              <w:t>项目编号：</w:t>
            </w:r>
            <w:r>
              <w:rPr>
                <w:rFonts w:hint="eastAsia" w:ascii="宋体" w:hAnsi="宋体"/>
                <w:b/>
                <w:kern w:val="2"/>
                <w:sz w:val="28"/>
                <w:szCs w:val="28"/>
                <w:lang w:eastAsia="zh-CN"/>
              </w:rPr>
              <w:t>GZBC21FG06002-2</w:t>
            </w:r>
          </w:p>
          <w:p>
            <w:pPr>
              <w:pStyle w:val="6"/>
              <w:spacing w:line="400" w:lineRule="exact"/>
              <w:ind w:left="2287" w:leftChars="420" w:hanging="1405" w:hangingChars="500"/>
              <w:rPr>
                <w:rFonts w:hint="eastAsia" w:ascii="宋体" w:hAnsi="宋体" w:eastAsia="宋体"/>
                <w:b/>
                <w:kern w:val="2"/>
                <w:sz w:val="28"/>
                <w:szCs w:val="28"/>
                <w:lang w:eastAsia="zh-CN"/>
              </w:rPr>
            </w:pPr>
            <w:r>
              <w:rPr>
                <w:rFonts w:hint="eastAsia" w:ascii="宋体" w:hAnsi="宋体"/>
                <w:b/>
                <w:kern w:val="2"/>
                <w:sz w:val="28"/>
                <w:szCs w:val="28"/>
              </w:rPr>
              <w:t>项目名称：</w:t>
            </w:r>
            <w:r>
              <w:rPr>
                <w:rFonts w:hint="eastAsia" w:ascii="宋体" w:hAnsi="宋体"/>
                <w:b/>
                <w:kern w:val="2"/>
                <w:sz w:val="28"/>
                <w:szCs w:val="28"/>
                <w:lang w:eastAsia="zh-CN"/>
              </w:rPr>
              <w:t>广州市番禺区慈善会保险救助保障服务项目（重招）</w:t>
            </w:r>
          </w:p>
          <w:p>
            <w:pPr>
              <w:pStyle w:val="6"/>
              <w:spacing w:line="400" w:lineRule="exact"/>
              <w:ind w:firstLine="900" w:firstLineChars="320"/>
              <w:rPr>
                <w:rFonts w:ascii="宋体" w:hAnsi="宋体"/>
                <w:b/>
                <w:kern w:val="2"/>
                <w:sz w:val="28"/>
                <w:szCs w:val="28"/>
              </w:rPr>
            </w:pPr>
            <w:r>
              <w:rPr>
                <w:rFonts w:hint="eastAsia" w:ascii="宋体" w:hAnsi="宋体"/>
                <w:b/>
                <w:kern w:val="2"/>
                <w:sz w:val="28"/>
                <w:szCs w:val="28"/>
              </w:rPr>
              <w:t>投标人名称：</w:t>
            </w:r>
          </w:p>
          <w:p>
            <w:pPr>
              <w:pStyle w:val="6"/>
              <w:spacing w:line="400" w:lineRule="exact"/>
              <w:ind w:firstLine="900" w:firstLineChars="320"/>
              <w:rPr>
                <w:rFonts w:ascii="宋体" w:hAnsi="宋体"/>
                <w:b/>
                <w:kern w:val="2"/>
                <w:sz w:val="28"/>
                <w:szCs w:val="28"/>
              </w:rPr>
            </w:pPr>
            <w:r>
              <w:rPr>
                <w:rFonts w:hint="eastAsia" w:ascii="宋体" w:hAnsi="宋体"/>
                <w:b/>
                <w:kern w:val="2"/>
                <w:sz w:val="28"/>
                <w:szCs w:val="28"/>
              </w:rPr>
              <w:t>投标人地址：</w:t>
            </w:r>
          </w:p>
          <w:p>
            <w:pPr>
              <w:pStyle w:val="6"/>
              <w:spacing w:line="400" w:lineRule="exact"/>
              <w:ind w:firstLine="900" w:firstLineChars="320"/>
              <w:rPr>
                <w:rFonts w:ascii="宋体" w:hAnsi="宋体"/>
                <w:b/>
                <w:kern w:val="2"/>
                <w:sz w:val="28"/>
                <w:szCs w:val="28"/>
              </w:rPr>
            </w:pPr>
            <w:r>
              <w:rPr>
                <w:rFonts w:hint="eastAsia" w:ascii="宋体" w:hAnsi="宋体"/>
                <w:b/>
                <w:kern w:val="2"/>
                <w:sz w:val="28"/>
                <w:szCs w:val="28"/>
              </w:rPr>
              <w:t>递交地址：</w:t>
            </w:r>
          </w:p>
          <w:p>
            <w:pPr>
              <w:pStyle w:val="6"/>
              <w:spacing w:line="400" w:lineRule="exact"/>
              <w:ind w:firstLine="900" w:firstLineChars="320"/>
              <w:rPr>
                <w:rFonts w:ascii="宋体" w:hAnsi="宋体"/>
                <w:b/>
                <w:kern w:val="2"/>
                <w:sz w:val="28"/>
                <w:szCs w:val="28"/>
              </w:rPr>
            </w:pPr>
            <w:r>
              <w:rPr>
                <w:rFonts w:ascii="宋体" w:hAnsi="宋体"/>
                <w:b/>
                <w:kern w:val="2"/>
                <w:sz w:val="28"/>
                <w:szCs w:val="28"/>
              </w:rPr>
              <w:t>(</w:t>
            </w:r>
            <w:r>
              <w:rPr>
                <w:rFonts w:ascii="宋体" w:hAnsi="宋体"/>
                <w:b/>
                <w:kern w:val="2"/>
                <w:sz w:val="28"/>
                <w:szCs w:val="28"/>
                <w:u w:val="single"/>
              </w:rPr>
              <w:t xml:space="preserve">    </w:t>
            </w:r>
            <w:r>
              <w:rPr>
                <w:rFonts w:hint="eastAsia" w:ascii="宋体" w:hAnsi="宋体"/>
                <w:b/>
                <w:kern w:val="2"/>
                <w:sz w:val="28"/>
                <w:szCs w:val="28"/>
              </w:rPr>
              <w:t>年</w:t>
            </w:r>
            <w:r>
              <w:rPr>
                <w:rFonts w:ascii="宋体" w:hAnsi="宋体"/>
                <w:b/>
                <w:kern w:val="2"/>
                <w:sz w:val="28"/>
                <w:szCs w:val="28"/>
                <w:u w:val="single"/>
              </w:rPr>
              <w:t xml:space="preserve">    </w:t>
            </w:r>
            <w:r>
              <w:rPr>
                <w:rFonts w:hint="eastAsia" w:ascii="宋体" w:hAnsi="宋体"/>
                <w:b/>
                <w:kern w:val="2"/>
                <w:sz w:val="28"/>
                <w:szCs w:val="28"/>
              </w:rPr>
              <w:t>月</w:t>
            </w:r>
            <w:r>
              <w:rPr>
                <w:rFonts w:ascii="宋体" w:hAnsi="宋体"/>
                <w:b/>
                <w:kern w:val="2"/>
                <w:sz w:val="28"/>
                <w:szCs w:val="28"/>
                <w:u w:val="single"/>
              </w:rPr>
              <w:t xml:space="preserve">    </w:t>
            </w:r>
            <w:r>
              <w:rPr>
                <w:rFonts w:hint="eastAsia" w:ascii="宋体" w:hAnsi="宋体"/>
                <w:b/>
                <w:kern w:val="2"/>
                <w:sz w:val="28"/>
                <w:szCs w:val="28"/>
              </w:rPr>
              <w:t>日</w:t>
            </w:r>
            <w:r>
              <w:rPr>
                <w:rFonts w:ascii="宋体" w:hAnsi="宋体"/>
                <w:b/>
                <w:kern w:val="2"/>
                <w:sz w:val="28"/>
                <w:szCs w:val="28"/>
                <w:u w:val="single"/>
              </w:rPr>
              <w:t xml:space="preserve">    </w:t>
            </w:r>
            <w:r>
              <w:rPr>
                <w:rFonts w:hint="eastAsia" w:ascii="宋体" w:hAnsi="宋体"/>
                <w:b/>
                <w:kern w:val="2"/>
                <w:sz w:val="28"/>
                <w:szCs w:val="28"/>
              </w:rPr>
              <w:t>时</w:t>
            </w:r>
            <w:r>
              <w:rPr>
                <w:rFonts w:ascii="宋体" w:hAnsi="宋体"/>
                <w:b/>
                <w:kern w:val="2"/>
                <w:sz w:val="28"/>
                <w:szCs w:val="28"/>
                <w:u w:val="single"/>
              </w:rPr>
              <w:t xml:space="preserve">    </w:t>
            </w:r>
            <w:r>
              <w:rPr>
                <w:rFonts w:hint="eastAsia" w:ascii="宋体" w:hAnsi="宋体"/>
                <w:b/>
                <w:kern w:val="2"/>
                <w:sz w:val="28"/>
                <w:szCs w:val="28"/>
              </w:rPr>
              <w:t>分</w:t>
            </w:r>
            <w:r>
              <w:rPr>
                <w:rFonts w:ascii="宋体" w:hAnsi="宋体"/>
                <w:b/>
                <w:kern w:val="2"/>
                <w:sz w:val="28"/>
                <w:szCs w:val="28"/>
              </w:rPr>
              <w:t>)</w:t>
            </w:r>
            <w:r>
              <w:rPr>
                <w:rFonts w:hint="eastAsia" w:ascii="宋体" w:hAnsi="宋体"/>
                <w:b/>
                <w:kern w:val="2"/>
                <w:sz w:val="28"/>
                <w:szCs w:val="28"/>
              </w:rPr>
              <w:t>之前不得启封</w:t>
            </w:r>
          </w:p>
          <w:p>
            <w:pPr>
              <w:pStyle w:val="6"/>
              <w:spacing w:line="400" w:lineRule="exact"/>
              <w:ind w:firstLine="900" w:firstLineChars="320"/>
              <w:rPr>
                <w:rFonts w:ascii="宋体" w:hAnsi="宋体"/>
                <w:b/>
                <w:kern w:val="2"/>
                <w:sz w:val="28"/>
                <w:szCs w:val="28"/>
              </w:rPr>
            </w:pPr>
          </w:p>
          <w:p>
            <w:pPr>
              <w:pStyle w:val="6"/>
              <w:spacing w:line="400" w:lineRule="exact"/>
              <w:ind w:firstLine="900" w:firstLineChars="320"/>
              <w:rPr>
                <w:rFonts w:ascii="宋体" w:hAnsi="宋体"/>
                <w:b/>
                <w:kern w:val="2"/>
                <w:sz w:val="28"/>
                <w:szCs w:val="28"/>
              </w:rPr>
            </w:pPr>
          </w:p>
          <w:p>
            <w:pPr>
              <w:pStyle w:val="6"/>
              <w:spacing w:line="400" w:lineRule="exact"/>
              <w:rPr>
                <w:rFonts w:ascii="宋体" w:hAnsi="宋体"/>
                <w:b/>
                <w:kern w:val="2"/>
                <w:sz w:val="28"/>
                <w:szCs w:val="28"/>
              </w:rPr>
            </w:pPr>
          </w:p>
        </w:tc>
      </w:tr>
    </w:tbl>
    <w:p>
      <w:pPr>
        <w:rPr>
          <w:szCs w:val="21"/>
        </w:rPr>
      </w:pPr>
      <w:r>
        <w:rPr>
          <w:rFonts w:hint="eastAsia"/>
          <w:szCs w:val="21"/>
        </w:rPr>
        <w:br w:type="page"/>
      </w:r>
    </w:p>
    <w:p>
      <w:pPr>
        <w:jc w:val="center"/>
        <w:rPr>
          <w:rFonts w:ascii="宋体" w:hAnsi="宋体"/>
          <w:b/>
          <w:bCs/>
          <w:sz w:val="24"/>
        </w:rPr>
      </w:pPr>
      <w:r>
        <w:rPr>
          <w:rFonts w:hint="eastAsia" w:ascii="宋体" w:hAnsi="宋体"/>
          <w:b/>
          <w:bCs/>
          <w:sz w:val="24"/>
        </w:rPr>
        <w:t>投标文件目录表</w:t>
      </w:r>
    </w:p>
    <w:p>
      <w:pPr>
        <w:jc w:val="center"/>
        <w:rPr>
          <w:rFonts w:ascii="宋体" w:hAnsi="宋体"/>
          <w:sz w:val="24"/>
        </w:rPr>
      </w:pPr>
    </w:p>
    <w:p>
      <w:pPr>
        <w:ind w:left="210" w:leftChars="100"/>
        <w:rPr>
          <w:rFonts w:ascii="宋体" w:hAnsi="宋体"/>
          <w:b/>
        </w:rPr>
      </w:pPr>
      <w:r>
        <w:rPr>
          <w:rFonts w:hint="eastAsia" w:ascii="宋体" w:hAnsi="宋体"/>
          <w:b/>
        </w:rPr>
        <w:t>说明：投标文件包括但不限于以下组成内容，请按顺序制作。</w:t>
      </w:r>
    </w:p>
    <w:p>
      <w:pPr>
        <w:ind w:firstLine="210" w:firstLineChars="100"/>
        <w:rPr>
          <w:rFonts w:ascii="宋体" w:hAnsi="宋体"/>
        </w:rPr>
      </w:pPr>
      <w:r>
        <w:rPr>
          <w:rFonts w:hint="eastAsia" w:ascii="宋体" w:hAnsi="宋体"/>
        </w:rPr>
        <w:t>项目名称：</w:t>
      </w:r>
      <w:r>
        <w:rPr>
          <w:rFonts w:hint="eastAsia" w:ascii="宋体" w:hAnsi="宋体"/>
          <w:lang w:eastAsia="zh-CN"/>
        </w:rPr>
        <w:t>广州市番禺区慈善会保险救助保障服务项目（重招）</w:t>
      </w:r>
      <w:r>
        <w:rPr>
          <w:rFonts w:hint="eastAsia" w:ascii="宋体" w:hAnsi="宋体"/>
        </w:rPr>
        <w:t xml:space="preserve">    项目编号：</w:t>
      </w:r>
      <w:r>
        <w:rPr>
          <w:rFonts w:hint="eastAsia" w:ascii="宋体" w:hAnsi="宋体"/>
          <w:lang w:eastAsia="zh-CN"/>
        </w:rPr>
        <w:t>GZBC21FG06002-2</w:t>
      </w:r>
      <w:r>
        <w:rPr>
          <w:rFonts w:hint="eastAsia" w:ascii="宋体" w:hAnsi="宋体"/>
        </w:rPr>
        <w:t xml:space="preserve"> </w:t>
      </w:r>
    </w:p>
    <w:p>
      <w:pPr>
        <w:jc w:val="center"/>
        <w:rPr>
          <w:rFonts w:hint="eastAsia" w:ascii="宋体" w:hAnsi="宋体"/>
          <w:b/>
          <w:sz w:val="24"/>
        </w:rPr>
      </w:pPr>
    </w:p>
    <w:p>
      <w:pPr>
        <w:jc w:val="center"/>
        <w:rPr>
          <w:rFonts w:ascii="宋体" w:hAnsi="宋体"/>
          <w:b/>
          <w:sz w:val="24"/>
        </w:rPr>
      </w:pPr>
      <w:r>
        <w:rPr>
          <w:rFonts w:hint="eastAsia" w:ascii="宋体" w:hAnsi="宋体"/>
          <w:b/>
          <w:sz w:val="24"/>
        </w:rPr>
        <w:t xml:space="preserve">自 查 表 </w:t>
      </w:r>
    </w:p>
    <w:p>
      <w:pPr>
        <w:jc w:val="center"/>
        <w:rPr>
          <w:rFonts w:ascii="宋体" w:hAnsi="宋体"/>
          <w:b/>
          <w:sz w:val="24"/>
        </w:rPr>
      </w:pPr>
      <w:r>
        <w:rPr>
          <w:rFonts w:hint="eastAsia" w:ascii="宋体" w:hAnsi="宋体"/>
          <w:b/>
          <w:sz w:val="24"/>
        </w:rPr>
        <w:t>资格性/符合性自查表</w:t>
      </w:r>
    </w:p>
    <w:tbl>
      <w:tblPr>
        <w:tblStyle w:val="18"/>
        <w:tblW w:w="10046" w:type="dxa"/>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fixed"/>
        <w:tblCellMar>
          <w:top w:w="150" w:type="dxa"/>
          <w:left w:w="150" w:type="dxa"/>
          <w:bottom w:w="150" w:type="dxa"/>
          <w:right w:w="150" w:type="dxa"/>
        </w:tblCellMar>
      </w:tblPr>
      <w:tblGrid>
        <w:gridCol w:w="907"/>
        <w:gridCol w:w="4645"/>
        <w:gridCol w:w="1348"/>
        <w:gridCol w:w="3146"/>
      </w:tblGrid>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150" w:type="dxa"/>
            <w:left w:w="150" w:type="dxa"/>
            <w:bottom w:w="150" w:type="dxa"/>
            <w:right w:w="150" w:type="dxa"/>
          </w:tblCellMar>
        </w:tblPrEx>
        <w:trPr>
          <w:trHeight w:val="520" w:hRule="atLeast"/>
          <w:jc w:val="center"/>
        </w:trPr>
        <w:tc>
          <w:tcPr>
            <w:tcW w:w="907" w:type="dxa"/>
            <w:tcBorders>
              <w:tl2br w:val="nil"/>
              <w:tr2bl w:val="nil"/>
            </w:tcBorders>
            <w:vAlign w:val="center"/>
          </w:tcPr>
          <w:p>
            <w:pPr>
              <w:adjustRightInd w:val="0"/>
              <w:snapToGrid w:val="0"/>
              <w:jc w:val="center"/>
              <w:rPr>
                <w:rFonts w:ascii="宋体" w:hAnsi="宋体" w:cs="宋体"/>
                <w:szCs w:val="21"/>
              </w:rPr>
            </w:pPr>
            <w:r>
              <w:rPr>
                <w:rStyle w:val="21"/>
                <w:rFonts w:hint="eastAsia" w:ascii="宋体" w:hAnsi="宋体"/>
                <w:szCs w:val="21"/>
              </w:rPr>
              <w:t>评审内容</w:t>
            </w:r>
          </w:p>
        </w:tc>
        <w:tc>
          <w:tcPr>
            <w:tcW w:w="4645" w:type="dxa"/>
            <w:tcBorders>
              <w:tl2br w:val="nil"/>
              <w:tr2bl w:val="nil"/>
            </w:tcBorders>
            <w:vAlign w:val="center"/>
          </w:tcPr>
          <w:p>
            <w:pPr>
              <w:adjustRightInd w:val="0"/>
              <w:snapToGrid w:val="0"/>
              <w:jc w:val="center"/>
              <w:rPr>
                <w:rFonts w:ascii="宋体" w:hAnsi="宋体" w:cs="宋体"/>
                <w:szCs w:val="21"/>
              </w:rPr>
            </w:pPr>
            <w:r>
              <w:rPr>
                <w:rStyle w:val="21"/>
                <w:rFonts w:hint="eastAsia" w:ascii="宋体" w:hAnsi="宋体"/>
                <w:szCs w:val="21"/>
              </w:rPr>
              <w:t>招标文件要求</w:t>
            </w:r>
            <w:r>
              <w:rPr>
                <w:rFonts w:hint="eastAsia" w:ascii="宋体" w:hAnsi="宋体"/>
                <w:szCs w:val="21"/>
              </w:rPr>
              <w:br w:type="textWrapping"/>
            </w:r>
            <w:r>
              <w:rPr>
                <w:rFonts w:hint="eastAsia" w:ascii="宋体" w:hAnsi="宋体"/>
                <w:szCs w:val="21"/>
              </w:rPr>
              <w:t>（详见《初步评审表》各项）</w:t>
            </w:r>
          </w:p>
        </w:tc>
        <w:tc>
          <w:tcPr>
            <w:tcW w:w="1348" w:type="dxa"/>
            <w:tcBorders>
              <w:tl2br w:val="nil"/>
              <w:tr2bl w:val="nil"/>
            </w:tcBorders>
            <w:vAlign w:val="center"/>
          </w:tcPr>
          <w:p>
            <w:pPr>
              <w:adjustRightInd w:val="0"/>
              <w:snapToGrid w:val="0"/>
              <w:jc w:val="center"/>
              <w:rPr>
                <w:rFonts w:ascii="宋体" w:hAnsi="宋体" w:cs="宋体"/>
                <w:szCs w:val="21"/>
              </w:rPr>
            </w:pPr>
            <w:r>
              <w:rPr>
                <w:rStyle w:val="21"/>
                <w:rFonts w:hint="eastAsia" w:ascii="宋体" w:hAnsi="宋体"/>
                <w:szCs w:val="21"/>
              </w:rPr>
              <w:t>自查结论</w:t>
            </w:r>
          </w:p>
        </w:tc>
        <w:tc>
          <w:tcPr>
            <w:tcW w:w="3146" w:type="dxa"/>
            <w:tcBorders>
              <w:tl2br w:val="nil"/>
              <w:tr2bl w:val="nil"/>
            </w:tcBorders>
            <w:vAlign w:val="center"/>
          </w:tcPr>
          <w:p>
            <w:pPr>
              <w:adjustRightInd w:val="0"/>
              <w:snapToGrid w:val="0"/>
              <w:jc w:val="center"/>
              <w:rPr>
                <w:rFonts w:ascii="宋体" w:hAnsi="宋体" w:cs="宋体"/>
                <w:szCs w:val="21"/>
              </w:rPr>
            </w:pPr>
            <w:r>
              <w:rPr>
                <w:rStyle w:val="21"/>
                <w:rFonts w:hint="eastAsia" w:ascii="宋体" w:hAnsi="宋体"/>
                <w:szCs w:val="21"/>
              </w:rPr>
              <w:t>证明资料</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150" w:type="dxa"/>
            <w:left w:w="150" w:type="dxa"/>
            <w:bottom w:w="150" w:type="dxa"/>
            <w:right w:w="150" w:type="dxa"/>
          </w:tblCellMar>
        </w:tblPrEx>
        <w:trPr>
          <w:trHeight w:val="530" w:hRule="atLeast"/>
          <w:jc w:val="center"/>
        </w:trPr>
        <w:tc>
          <w:tcPr>
            <w:tcW w:w="907" w:type="dxa"/>
            <w:vMerge w:val="restart"/>
            <w:tcBorders>
              <w:tl2br w:val="nil"/>
              <w:tr2bl w:val="nil"/>
            </w:tcBorders>
            <w:vAlign w:val="center"/>
          </w:tcPr>
          <w:p>
            <w:pPr>
              <w:pStyle w:val="28"/>
              <w:adjustRightInd w:val="0"/>
              <w:snapToGrid w:val="0"/>
              <w:spacing w:before="0" w:beforeAutospacing="0" w:after="0" w:afterAutospacing="0"/>
              <w:jc w:val="center"/>
              <w:rPr>
                <w:b/>
                <w:sz w:val="21"/>
                <w:szCs w:val="21"/>
              </w:rPr>
            </w:pPr>
            <w:r>
              <w:rPr>
                <w:rFonts w:hint="eastAsia"/>
                <w:b/>
                <w:sz w:val="21"/>
                <w:szCs w:val="21"/>
              </w:rPr>
              <w:t>初步审查</w:t>
            </w:r>
          </w:p>
          <w:p>
            <w:pPr>
              <w:pStyle w:val="28"/>
              <w:adjustRightInd w:val="0"/>
              <w:snapToGrid w:val="0"/>
              <w:spacing w:before="0" w:beforeAutospacing="0" w:after="0" w:afterAutospacing="0"/>
              <w:jc w:val="both"/>
              <w:rPr>
                <w:b/>
                <w:bCs/>
                <w:sz w:val="21"/>
                <w:szCs w:val="21"/>
              </w:rPr>
            </w:pPr>
          </w:p>
          <w:p>
            <w:pPr>
              <w:pStyle w:val="28"/>
              <w:adjustRightInd w:val="0"/>
              <w:snapToGrid w:val="0"/>
              <w:spacing w:before="0" w:beforeAutospacing="0" w:after="0" w:afterAutospacing="0"/>
              <w:jc w:val="center"/>
              <w:rPr>
                <w:sz w:val="21"/>
                <w:szCs w:val="21"/>
              </w:rPr>
            </w:pPr>
          </w:p>
        </w:tc>
        <w:tc>
          <w:tcPr>
            <w:tcW w:w="4645" w:type="dxa"/>
            <w:tcBorders>
              <w:tl2br w:val="nil"/>
              <w:tr2bl w:val="nil"/>
            </w:tcBorders>
            <w:vAlign w:val="center"/>
          </w:tcPr>
          <w:p>
            <w:pPr>
              <w:adjustRightInd w:val="0"/>
              <w:snapToGrid w:val="0"/>
              <w:rPr>
                <w:rFonts w:ascii="宋体" w:hAnsi="宋体" w:cs="宋体"/>
                <w:szCs w:val="21"/>
              </w:rPr>
            </w:pPr>
            <w:r>
              <w:rPr>
                <w:rFonts w:hint="eastAsia" w:ascii="宋体" w:hAnsi="宋体" w:cs="宋体"/>
                <w:b/>
                <w:kern w:val="0"/>
                <w:szCs w:val="21"/>
              </w:rPr>
              <w:t>1.</w:t>
            </w:r>
            <w:r>
              <w:rPr>
                <w:rFonts w:hint="eastAsia" w:ascii="宋体" w:hAnsi="宋体"/>
                <w:bCs/>
                <w:szCs w:val="21"/>
              </w:rPr>
              <w:t>有效的企业法人营业执照（或事业法人登记证）、其他组织的营业执照或者民办非企业单位登记证书复印件</w:t>
            </w:r>
          </w:p>
        </w:tc>
        <w:tc>
          <w:tcPr>
            <w:tcW w:w="1348" w:type="dxa"/>
            <w:tcBorders>
              <w:tl2br w:val="nil"/>
              <w:tr2bl w:val="nil"/>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szCs w:val="21"/>
              </w:rPr>
            </w:pPr>
            <w:r>
              <w:rPr>
                <w:rFonts w:hint="eastAsia" w:ascii="宋体" w:hAnsi="宋体" w:cs="Arial"/>
                <w:szCs w:val="21"/>
              </w:rPr>
              <w:t>□</w:t>
            </w:r>
            <w:r>
              <w:rPr>
                <w:rFonts w:hint="eastAsia" w:ascii="宋体" w:hAnsi="宋体"/>
                <w:szCs w:val="21"/>
              </w:rPr>
              <w:t>不通过</w:t>
            </w:r>
          </w:p>
        </w:tc>
        <w:tc>
          <w:tcPr>
            <w:tcW w:w="3146" w:type="dxa"/>
            <w:tcBorders>
              <w:tl2br w:val="nil"/>
              <w:tr2bl w:val="nil"/>
            </w:tcBorders>
            <w:vAlign w:val="center"/>
          </w:tcPr>
          <w:p>
            <w:pPr>
              <w:adjustRightInd w:val="0"/>
              <w:snapToGrid w:val="0"/>
              <w:jc w:val="center"/>
              <w:rPr>
                <w:rFonts w:ascii="宋体" w:hAnsi="宋体" w:cs="宋体"/>
                <w:szCs w:val="21"/>
              </w:rPr>
            </w:pPr>
            <w:r>
              <w:rPr>
                <w:rFonts w:hint="eastAsia" w:ascii="宋体" w:hAnsi="宋体"/>
                <w:szCs w:val="21"/>
              </w:rPr>
              <w:t>第（ ）页</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150" w:type="dxa"/>
            <w:left w:w="150" w:type="dxa"/>
            <w:bottom w:w="150" w:type="dxa"/>
            <w:right w:w="150" w:type="dxa"/>
          </w:tblCellMar>
        </w:tblPrEx>
        <w:trPr>
          <w:trHeight w:val="371" w:hRule="atLeast"/>
          <w:jc w:val="center"/>
        </w:trPr>
        <w:tc>
          <w:tcPr>
            <w:tcW w:w="907" w:type="dxa"/>
            <w:vMerge w:val="continue"/>
            <w:tcBorders>
              <w:tl2br w:val="nil"/>
              <w:tr2bl w:val="nil"/>
            </w:tcBorders>
            <w:vAlign w:val="center"/>
          </w:tcPr>
          <w:p>
            <w:pPr>
              <w:pStyle w:val="28"/>
              <w:adjustRightInd w:val="0"/>
              <w:snapToGrid w:val="0"/>
              <w:spacing w:before="0" w:beforeAutospacing="0" w:after="0" w:afterAutospacing="0"/>
              <w:jc w:val="center"/>
              <w:rPr>
                <w:sz w:val="21"/>
                <w:szCs w:val="21"/>
              </w:rPr>
            </w:pPr>
          </w:p>
        </w:tc>
        <w:tc>
          <w:tcPr>
            <w:tcW w:w="4645" w:type="dxa"/>
            <w:tcBorders>
              <w:tl2br w:val="nil"/>
              <w:tr2bl w:val="nil"/>
            </w:tcBorders>
            <w:vAlign w:val="center"/>
          </w:tcPr>
          <w:p>
            <w:pPr>
              <w:adjustRightInd w:val="0"/>
              <w:snapToGrid w:val="0"/>
              <w:rPr>
                <w:rFonts w:ascii="宋体" w:hAnsi="宋体" w:cs="宋体"/>
                <w:szCs w:val="21"/>
              </w:rPr>
            </w:pPr>
            <w:r>
              <w:rPr>
                <w:rFonts w:hint="eastAsia" w:ascii="宋体" w:hAnsi="宋体"/>
                <w:b/>
                <w:szCs w:val="21"/>
              </w:rPr>
              <w:t>2.</w:t>
            </w:r>
            <w:r>
              <w:rPr>
                <w:rFonts w:ascii="宋体" w:hAnsi="宋体" w:cs="宋体"/>
                <w:szCs w:val="21"/>
              </w:rPr>
              <w:t>供应商必须具有良好的商业信誉和健全的财务会计制度（提供 2019 年的财务状况报告或者 2020 年基本户开户银行出具的资信证明）</w:t>
            </w:r>
          </w:p>
        </w:tc>
        <w:tc>
          <w:tcPr>
            <w:tcW w:w="1348" w:type="dxa"/>
            <w:tcBorders>
              <w:tl2br w:val="nil"/>
              <w:tr2bl w:val="nil"/>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l2br w:val="nil"/>
              <w:tr2bl w:val="nil"/>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150" w:type="dxa"/>
            <w:left w:w="150" w:type="dxa"/>
            <w:bottom w:w="150" w:type="dxa"/>
            <w:right w:w="150" w:type="dxa"/>
          </w:tblCellMar>
        </w:tblPrEx>
        <w:trPr>
          <w:trHeight w:val="19" w:hRule="atLeast"/>
          <w:jc w:val="center"/>
        </w:trPr>
        <w:tc>
          <w:tcPr>
            <w:tcW w:w="907" w:type="dxa"/>
            <w:vMerge w:val="continue"/>
            <w:tcBorders>
              <w:tl2br w:val="nil"/>
              <w:tr2bl w:val="nil"/>
            </w:tcBorders>
            <w:vAlign w:val="center"/>
          </w:tcPr>
          <w:p>
            <w:pPr>
              <w:pStyle w:val="28"/>
              <w:adjustRightInd w:val="0"/>
              <w:snapToGrid w:val="0"/>
              <w:spacing w:before="0" w:beforeAutospacing="0" w:after="0" w:afterAutospacing="0"/>
              <w:jc w:val="center"/>
              <w:rPr>
                <w:sz w:val="21"/>
                <w:szCs w:val="21"/>
              </w:rPr>
            </w:pPr>
          </w:p>
        </w:tc>
        <w:tc>
          <w:tcPr>
            <w:tcW w:w="4645" w:type="dxa"/>
            <w:tcBorders>
              <w:tl2br w:val="nil"/>
              <w:tr2bl w:val="nil"/>
            </w:tcBorders>
            <w:vAlign w:val="center"/>
          </w:tcPr>
          <w:p>
            <w:pPr>
              <w:adjustRightInd w:val="0"/>
              <w:snapToGrid w:val="0"/>
              <w:rPr>
                <w:rFonts w:ascii="宋体" w:hAnsi="宋体" w:cs="宋体"/>
                <w:szCs w:val="21"/>
              </w:rPr>
            </w:pPr>
            <w:r>
              <w:rPr>
                <w:rFonts w:hint="eastAsia" w:ascii="宋体" w:hAnsi="宋体"/>
                <w:b/>
                <w:szCs w:val="20"/>
              </w:rPr>
              <w:t>3.</w:t>
            </w:r>
            <w:r>
              <w:rPr>
                <w:rFonts w:ascii="宋体" w:hAnsi="宋体" w:cs="宋体"/>
                <w:szCs w:val="21"/>
              </w:rPr>
              <w:t>供应商有依法缴纳税收</w:t>
            </w:r>
            <w:r>
              <w:rPr>
                <w:rFonts w:ascii="宋体" w:hAnsi="宋体" w:cs="宋体"/>
                <w:color w:val="FF0000"/>
                <w:szCs w:val="21"/>
              </w:rPr>
              <w:t>和</w:t>
            </w:r>
            <w:r>
              <w:rPr>
                <w:rFonts w:ascii="宋体" w:hAnsi="宋体" w:cs="宋体"/>
                <w:szCs w:val="21"/>
              </w:rPr>
              <w:t>社会保障资金的良好记录（提供</w:t>
            </w:r>
            <w:r>
              <w:rPr>
                <w:rFonts w:hint="eastAsia" w:ascii="宋体" w:hAnsi="宋体" w:cs="宋体"/>
                <w:szCs w:val="21"/>
                <w:lang w:val="en-US" w:eastAsia="zh-CN"/>
              </w:rPr>
              <w:t>投标</w:t>
            </w:r>
            <w:r>
              <w:rPr>
                <w:rFonts w:ascii="宋体" w:hAnsi="宋体" w:cs="宋体"/>
                <w:szCs w:val="21"/>
              </w:rPr>
              <w:t>截止之日前 6 个月任意 1 个月依法缴纳税收和社会保障资金相关证明材料；如依法免税和依法不需要缴纳社会保障资金，则须提供相应文件证明其依法免税和不需要缴纳社会保障资金）</w:t>
            </w:r>
          </w:p>
        </w:tc>
        <w:tc>
          <w:tcPr>
            <w:tcW w:w="1348" w:type="dxa"/>
            <w:tcBorders>
              <w:tl2br w:val="nil"/>
              <w:tr2bl w:val="nil"/>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l2br w:val="nil"/>
              <w:tr2bl w:val="nil"/>
            </w:tcBorders>
            <w:vAlign w:val="center"/>
          </w:tcPr>
          <w:p>
            <w:pPr>
              <w:adjustRightInd w:val="0"/>
              <w:snapToGrid w:val="0"/>
              <w:jc w:val="center"/>
              <w:rPr>
                <w:rFonts w:ascii="宋体" w:hAnsi="宋体"/>
                <w:szCs w:val="21"/>
              </w:rPr>
            </w:pPr>
            <w:r>
              <w:rPr>
                <w:rFonts w:hint="eastAsia" w:ascii="宋体" w:hAnsi="宋体"/>
                <w:szCs w:val="21"/>
              </w:rPr>
              <w:t xml:space="preserve">第（ ）页 </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150" w:type="dxa"/>
            <w:left w:w="150" w:type="dxa"/>
            <w:bottom w:w="150" w:type="dxa"/>
            <w:right w:w="150" w:type="dxa"/>
          </w:tblCellMar>
        </w:tblPrEx>
        <w:trPr>
          <w:trHeight w:val="19" w:hRule="atLeast"/>
          <w:jc w:val="center"/>
        </w:trPr>
        <w:tc>
          <w:tcPr>
            <w:tcW w:w="907" w:type="dxa"/>
            <w:vMerge w:val="continue"/>
            <w:tcBorders>
              <w:tl2br w:val="nil"/>
              <w:tr2bl w:val="nil"/>
            </w:tcBorders>
            <w:vAlign w:val="center"/>
          </w:tcPr>
          <w:p>
            <w:pPr>
              <w:pStyle w:val="28"/>
              <w:adjustRightInd w:val="0"/>
              <w:snapToGrid w:val="0"/>
              <w:spacing w:before="0" w:beforeAutospacing="0" w:after="0" w:afterAutospacing="0"/>
              <w:jc w:val="center"/>
              <w:rPr>
                <w:sz w:val="21"/>
                <w:szCs w:val="21"/>
              </w:rPr>
            </w:pPr>
          </w:p>
        </w:tc>
        <w:tc>
          <w:tcPr>
            <w:tcW w:w="4645" w:type="dxa"/>
            <w:tcBorders>
              <w:tl2br w:val="nil"/>
              <w:tr2bl w:val="nil"/>
            </w:tcBorders>
            <w:vAlign w:val="center"/>
          </w:tcPr>
          <w:p>
            <w:pPr>
              <w:adjustRightInd w:val="0"/>
              <w:snapToGrid w:val="0"/>
              <w:rPr>
                <w:rFonts w:ascii="宋体" w:hAnsi="宋体" w:cs="宋体"/>
                <w:szCs w:val="21"/>
              </w:rPr>
            </w:pPr>
            <w:r>
              <w:rPr>
                <w:rFonts w:hint="eastAsia" w:ascii="宋体" w:hAnsi="宋体"/>
                <w:b/>
                <w:szCs w:val="20"/>
              </w:rPr>
              <w:t>4.</w:t>
            </w:r>
            <w:r>
              <w:rPr>
                <w:rFonts w:hint="eastAsia" w:ascii="宋体" w:hAnsi="宋体" w:cs="宋体"/>
                <w:szCs w:val="21"/>
              </w:rPr>
              <w:t>投标函（格式1）</w:t>
            </w:r>
          </w:p>
        </w:tc>
        <w:tc>
          <w:tcPr>
            <w:tcW w:w="1348" w:type="dxa"/>
            <w:tcBorders>
              <w:tl2br w:val="nil"/>
              <w:tr2bl w:val="nil"/>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l2br w:val="nil"/>
              <w:tr2bl w:val="nil"/>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150" w:type="dxa"/>
            <w:left w:w="150" w:type="dxa"/>
            <w:bottom w:w="150" w:type="dxa"/>
            <w:right w:w="150" w:type="dxa"/>
          </w:tblCellMar>
        </w:tblPrEx>
        <w:trPr>
          <w:trHeight w:val="19" w:hRule="atLeast"/>
          <w:jc w:val="center"/>
        </w:trPr>
        <w:tc>
          <w:tcPr>
            <w:tcW w:w="907" w:type="dxa"/>
            <w:vMerge w:val="continue"/>
            <w:tcBorders>
              <w:tl2br w:val="nil"/>
              <w:tr2bl w:val="nil"/>
            </w:tcBorders>
            <w:vAlign w:val="center"/>
          </w:tcPr>
          <w:p>
            <w:pPr>
              <w:pStyle w:val="28"/>
              <w:adjustRightInd w:val="0"/>
              <w:snapToGrid w:val="0"/>
              <w:spacing w:before="0" w:beforeAutospacing="0" w:after="0" w:afterAutospacing="0"/>
              <w:jc w:val="center"/>
              <w:rPr>
                <w:sz w:val="21"/>
                <w:szCs w:val="21"/>
              </w:rPr>
            </w:pPr>
          </w:p>
        </w:tc>
        <w:tc>
          <w:tcPr>
            <w:tcW w:w="4645" w:type="dxa"/>
            <w:tcBorders>
              <w:tl2br w:val="nil"/>
              <w:tr2bl w:val="nil"/>
            </w:tcBorders>
            <w:vAlign w:val="center"/>
          </w:tcPr>
          <w:p>
            <w:pPr>
              <w:adjustRightInd w:val="0"/>
              <w:snapToGrid w:val="0"/>
              <w:rPr>
                <w:rFonts w:ascii="宋体" w:hAnsi="宋体" w:cs="宋体"/>
                <w:szCs w:val="21"/>
              </w:rPr>
            </w:pPr>
            <w:r>
              <w:rPr>
                <w:rFonts w:hint="eastAsia" w:ascii="宋体" w:hAnsi="宋体"/>
                <w:b/>
                <w:szCs w:val="21"/>
              </w:rPr>
              <w:t>5.</w:t>
            </w:r>
            <w:r>
              <w:rPr>
                <w:rFonts w:hint="eastAsia" w:ascii="宋体" w:hAnsi="宋体" w:cs="宋体"/>
                <w:szCs w:val="21"/>
              </w:rPr>
              <w:t>投标人资格声明函（格式2）</w:t>
            </w:r>
          </w:p>
        </w:tc>
        <w:tc>
          <w:tcPr>
            <w:tcW w:w="1348" w:type="dxa"/>
            <w:tcBorders>
              <w:tl2br w:val="nil"/>
              <w:tr2bl w:val="nil"/>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l2br w:val="nil"/>
              <w:tr2bl w:val="nil"/>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150" w:type="dxa"/>
            <w:left w:w="150" w:type="dxa"/>
            <w:bottom w:w="150" w:type="dxa"/>
            <w:right w:w="150" w:type="dxa"/>
          </w:tblCellMar>
        </w:tblPrEx>
        <w:trPr>
          <w:trHeight w:val="19" w:hRule="atLeast"/>
          <w:jc w:val="center"/>
        </w:trPr>
        <w:tc>
          <w:tcPr>
            <w:tcW w:w="907" w:type="dxa"/>
            <w:vMerge w:val="continue"/>
            <w:tcBorders>
              <w:tl2br w:val="nil"/>
              <w:tr2bl w:val="nil"/>
            </w:tcBorders>
            <w:vAlign w:val="center"/>
          </w:tcPr>
          <w:p>
            <w:pPr>
              <w:pStyle w:val="28"/>
              <w:adjustRightInd w:val="0"/>
              <w:snapToGrid w:val="0"/>
              <w:spacing w:before="0" w:beforeAutospacing="0" w:after="0" w:afterAutospacing="0"/>
              <w:jc w:val="center"/>
              <w:rPr>
                <w:sz w:val="21"/>
                <w:szCs w:val="21"/>
              </w:rPr>
            </w:pPr>
          </w:p>
        </w:tc>
        <w:tc>
          <w:tcPr>
            <w:tcW w:w="4645" w:type="dxa"/>
            <w:tcBorders>
              <w:tl2br w:val="nil"/>
              <w:tr2bl w:val="nil"/>
            </w:tcBorders>
            <w:vAlign w:val="center"/>
          </w:tcPr>
          <w:p>
            <w:pPr>
              <w:adjustRightInd w:val="0"/>
              <w:snapToGrid w:val="0"/>
              <w:rPr>
                <w:rFonts w:ascii="宋体" w:hAnsi="宋体" w:cs="宋体"/>
                <w:szCs w:val="21"/>
              </w:rPr>
            </w:pPr>
            <w:r>
              <w:rPr>
                <w:rFonts w:hint="eastAsia" w:asciiTheme="minorEastAsia" w:hAnsiTheme="minorEastAsia" w:eastAsiaTheme="minorEastAsia" w:cstheme="minorEastAsia"/>
                <w:b/>
                <w:szCs w:val="21"/>
              </w:rPr>
              <w:t>6.</w:t>
            </w:r>
            <w:r>
              <w:rPr>
                <w:rFonts w:hint="eastAsia" w:asciiTheme="minorEastAsia" w:hAnsiTheme="minorEastAsia" w:eastAsiaTheme="minorEastAsia" w:cstheme="minorEastAsia"/>
                <w:bCs/>
                <w:szCs w:val="21"/>
              </w:rPr>
              <w:t>法定代表人</w:t>
            </w:r>
            <w:r>
              <w:rPr>
                <w:rFonts w:hint="eastAsia"/>
                <w:bCs/>
                <w:szCs w:val="21"/>
              </w:rPr>
              <w:t>证明书或法定代表人授权委托书</w:t>
            </w:r>
            <w:r>
              <w:rPr>
                <w:rFonts w:hint="eastAsia" w:ascii="宋体" w:hAnsi="宋体" w:cs="宋体"/>
                <w:szCs w:val="21"/>
              </w:rPr>
              <w:t>（格式3、4）</w:t>
            </w:r>
          </w:p>
        </w:tc>
        <w:tc>
          <w:tcPr>
            <w:tcW w:w="1348" w:type="dxa"/>
            <w:tcBorders>
              <w:tl2br w:val="nil"/>
              <w:tr2bl w:val="nil"/>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l2br w:val="nil"/>
              <w:tr2bl w:val="nil"/>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150" w:type="dxa"/>
            <w:left w:w="150" w:type="dxa"/>
            <w:bottom w:w="150" w:type="dxa"/>
            <w:right w:w="150" w:type="dxa"/>
          </w:tblCellMar>
        </w:tblPrEx>
        <w:trPr>
          <w:trHeight w:val="499" w:hRule="atLeast"/>
          <w:jc w:val="center"/>
        </w:trPr>
        <w:tc>
          <w:tcPr>
            <w:tcW w:w="907" w:type="dxa"/>
            <w:vMerge w:val="continue"/>
            <w:tcBorders>
              <w:tl2br w:val="nil"/>
              <w:tr2bl w:val="nil"/>
            </w:tcBorders>
            <w:vAlign w:val="center"/>
          </w:tcPr>
          <w:p>
            <w:pPr>
              <w:pStyle w:val="28"/>
              <w:adjustRightInd w:val="0"/>
              <w:snapToGrid w:val="0"/>
              <w:spacing w:before="0" w:beforeAutospacing="0" w:after="0" w:afterAutospacing="0"/>
              <w:jc w:val="center"/>
              <w:rPr>
                <w:sz w:val="21"/>
                <w:szCs w:val="21"/>
              </w:rPr>
            </w:pPr>
          </w:p>
        </w:tc>
        <w:tc>
          <w:tcPr>
            <w:tcW w:w="4645" w:type="dxa"/>
            <w:tcBorders>
              <w:tl2br w:val="nil"/>
              <w:tr2bl w:val="nil"/>
            </w:tcBorders>
            <w:vAlign w:val="center"/>
          </w:tcPr>
          <w:p>
            <w:pPr>
              <w:tabs>
                <w:tab w:val="left" w:pos="426"/>
              </w:tabs>
              <w:adjustRightInd w:val="0"/>
              <w:snapToGrid w:val="0"/>
              <w:spacing w:line="360" w:lineRule="auto"/>
              <w:rPr>
                <w:rFonts w:ascii="宋体" w:hAnsi="宋体" w:cs="宋体"/>
                <w:szCs w:val="21"/>
              </w:rPr>
            </w:pPr>
            <w:r>
              <w:rPr>
                <w:rFonts w:hint="eastAsia" w:ascii="宋体" w:hAnsi="宋体" w:cs="宋体"/>
                <w:b/>
                <w:bCs/>
                <w:szCs w:val="21"/>
              </w:rPr>
              <w:t>7.</w:t>
            </w:r>
            <w:r>
              <w:rPr>
                <w:rFonts w:hint="eastAsia" w:ascii="宋体" w:hAnsi="宋体"/>
                <w:bCs/>
                <w:szCs w:val="21"/>
              </w:rPr>
              <w:t>《公平竞争承诺书》复印件</w:t>
            </w:r>
            <w:r>
              <w:rPr>
                <w:rFonts w:hint="eastAsia" w:ascii="宋体" w:hAnsi="宋体" w:cs="宋体"/>
                <w:szCs w:val="21"/>
              </w:rPr>
              <w:t>（格式5）</w:t>
            </w:r>
          </w:p>
        </w:tc>
        <w:tc>
          <w:tcPr>
            <w:tcW w:w="1348" w:type="dxa"/>
            <w:tcBorders>
              <w:tl2br w:val="nil"/>
              <w:tr2bl w:val="nil"/>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l2br w:val="nil"/>
              <w:tr2bl w:val="nil"/>
            </w:tcBorders>
            <w:vAlign w:val="center"/>
          </w:tcPr>
          <w:p>
            <w:pPr>
              <w:adjustRightInd w:val="0"/>
              <w:snapToGrid w:val="0"/>
              <w:jc w:val="center"/>
              <w:rPr>
                <w:rFonts w:ascii="宋体" w:hAnsi="宋体"/>
                <w:szCs w:val="21"/>
              </w:rPr>
            </w:pPr>
            <w:r>
              <w:rPr>
                <w:rFonts w:hint="eastAsia" w:ascii="宋体" w:hAnsi="宋体"/>
                <w:szCs w:val="21"/>
              </w:rPr>
              <w:t>第（ ）页</w:t>
            </w:r>
          </w:p>
        </w:tc>
      </w:tr>
    </w:tbl>
    <w:p>
      <w:pPr>
        <w:rPr>
          <w:rFonts w:ascii="宋体" w:hAnsi="宋体"/>
          <w:b/>
          <w:szCs w:val="21"/>
        </w:rPr>
      </w:pPr>
      <w:r>
        <w:rPr>
          <w:rFonts w:hint="eastAsia" w:ascii="宋体" w:hAnsi="宋体"/>
          <w:b/>
          <w:szCs w:val="21"/>
        </w:rPr>
        <w:t xml:space="preserve">备注：以上材料将作为投标供应商有效性审查的重要内容之一，投标供应商必须严格按照其内容及序列要求在投标文件中对应如实提供，对资格性和符合性证明文件的任何缺漏和不符合项将会直接导致投标无效！ </w:t>
      </w:r>
    </w:p>
    <w:p>
      <w:pPr>
        <w:rPr>
          <w:rFonts w:ascii="宋体" w:hAnsi="宋体"/>
          <w:b/>
          <w:szCs w:val="21"/>
        </w:rPr>
      </w:pPr>
      <w:r>
        <w:rPr>
          <w:rFonts w:hint="eastAsia" w:ascii="宋体" w:hAnsi="宋体"/>
          <w:b/>
          <w:szCs w:val="21"/>
        </w:rPr>
        <w:br w:type="page"/>
      </w:r>
    </w:p>
    <w:p>
      <w:pPr>
        <w:adjustRightInd w:val="0"/>
        <w:snapToGrid w:val="0"/>
        <w:rPr>
          <w:rFonts w:ascii="宋体" w:hAnsi="宋体"/>
          <w:b/>
          <w:szCs w:val="21"/>
        </w:rPr>
      </w:pPr>
      <w:r>
        <w:rPr>
          <w:rFonts w:hint="eastAsia" w:ascii="宋体" w:hAnsi="宋体"/>
          <w:b/>
          <w:szCs w:val="21"/>
        </w:rPr>
        <w:t>说明：投标供应商应根据《商务、技术评审表》的各项内容填写此表。</w:t>
      </w:r>
    </w:p>
    <w:p>
      <w:pPr>
        <w:adjustRightInd w:val="0"/>
        <w:snapToGrid w:val="0"/>
        <w:jc w:val="center"/>
        <w:rPr>
          <w:rFonts w:ascii="宋体" w:hAnsi="宋体"/>
          <w:b/>
          <w:szCs w:val="21"/>
        </w:rPr>
      </w:pPr>
      <w:r>
        <w:rPr>
          <w:rFonts w:hint="eastAsia" w:ascii="宋体" w:hAnsi="宋体"/>
          <w:b/>
          <w:szCs w:val="21"/>
        </w:rPr>
        <w:t>价格评审自查表</w:t>
      </w:r>
    </w:p>
    <w:tbl>
      <w:tblPr>
        <w:tblStyle w:val="18"/>
        <w:tblW w:w="99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85" w:hRule="atLeast"/>
          <w:jc w:val="center"/>
        </w:trPr>
        <w:tc>
          <w:tcPr>
            <w:tcW w:w="800" w:type="dxa"/>
            <w:vAlign w:val="center"/>
          </w:tcPr>
          <w:p>
            <w:pPr>
              <w:adjustRightInd w:val="0"/>
              <w:snapToGrid w:val="0"/>
              <w:jc w:val="center"/>
              <w:rPr>
                <w:rFonts w:ascii="宋体" w:hAnsi="宋体"/>
                <w:b/>
                <w:szCs w:val="21"/>
              </w:rPr>
            </w:pPr>
            <w:r>
              <w:rPr>
                <w:rFonts w:hint="eastAsia" w:ascii="宋体" w:hAnsi="宋体"/>
                <w:b/>
                <w:szCs w:val="21"/>
              </w:rPr>
              <w:t>序号</w:t>
            </w:r>
          </w:p>
        </w:tc>
        <w:tc>
          <w:tcPr>
            <w:tcW w:w="3142" w:type="dxa"/>
            <w:vAlign w:val="center"/>
          </w:tcPr>
          <w:p>
            <w:pPr>
              <w:adjustRightInd w:val="0"/>
              <w:snapToGrid w:val="0"/>
              <w:jc w:val="center"/>
              <w:rPr>
                <w:rFonts w:ascii="宋体" w:hAnsi="宋体"/>
                <w:b/>
                <w:szCs w:val="21"/>
              </w:rPr>
            </w:pPr>
            <w:r>
              <w:rPr>
                <w:rFonts w:hint="eastAsia" w:ascii="宋体" w:hAnsi="宋体"/>
                <w:b/>
                <w:szCs w:val="21"/>
              </w:rPr>
              <w:t>评审分项</w:t>
            </w:r>
          </w:p>
        </w:tc>
        <w:tc>
          <w:tcPr>
            <w:tcW w:w="2674" w:type="dxa"/>
            <w:vAlign w:val="center"/>
          </w:tcPr>
          <w:p>
            <w:pPr>
              <w:adjustRightInd w:val="0"/>
              <w:snapToGrid w:val="0"/>
              <w:jc w:val="center"/>
              <w:rPr>
                <w:rFonts w:ascii="宋体" w:hAnsi="宋体"/>
                <w:b/>
                <w:szCs w:val="21"/>
              </w:rPr>
            </w:pPr>
            <w:r>
              <w:rPr>
                <w:rFonts w:hint="eastAsia" w:ascii="宋体" w:hAnsi="宋体"/>
                <w:b/>
                <w:szCs w:val="21"/>
              </w:rPr>
              <w:t>内容</w:t>
            </w:r>
          </w:p>
        </w:tc>
        <w:tc>
          <w:tcPr>
            <w:tcW w:w="3346" w:type="dxa"/>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45" w:hRule="atLeast"/>
          <w:jc w:val="center"/>
        </w:trPr>
        <w:tc>
          <w:tcPr>
            <w:tcW w:w="800" w:type="dxa"/>
            <w:vAlign w:val="center"/>
          </w:tcPr>
          <w:p>
            <w:pPr>
              <w:numPr>
                <w:ilvl w:val="0"/>
                <w:numId w:val="17"/>
              </w:numPr>
              <w:adjustRightInd w:val="0"/>
              <w:snapToGrid w:val="0"/>
              <w:rPr>
                <w:rFonts w:ascii="宋体" w:hAnsi="宋体"/>
                <w:szCs w:val="21"/>
              </w:rPr>
            </w:pPr>
          </w:p>
        </w:tc>
        <w:tc>
          <w:tcPr>
            <w:tcW w:w="3142" w:type="dxa"/>
            <w:vAlign w:val="center"/>
          </w:tcPr>
          <w:p>
            <w:pPr>
              <w:snapToGrid w:val="0"/>
              <w:jc w:val="center"/>
              <w:rPr>
                <w:rFonts w:ascii="宋体" w:hAnsi="宋体" w:cs="Courier New"/>
              </w:rPr>
            </w:pPr>
            <w:r>
              <w:rPr>
                <w:rFonts w:hint="eastAsia" w:ascii="宋体" w:hAnsi="宋体"/>
                <w:szCs w:val="21"/>
              </w:rPr>
              <w:t>/</w:t>
            </w:r>
          </w:p>
        </w:tc>
        <w:tc>
          <w:tcPr>
            <w:tcW w:w="2674" w:type="dxa"/>
            <w:vAlign w:val="center"/>
          </w:tcPr>
          <w:p>
            <w:pPr>
              <w:adjustRightInd w:val="0"/>
              <w:snapToGrid w:val="0"/>
              <w:jc w:val="left"/>
              <w:rPr>
                <w:rFonts w:ascii="宋体" w:hAnsi="宋体"/>
                <w:szCs w:val="21"/>
              </w:rPr>
            </w:pPr>
            <w:r>
              <w:rPr>
                <w:rFonts w:hint="eastAsia" w:ascii="宋体" w:hAnsi="宋体" w:cs="Courier New"/>
              </w:rPr>
              <w:t>开标一览表(报价表)</w:t>
            </w:r>
            <w:r>
              <w:rPr>
                <w:rFonts w:hint="eastAsia" w:ascii="宋体" w:hAnsi="宋体" w:cs="宋体"/>
                <w:szCs w:val="21"/>
              </w:rPr>
              <w:t>（格式6）</w:t>
            </w:r>
          </w:p>
        </w:tc>
        <w:tc>
          <w:tcPr>
            <w:tcW w:w="3346" w:type="dxa"/>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50" w:hRule="atLeast"/>
          <w:jc w:val="center"/>
        </w:trPr>
        <w:tc>
          <w:tcPr>
            <w:tcW w:w="800" w:type="dxa"/>
            <w:vAlign w:val="center"/>
          </w:tcPr>
          <w:p>
            <w:pPr>
              <w:numPr>
                <w:ilvl w:val="0"/>
                <w:numId w:val="17"/>
              </w:numPr>
              <w:adjustRightInd w:val="0"/>
              <w:snapToGrid w:val="0"/>
              <w:rPr>
                <w:rFonts w:ascii="宋体" w:hAnsi="宋体"/>
                <w:szCs w:val="21"/>
              </w:rPr>
            </w:pPr>
          </w:p>
        </w:tc>
        <w:tc>
          <w:tcPr>
            <w:tcW w:w="3142" w:type="dxa"/>
            <w:vAlign w:val="center"/>
          </w:tcPr>
          <w:p>
            <w:pPr>
              <w:snapToGrid w:val="0"/>
              <w:jc w:val="center"/>
              <w:rPr>
                <w:rFonts w:ascii="宋体" w:hAnsi="宋体"/>
                <w:szCs w:val="21"/>
              </w:rPr>
            </w:pPr>
            <w:r>
              <w:rPr>
                <w:rFonts w:hint="eastAsia" w:ascii="宋体" w:hAnsi="宋体"/>
                <w:szCs w:val="21"/>
              </w:rPr>
              <w:t>/</w:t>
            </w:r>
          </w:p>
        </w:tc>
        <w:tc>
          <w:tcPr>
            <w:tcW w:w="2674" w:type="dxa"/>
            <w:vAlign w:val="center"/>
          </w:tcPr>
          <w:p>
            <w:pPr>
              <w:adjustRightInd w:val="0"/>
              <w:snapToGrid w:val="0"/>
              <w:jc w:val="left"/>
              <w:rPr>
                <w:rFonts w:ascii="宋体" w:hAnsi="宋体"/>
                <w:szCs w:val="21"/>
              </w:rPr>
            </w:pPr>
            <w:r>
              <w:rPr>
                <w:rFonts w:hint="eastAsia" w:ascii="宋体" w:hAnsi="宋体"/>
                <w:szCs w:val="21"/>
              </w:rPr>
              <w:t>投标分项报价表</w:t>
            </w:r>
          </w:p>
        </w:tc>
        <w:tc>
          <w:tcPr>
            <w:tcW w:w="3346" w:type="dxa"/>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47" w:hRule="atLeast"/>
          <w:jc w:val="center"/>
        </w:trPr>
        <w:tc>
          <w:tcPr>
            <w:tcW w:w="800" w:type="dxa"/>
            <w:vMerge w:val="restart"/>
            <w:vAlign w:val="center"/>
          </w:tcPr>
          <w:p>
            <w:pPr>
              <w:numPr>
                <w:ilvl w:val="0"/>
                <w:numId w:val="17"/>
              </w:numPr>
              <w:adjustRightInd w:val="0"/>
              <w:snapToGrid w:val="0"/>
              <w:rPr>
                <w:rFonts w:ascii="宋体" w:hAnsi="宋体"/>
                <w:szCs w:val="21"/>
              </w:rPr>
            </w:pPr>
          </w:p>
        </w:tc>
        <w:tc>
          <w:tcPr>
            <w:tcW w:w="3142" w:type="dxa"/>
            <w:vMerge w:val="restart"/>
            <w:vAlign w:val="center"/>
          </w:tcPr>
          <w:p>
            <w:pPr>
              <w:snapToGrid w:val="0"/>
              <w:jc w:val="center"/>
              <w:rPr>
                <w:rFonts w:ascii="宋体" w:hAnsi="宋体"/>
                <w:szCs w:val="21"/>
              </w:rPr>
            </w:pPr>
            <w:r>
              <w:rPr>
                <w:rFonts w:hint="eastAsia" w:ascii="宋体" w:hAnsi="宋体"/>
                <w:szCs w:val="21"/>
              </w:rPr>
              <w:t>价格扣除</w:t>
            </w:r>
          </w:p>
        </w:tc>
        <w:tc>
          <w:tcPr>
            <w:tcW w:w="2674" w:type="dxa"/>
            <w:vAlign w:val="center"/>
          </w:tcPr>
          <w:p>
            <w:pPr>
              <w:adjustRightInd w:val="0"/>
              <w:snapToGrid w:val="0"/>
              <w:jc w:val="left"/>
              <w:rPr>
                <w:rFonts w:ascii="宋体" w:hAnsi="宋体"/>
                <w:szCs w:val="21"/>
              </w:rPr>
            </w:pPr>
            <w:r>
              <w:rPr>
                <w:rFonts w:hint="eastAsia" w:ascii="宋体" w:hAnsi="宋体" w:cs="Courier New"/>
              </w:rPr>
              <w:t>中小企业声明函（可选）</w:t>
            </w:r>
            <w:r>
              <w:rPr>
                <w:rFonts w:hint="eastAsia" w:ascii="宋体" w:hAnsi="宋体" w:cs="宋体"/>
                <w:szCs w:val="21"/>
              </w:rPr>
              <w:t>（格式7）</w:t>
            </w:r>
          </w:p>
        </w:tc>
        <w:tc>
          <w:tcPr>
            <w:tcW w:w="3346" w:type="dxa"/>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6" w:hRule="atLeast"/>
          <w:jc w:val="center"/>
        </w:trPr>
        <w:tc>
          <w:tcPr>
            <w:tcW w:w="800" w:type="dxa"/>
            <w:vMerge w:val="continue"/>
            <w:vAlign w:val="center"/>
          </w:tcPr>
          <w:p>
            <w:pPr>
              <w:numPr>
                <w:ilvl w:val="0"/>
                <w:numId w:val="17"/>
              </w:numPr>
              <w:adjustRightInd w:val="0"/>
              <w:snapToGrid w:val="0"/>
              <w:rPr>
                <w:rFonts w:ascii="宋体" w:hAnsi="宋体"/>
                <w:szCs w:val="21"/>
              </w:rPr>
            </w:pPr>
          </w:p>
        </w:tc>
        <w:tc>
          <w:tcPr>
            <w:tcW w:w="3142" w:type="dxa"/>
            <w:vMerge w:val="continue"/>
            <w:vAlign w:val="center"/>
          </w:tcPr>
          <w:p>
            <w:pPr>
              <w:snapToGrid w:val="0"/>
              <w:jc w:val="center"/>
              <w:rPr>
                <w:rFonts w:ascii="宋体" w:hAnsi="宋体"/>
                <w:szCs w:val="21"/>
              </w:rPr>
            </w:pPr>
          </w:p>
        </w:tc>
        <w:tc>
          <w:tcPr>
            <w:tcW w:w="2674" w:type="dxa"/>
            <w:vAlign w:val="center"/>
          </w:tcPr>
          <w:p>
            <w:pPr>
              <w:adjustRightInd w:val="0"/>
              <w:snapToGrid w:val="0"/>
              <w:jc w:val="left"/>
              <w:rPr>
                <w:rFonts w:ascii="宋体" w:hAnsi="宋体" w:cs="Courier New"/>
              </w:rPr>
            </w:pPr>
            <w:r>
              <w:rPr>
                <w:rFonts w:hint="eastAsia" w:ascii="宋体" w:hAnsi="宋体" w:cs="Courier New"/>
              </w:rPr>
              <w:t>政策适用性说明（如有）</w:t>
            </w:r>
          </w:p>
        </w:tc>
        <w:tc>
          <w:tcPr>
            <w:tcW w:w="3346" w:type="dxa"/>
            <w:vAlign w:val="center"/>
          </w:tcPr>
          <w:p>
            <w:pPr>
              <w:adjustRightInd w:val="0"/>
              <w:snapToGrid w:val="0"/>
              <w:jc w:val="center"/>
              <w:rPr>
                <w:rFonts w:ascii="宋体" w:hAnsi="宋体"/>
                <w:szCs w:val="21"/>
              </w:rPr>
            </w:pPr>
            <w:r>
              <w:rPr>
                <w:rFonts w:hint="eastAsia" w:ascii="宋体" w:hAnsi="宋体"/>
                <w:szCs w:val="21"/>
              </w:rPr>
              <w:t>见（ ）页</w:t>
            </w:r>
          </w:p>
        </w:tc>
      </w:tr>
    </w:tbl>
    <w:p>
      <w:pPr>
        <w:adjustRightInd w:val="0"/>
        <w:snapToGrid w:val="0"/>
        <w:jc w:val="center"/>
        <w:rPr>
          <w:rFonts w:ascii="宋体" w:hAnsi="宋体"/>
          <w:b/>
          <w:szCs w:val="21"/>
        </w:rPr>
      </w:pPr>
    </w:p>
    <w:p>
      <w:pPr>
        <w:adjustRightInd w:val="0"/>
        <w:snapToGrid w:val="0"/>
        <w:jc w:val="center"/>
        <w:rPr>
          <w:rFonts w:ascii="宋体" w:hAnsi="宋体"/>
          <w:b/>
          <w:szCs w:val="21"/>
        </w:rPr>
      </w:pPr>
      <w:r>
        <w:rPr>
          <w:rFonts w:hint="eastAsia" w:ascii="宋体" w:hAnsi="宋体"/>
          <w:b/>
          <w:szCs w:val="21"/>
        </w:rPr>
        <w:t>技术评审自查表</w:t>
      </w:r>
    </w:p>
    <w:tbl>
      <w:tblPr>
        <w:tblStyle w:val="18"/>
        <w:tblW w:w="99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85" w:hRule="atLeast"/>
          <w:jc w:val="center"/>
        </w:trPr>
        <w:tc>
          <w:tcPr>
            <w:tcW w:w="800" w:type="dxa"/>
            <w:vAlign w:val="center"/>
          </w:tcPr>
          <w:p>
            <w:pPr>
              <w:adjustRightInd w:val="0"/>
              <w:snapToGrid w:val="0"/>
              <w:jc w:val="center"/>
              <w:rPr>
                <w:rFonts w:ascii="宋体" w:hAnsi="宋体"/>
                <w:b/>
                <w:szCs w:val="21"/>
              </w:rPr>
            </w:pPr>
            <w:r>
              <w:rPr>
                <w:rFonts w:hint="eastAsia" w:ascii="宋体" w:hAnsi="宋体"/>
                <w:b/>
                <w:szCs w:val="21"/>
              </w:rPr>
              <w:t>序号</w:t>
            </w:r>
          </w:p>
        </w:tc>
        <w:tc>
          <w:tcPr>
            <w:tcW w:w="3142" w:type="dxa"/>
            <w:vAlign w:val="center"/>
          </w:tcPr>
          <w:p>
            <w:pPr>
              <w:adjustRightInd w:val="0"/>
              <w:snapToGrid w:val="0"/>
              <w:jc w:val="center"/>
              <w:rPr>
                <w:rFonts w:ascii="宋体" w:hAnsi="宋体"/>
                <w:b/>
                <w:szCs w:val="21"/>
              </w:rPr>
            </w:pPr>
            <w:r>
              <w:rPr>
                <w:rFonts w:hint="eastAsia" w:ascii="宋体" w:hAnsi="宋体"/>
                <w:b/>
                <w:szCs w:val="21"/>
              </w:rPr>
              <w:t>评审分项</w:t>
            </w:r>
          </w:p>
        </w:tc>
        <w:tc>
          <w:tcPr>
            <w:tcW w:w="2674" w:type="dxa"/>
            <w:vAlign w:val="center"/>
          </w:tcPr>
          <w:p>
            <w:pPr>
              <w:adjustRightInd w:val="0"/>
              <w:snapToGrid w:val="0"/>
              <w:jc w:val="center"/>
              <w:rPr>
                <w:rFonts w:ascii="宋体" w:hAnsi="宋体"/>
                <w:b/>
                <w:szCs w:val="21"/>
              </w:rPr>
            </w:pPr>
            <w:r>
              <w:rPr>
                <w:rFonts w:hint="eastAsia" w:ascii="宋体" w:hAnsi="宋体"/>
                <w:b/>
                <w:szCs w:val="21"/>
              </w:rPr>
              <w:t>内容</w:t>
            </w:r>
          </w:p>
        </w:tc>
        <w:tc>
          <w:tcPr>
            <w:tcW w:w="3346" w:type="dxa"/>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03" w:hRule="atLeast"/>
          <w:jc w:val="center"/>
        </w:trPr>
        <w:tc>
          <w:tcPr>
            <w:tcW w:w="800" w:type="dxa"/>
            <w:vAlign w:val="center"/>
          </w:tcPr>
          <w:p>
            <w:pPr>
              <w:numPr>
                <w:ilvl w:val="0"/>
                <w:numId w:val="18"/>
              </w:numPr>
              <w:adjustRightInd w:val="0"/>
              <w:snapToGrid w:val="0"/>
              <w:rPr>
                <w:rFonts w:ascii="宋体" w:hAnsi="宋体"/>
                <w:szCs w:val="21"/>
              </w:rPr>
            </w:pPr>
          </w:p>
        </w:tc>
        <w:tc>
          <w:tcPr>
            <w:tcW w:w="3142" w:type="dxa"/>
            <w:vAlign w:val="center"/>
          </w:tcPr>
          <w:p>
            <w:pPr>
              <w:adjustRightInd w:val="0"/>
              <w:snapToGrid w:val="0"/>
              <w:jc w:val="left"/>
              <w:rPr>
                <w:rStyle w:val="38"/>
                <w:rFonts w:ascii="宋体" w:hAnsi="宋体"/>
                <w:szCs w:val="21"/>
              </w:rPr>
            </w:pPr>
            <w:r>
              <w:rPr>
                <w:rFonts w:hint="eastAsia" w:ascii="宋体" w:hAnsi="宋体" w:eastAsia="宋体" w:cs="宋体"/>
                <w:bCs/>
                <w:sz w:val="21"/>
                <w:szCs w:val="21"/>
              </w:rPr>
              <w:t>用户需求书响应程度</w:t>
            </w:r>
          </w:p>
        </w:tc>
        <w:tc>
          <w:tcPr>
            <w:tcW w:w="2674" w:type="dxa"/>
            <w:vAlign w:val="center"/>
          </w:tcPr>
          <w:p>
            <w:pPr>
              <w:adjustRightInd w:val="0"/>
              <w:snapToGrid w:val="0"/>
              <w:jc w:val="center"/>
              <w:rPr>
                <w:rFonts w:ascii="宋体" w:hAnsi="宋体"/>
                <w:kern w:val="0"/>
                <w:szCs w:val="21"/>
              </w:rPr>
            </w:pPr>
          </w:p>
        </w:tc>
        <w:tc>
          <w:tcPr>
            <w:tcW w:w="3346" w:type="dxa"/>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85" w:hRule="atLeast"/>
          <w:jc w:val="center"/>
        </w:trPr>
        <w:tc>
          <w:tcPr>
            <w:tcW w:w="800" w:type="dxa"/>
            <w:vAlign w:val="center"/>
          </w:tcPr>
          <w:p>
            <w:pPr>
              <w:numPr>
                <w:ilvl w:val="0"/>
                <w:numId w:val="18"/>
              </w:numPr>
              <w:adjustRightInd w:val="0"/>
              <w:snapToGrid w:val="0"/>
              <w:rPr>
                <w:rFonts w:ascii="宋体" w:hAnsi="宋体"/>
                <w:szCs w:val="21"/>
              </w:rPr>
            </w:pPr>
          </w:p>
        </w:tc>
        <w:tc>
          <w:tcPr>
            <w:tcW w:w="3142" w:type="dxa"/>
            <w:vAlign w:val="center"/>
          </w:tcPr>
          <w:p>
            <w:pPr>
              <w:adjustRightInd w:val="0"/>
              <w:snapToGrid w:val="0"/>
              <w:jc w:val="left"/>
              <w:rPr>
                <w:rStyle w:val="38"/>
                <w:rFonts w:ascii="宋体" w:hAnsi="宋体"/>
                <w:szCs w:val="21"/>
              </w:rPr>
            </w:pPr>
            <w:r>
              <w:rPr>
                <w:rFonts w:hint="eastAsia" w:ascii="宋体" w:hAnsi="宋体" w:eastAsia="宋体" w:cs="宋体"/>
                <w:bCs/>
                <w:sz w:val="21"/>
                <w:szCs w:val="21"/>
              </w:rPr>
              <w:t>赔偿限额承诺</w:t>
            </w:r>
          </w:p>
        </w:tc>
        <w:tc>
          <w:tcPr>
            <w:tcW w:w="2674" w:type="dxa"/>
            <w:vAlign w:val="center"/>
          </w:tcPr>
          <w:p>
            <w:pPr>
              <w:adjustRightInd w:val="0"/>
              <w:snapToGrid w:val="0"/>
              <w:jc w:val="center"/>
              <w:rPr>
                <w:rFonts w:ascii="宋体" w:hAnsi="宋体"/>
                <w:kern w:val="0"/>
                <w:szCs w:val="21"/>
              </w:rPr>
            </w:pPr>
          </w:p>
        </w:tc>
        <w:tc>
          <w:tcPr>
            <w:tcW w:w="3346" w:type="dxa"/>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85" w:hRule="atLeast"/>
          <w:jc w:val="center"/>
        </w:trPr>
        <w:tc>
          <w:tcPr>
            <w:tcW w:w="800" w:type="dxa"/>
            <w:vAlign w:val="center"/>
          </w:tcPr>
          <w:p>
            <w:pPr>
              <w:numPr>
                <w:ilvl w:val="0"/>
                <w:numId w:val="18"/>
              </w:numPr>
              <w:adjustRightInd w:val="0"/>
              <w:snapToGrid w:val="0"/>
              <w:rPr>
                <w:rFonts w:ascii="宋体" w:hAnsi="宋体"/>
                <w:szCs w:val="21"/>
              </w:rPr>
            </w:pPr>
          </w:p>
        </w:tc>
        <w:tc>
          <w:tcPr>
            <w:tcW w:w="3142" w:type="dxa"/>
            <w:vAlign w:val="center"/>
          </w:tcPr>
          <w:p>
            <w:pPr>
              <w:adjustRightInd w:val="0"/>
              <w:snapToGrid w:val="0"/>
              <w:jc w:val="left"/>
              <w:rPr>
                <w:rStyle w:val="38"/>
                <w:rFonts w:ascii="宋体" w:hAnsi="宋体"/>
                <w:szCs w:val="21"/>
              </w:rPr>
            </w:pPr>
            <w:r>
              <w:rPr>
                <w:rFonts w:hint="eastAsia" w:ascii="宋体" w:hAnsi="宋体" w:eastAsia="宋体" w:cs="宋体"/>
                <w:bCs/>
                <w:sz w:val="21"/>
                <w:szCs w:val="21"/>
              </w:rPr>
              <w:t>服务方案措施</w:t>
            </w:r>
          </w:p>
        </w:tc>
        <w:tc>
          <w:tcPr>
            <w:tcW w:w="2674" w:type="dxa"/>
            <w:vAlign w:val="center"/>
          </w:tcPr>
          <w:p>
            <w:pPr>
              <w:adjustRightInd w:val="0"/>
              <w:snapToGrid w:val="0"/>
              <w:jc w:val="center"/>
              <w:rPr>
                <w:rFonts w:ascii="宋体" w:hAnsi="宋体"/>
                <w:kern w:val="0"/>
                <w:szCs w:val="21"/>
              </w:rPr>
            </w:pPr>
          </w:p>
        </w:tc>
        <w:tc>
          <w:tcPr>
            <w:tcW w:w="3346" w:type="dxa"/>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85" w:hRule="atLeast"/>
          <w:jc w:val="center"/>
        </w:trPr>
        <w:tc>
          <w:tcPr>
            <w:tcW w:w="800" w:type="dxa"/>
            <w:vAlign w:val="center"/>
          </w:tcPr>
          <w:p>
            <w:pPr>
              <w:numPr>
                <w:ilvl w:val="0"/>
                <w:numId w:val="18"/>
              </w:numPr>
              <w:adjustRightInd w:val="0"/>
              <w:snapToGrid w:val="0"/>
              <w:rPr>
                <w:rFonts w:ascii="宋体" w:hAnsi="宋体"/>
                <w:szCs w:val="21"/>
              </w:rPr>
            </w:pPr>
          </w:p>
        </w:tc>
        <w:tc>
          <w:tcPr>
            <w:tcW w:w="3142" w:type="dxa"/>
            <w:vAlign w:val="center"/>
          </w:tcPr>
          <w:p>
            <w:pPr>
              <w:adjustRightInd w:val="0"/>
              <w:snapToGrid w:val="0"/>
              <w:jc w:val="left"/>
              <w:rPr>
                <w:rStyle w:val="38"/>
                <w:rFonts w:ascii="宋体" w:hAnsi="宋体"/>
                <w:szCs w:val="21"/>
              </w:rPr>
            </w:pPr>
            <w:r>
              <w:rPr>
                <w:rFonts w:hint="eastAsia" w:ascii="宋体" w:hAnsi="宋体" w:eastAsia="宋体" w:cs="宋体"/>
                <w:bCs/>
                <w:sz w:val="21"/>
                <w:szCs w:val="21"/>
              </w:rPr>
              <w:t>理赔周期承诺</w:t>
            </w:r>
          </w:p>
        </w:tc>
        <w:tc>
          <w:tcPr>
            <w:tcW w:w="2674" w:type="dxa"/>
            <w:vAlign w:val="center"/>
          </w:tcPr>
          <w:p>
            <w:pPr>
              <w:adjustRightInd w:val="0"/>
              <w:snapToGrid w:val="0"/>
              <w:jc w:val="center"/>
              <w:rPr>
                <w:rFonts w:ascii="宋体" w:hAnsi="宋体"/>
                <w:kern w:val="0"/>
                <w:szCs w:val="21"/>
              </w:rPr>
            </w:pPr>
          </w:p>
        </w:tc>
        <w:tc>
          <w:tcPr>
            <w:tcW w:w="3346" w:type="dxa"/>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85" w:hRule="atLeast"/>
          <w:jc w:val="center"/>
        </w:trPr>
        <w:tc>
          <w:tcPr>
            <w:tcW w:w="800" w:type="dxa"/>
            <w:vAlign w:val="center"/>
          </w:tcPr>
          <w:p>
            <w:pPr>
              <w:numPr>
                <w:ilvl w:val="0"/>
                <w:numId w:val="18"/>
              </w:numPr>
              <w:adjustRightInd w:val="0"/>
              <w:snapToGrid w:val="0"/>
              <w:rPr>
                <w:rFonts w:ascii="宋体" w:hAnsi="宋体"/>
                <w:szCs w:val="21"/>
              </w:rPr>
            </w:pPr>
          </w:p>
        </w:tc>
        <w:tc>
          <w:tcPr>
            <w:tcW w:w="3142" w:type="dxa"/>
            <w:vAlign w:val="center"/>
          </w:tcPr>
          <w:p>
            <w:pPr>
              <w:adjustRightInd w:val="0"/>
              <w:snapToGrid w:val="0"/>
              <w:jc w:val="left"/>
              <w:rPr>
                <w:rFonts w:hint="eastAsia" w:ascii="宋体" w:hAnsi="宋体" w:eastAsia="宋体" w:cs="宋体"/>
                <w:bCs/>
                <w:sz w:val="21"/>
                <w:szCs w:val="21"/>
              </w:rPr>
            </w:pPr>
            <w:r>
              <w:rPr>
                <w:rFonts w:hint="eastAsia" w:ascii="宋体" w:hAnsi="宋体" w:eastAsia="宋体" w:cs="宋体"/>
                <w:bCs/>
                <w:sz w:val="21"/>
                <w:szCs w:val="21"/>
              </w:rPr>
              <w:t>服务人员配备情况</w:t>
            </w:r>
          </w:p>
        </w:tc>
        <w:tc>
          <w:tcPr>
            <w:tcW w:w="2674" w:type="dxa"/>
            <w:vAlign w:val="center"/>
          </w:tcPr>
          <w:p>
            <w:pPr>
              <w:adjustRightInd w:val="0"/>
              <w:snapToGrid w:val="0"/>
              <w:jc w:val="center"/>
              <w:rPr>
                <w:rFonts w:ascii="宋体" w:hAnsi="宋体"/>
                <w:kern w:val="0"/>
                <w:szCs w:val="21"/>
              </w:rPr>
            </w:pPr>
          </w:p>
        </w:tc>
        <w:tc>
          <w:tcPr>
            <w:tcW w:w="3346" w:type="dxa"/>
            <w:vAlign w:val="center"/>
          </w:tcPr>
          <w:p>
            <w:pPr>
              <w:adjustRightInd w:val="0"/>
              <w:snapToGrid w:val="0"/>
              <w:jc w:val="center"/>
              <w:rPr>
                <w:rFonts w:hint="eastAsia" w:ascii="宋体" w:hAnsi="宋体"/>
                <w:szCs w:val="21"/>
              </w:rPr>
            </w:pPr>
            <w:r>
              <w:rPr>
                <w:rFonts w:hint="eastAsia" w:ascii="宋体" w:hAnsi="宋体"/>
                <w:szCs w:val="21"/>
              </w:rPr>
              <w:t>见（ ）页</w:t>
            </w:r>
          </w:p>
        </w:tc>
      </w:tr>
    </w:tbl>
    <w:p>
      <w:pPr>
        <w:adjustRightInd w:val="0"/>
        <w:snapToGrid w:val="0"/>
        <w:jc w:val="center"/>
        <w:rPr>
          <w:rFonts w:ascii="宋体" w:hAnsi="宋体"/>
          <w:b/>
          <w:szCs w:val="21"/>
        </w:rPr>
      </w:pPr>
    </w:p>
    <w:p>
      <w:pPr>
        <w:adjustRightInd w:val="0"/>
        <w:snapToGrid w:val="0"/>
        <w:jc w:val="center"/>
        <w:rPr>
          <w:rFonts w:ascii="宋体" w:hAnsi="宋体"/>
          <w:b/>
          <w:szCs w:val="21"/>
        </w:rPr>
      </w:pPr>
      <w:r>
        <w:rPr>
          <w:rFonts w:hint="eastAsia" w:ascii="宋体" w:hAnsi="宋体"/>
          <w:b/>
          <w:szCs w:val="21"/>
        </w:rPr>
        <w:t>商务评审自查表</w:t>
      </w:r>
    </w:p>
    <w:tbl>
      <w:tblPr>
        <w:tblStyle w:val="18"/>
        <w:tblW w:w="99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85" w:hRule="atLeast"/>
          <w:jc w:val="center"/>
        </w:trPr>
        <w:tc>
          <w:tcPr>
            <w:tcW w:w="800" w:type="dxa"/>
            <w:vAlign w:val="center"/>
          </w:tcPr>
          <w:p>
            <w:pPr>
              <w:adjustRightInd w:val="0"/>
              <w:snapToGrid w:val="0"/>
              <w:jc w:val="center"/>
              <w:rPr>
                <w:rFonts w:ascii="宋体" w:hAnsi="宋体"/>
                <w:szCs w:val="21"/>
              </w:rPr>
            </w:pPr>
            <w:r>
              <w:rPr>
                <w:rFonts w:hint="eastAsia" w:ascii="宋体" w:hAnsi="宋体"/>
                <w:szCs w:val="21"/>
              </w:rPr>
              <w:t>序号</w:t>
            </w:r>
          </w:p>
        </w:tc>
        <w:tc>
          <w:tcPr>
            <w:tcW w:w="3142" w:type="dxa"/>
            <w:vAlign w:val="center"/>
          </w:tcPr>
          <w:p>
            <w:pPr>
              <w:adjustRightInd w:val="0"/>
              <w:snapToGrid w:val="0"/>
              <w:jc w:val="center"/>
              <w:rPr>
                <w:rFonts w:ascii="宋体" w:hAnsi="宋体"/>
                <w:szCs w:val="21"/>
              </w:rPr>
            </w:pPr>
            <w:r>
              <w:rPr>
                <w:rFonts w:hint="eastAsia" w:ascii="宋体" w:hAnsi="宋体"/>
                <w:szCs w:val="21"/>
              </w:rPr>
              <w:t>评审分项</w:t>
            </w:r>
          </w:p>
        </w:tc>
        <w:tc>
          <w:tcPr>
            <w:tcW w:w="2674" w:type="dxa"/>
            <w:vAlign w:val="center"/>
          </w:tcPr>
          <w:p>
            <w:pPr>
              <w:adjustRightInd w:val="0"/>
              <w:snapToGrid w:val="0"/>
              <w:jc w:val="center"/>
              <w:rPr>
                <w:rFonts w:ascii="宋体" w:hAnsi="宋体"/>
                <w:szCs w:val="21"/>
              </w:rPr>
            </w:pPr>
            <w:r>
              <w:rPr>
                <w:rFonts w:hint="eastAsia" w:ascii="宋体" w:hAnsi="宋体"/>
                <w:szCs w:val="21"/>
              </w:rPr>
              <w:t>内容</w:t>
            </w:r>
          </w:p>
        </w:tc>
        <w:tc>
          <w:tcPr>
            <w:tcW w:w="3346" w:type="dxa"/>
            <w:vAlign w:val="center"/>
          </w:tcPr>
          <w:p>
            <w:pPr>
              <w:adjustRightInd w:val="0"/>
              <w:snapToGrid w:val="0"/>
              <w:jc w:val="center"/>
              <w:rPr>
                <w:rFonts w:ascii="宋体" w:hAnsi="宋体"/>
                <w:szCs w:val="21"/>
              </w:rPr>
            </w:pPr>
            <w:r>
              <w:rPr>
                <w:rFonts w:hint="eastAsia" w:ascii="宋体" w:hAnsi="宋体"/>
                <w:szCs w:val="21"/>
              </w:rPr>
              <w:t>证明文件（如有）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7" w:hRule="atLeast"/>
          <w:jc w:val="center"/>
        </w:trPr>
        <w:tc>
          <w:tcPr>
            <w:tcW w:w="800" w:type="dxa"/>
            <w:vAlign w:val="center"/>
          </w:tcPr>
          <w:p>
            <w:pPr>
              <w:numPr>
                <w:ilvl w:val="0"/>
                <w:numId w:val="19"/>
              </w:numPr>
              <w:adjustRightInd w:val="0"/>
              <w:snapToGrid w:val="0"/>
              <w:rPr>
                <w:rFonts w:ascii="宋体" w:hAnsi="宋体"/>
                <w:szCs w:val="21"/>
              </w:rPr>
            </w:pPr>
          </w:p>
        </w:tc>
        <w:tc>
          <w:tcPr>
            <w:tcW w:w="3142" w:type="dxa"/>
            <w:vAlign w:val="center"/>
          </w:tcPr>
          <w:p>
            <w:pPr>
              <w:adjustRightInd w:val="0"/>
              <w:snapToGrid w:val="0"/>
              <w:jc w:val="left"/>
              <w:rPr>
                <w:rFonts w:ascii="宋体" w:hAnsi="宋体"/>
                <w:szCs w:val="21"/>
              </w:rPr>
            </w:pPr>
            <w:r>
              <w:rPr>
                <w:rFonts w:hint="eastAsia" w:ascii="宋体" w:hAnsi="宋体" w:eastAsia="宋体" w:cs="宋体"/>
                <w:sz w:val="21"/>
                <w:szCs w:val="21"/>
              </w:rPr>
              <w:t>同类项目经验</w:t>
            </w:r>
          </w:p>
        </w:tc>
        <w:tc>
          <w:tcPr>
            <w:tcW w:w="2674" w:type="dxa"/>
            <w:vAlign w:val="center"/>
          </w:tcPr>
          <w:p>
            <w:pPr>
              <w:adjustRightInd w:val="0"/>
              <w:snapToGrid w:val="0"/>
              <w:jc w:val="center"/>
              <w:rPr>
                <w:rFonts w:ascii="宋体" w:hAnsi="宋体"/>
                <w:szCs w:val="21"/>
              </w:rPr>
            </w:pPr>
          </w:p>
        </w:tc>
        <w:tc>
          <w:tcPr>
            <w:tcW w:w="3346" w:type="dxa"/>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85" w:hRule="atLeast"/>
          <w:jc w:val="center"/>
        </w:trPr>
        <w:tc>
          <w:tcPr>
            <w:tcW w:w="800" w:type="dxa"/>
            <w:vAlign w:val="center"/>
          </w:tcPr>
          <w:p>
            <w:pPr>
              <w:numPr>
                <w:ilvl w:val="0"/>
                <w:numId w:val="19"/>
              </w:numPr>
              <w:adjustRightInd w:val="0"/>
              <w:snapToGrid w:val="0"/>
              <w:rPr>
                <w:rFonts w:ascii="宋体" w:hAnsi="宋体"/>
                <w:szCs w:val="21"/>
              </w:rPr>
            </w:pPr>
          </w:p>
        </w:tc>
        <w:tc>
          <w:tcPr>
            <w:tcW w:w="3142" w:type="dxa"/>
            <w:vAlign w:val="center"/>
          </w:tcPr>
          <w:p>
            <w:pPr>
              <w:adjustRightInd w:val="0"/>
              <w:snapToGrid w:val="0"/>
              <w:jc w:val="left"/>
              <w:rPr>
                <w:rFonts w:ascii="宋体" w:hAnsi="宋体"/>
                <w:szCs w:val="21"/>
              </w:rPr>
            </w:pPr>
            <w:r>
              <w:rPr>
                <w:rFonts w:hint="eastAsia" w:ascii="宋体" w:hAnsi="宋体" w:eastAsia="宋体" w:cs="宋体"/>
                <w:sz w:val="21"/>
                <w:szCs w:val="21"/>
              </w:rPr>
              <w:t>2019年度保险公司法人机构经营评价</w:t>
            </w:r>
          </w:p>
        </w:tc>
        <w:tc>
          <w:tcPr>
            <w:tcW w:w="2674" w:type="dxa"/>
            <w:vAlign w:val="center"/>
          </w:tcPr>
          <w:p>
            <w:pPr>
              <w:adjustRightInd w:val="0"/>
              <w:snapToGrid w:val="0"/>
              <w:jc w:val="center"/>
              <w:rPr>
                <w:rFonts w:ascii="宋体" w:hAnsi="宋体"/>
                <w:szCs w:val="21"/>
              </w:rPr>
            </w:pPr>
          </w:p>
        </w:tc>
        <w:tc>
          <w:tcPr>
            <w:tcW w:w="3346" w:type="dxa"/>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85" w:hRule="atLeast"/>
          <w:jc w:val="center"/>
        </w:trPr>
        <w:tc>
          <w:tcPr>
            <w:tcW w:w="800" w:type="dxa"/>
            <w:vAlign w:val="center"/>
          </w:tcPr>
          <w:p>
            <w:pPr>
              <w:numPr>
                <w:ilvl w:val="0"/>
                <w:numId w:val="19"/>
              </w:numPr>
              <w:adjustRightInd w:val="0"/>
              <w:snapToGrid w:val="0"/>
              <w:rPr>
                <w:rFonts w:ascii="宋体" w:hAnsi="宋体"/>
                <w:szCs w:val="21"/>
              </w:rPr>
            </w:pPr>
          </w:p>
        </w:tc>
        <w:tc>
          <w:tcPr>
            <w:tcW w:w="3142" w:type="dxa"/>
            <w:vAlign w:val="center"/>
          </w:tcPr>
          <w:p>
            <w:pPr>
              <w:widowControl/>
              <w:spacing w:line="220" w:lineRule="exact"/>
              <w:jc w:val="left"/>
              <w:rPr>
                <w:rFonts w:ascii="宋体" w:hAnsi="宋体"/>
                <w:szCs w:val="21"/>
              </w:rPr>
            </w:pPr>
            <w:r>
              <w:rPr>
                <w:rFonts w:hint="eastAsia" w:ascii="宋体" w:hAnsi="宋体" w:eastAsia="宋体" w:cs="宋体"/>
                <w:sz w:val="21"/>
                <w:szCs w:val="21"/>
              </w:rPr>
              <w:t>综合偿付能力</w:t>
            </w:r>
          </w:p>
        </w:tc>
        <w:tc>
          <w:tcPr>
            <w:tcW w:w="2674" w:type="dxa"/>
            <w:vAlign w:val="center"/>
          </w:tcPr>
          <w:p>
            <w:pPr>
              <w:adjustRightInd w:val="0"/>
              <w:snapToGrid w:val="0"/>
              <w:jc w:val="center"/>
              <w:rPr>
                <w:rFonts w:ascii="宋体" w:hAnsi="宋体"/>
                <w:bCs/>
                <w:szCs w:val="21"/>
              </w:rPr>
            </w:pPr>
          </w:p>
        </w:tc>
        <w:tc>
          <w:tcPr>
            <w:tcW w:w="3346" w:type="dxa"/>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85" w:hRule="atLeast"/>
          <w:jc w:val="center"/>
        </w:trPr>
        <w:tc>
          <w:tcPr>
            <w:tcW w:w="800" w:type="dxa"/>
            <w:vAlign w:val="center"/>
          </w:tcPr>
          <w:p>
            <w:pPr>
              <w:adjustRightInd w:val="0"/>
              <w:snapToGrid w:val="0"/>
              <w:rPr>
                <w:rFonts w:ascii="宋体" w:hAnsi="宋体"/>
                <w:szCs w:val="21"/>
              </w:rPr>
            </w:pPr>
            <w:r>
              <w:rPr>
                <w:rFonts w:hint="eastAsia" w:ascii="宋体" w:hAnsi="宋体"/>
                <w:szCs w:val="21"/>
              </w:rPr>
              <w:t>4.</w:t>
            </w:r>
          </w:p>
        </w:tc>
        <w:tc>
          <w:tcPr>
            <w:tcW w:w="3142" w:type="dxa"/>
            <w:vAlign w:val="center"/>
          </w:tcPr>
          <w:p>
            <w:pPr>
              <w:spacing w:line="360" w:lineRule="auto"/>
              <w:jc w:val="both"/>
              <w:textAlignment w:val="baseline"/>
              <w:rPr>
                <w:rFonts w:ascii="宋体" w:hAnsi="宋体"/>
                <w:szCs w:val="21"/>
              </w:rPr>
            </w:pPr>
            <w:r>
              <w:rPr>
                <w:rFonts w:hint="eastAsia" w:ascii="宋体" w:hAnsi="宋体" w:eastAsia="宋体" w:cs="宋体"/>
                <w:sz w:val="21"/>
                <w:szCs w:val="21"/>
              </w:rPr>
              <w:t>服务网点分布情况</w:t>
            </w:r>
          </w:p>
        </w:tc>
        <w:tc>
          <w:tcPr>
            <w:tcW w:w="2674" w:type="dxa"/>
            <w:vAlign w:val="center"/>
          </w:tcPr>
          <w:p>
            <w:pPr>
              <w:adjustRightInd w:val="0"/>
              <w:snapToGrid w:val="0"/>
              <w:jc w:val="center"/>
              <w:rPr>
                <w:rFonts w:ascii="宋体" w:hAnsi="宋体"/>
                <w:bCs/>
                <w:szCs w:val="21"/>
              </w:rPr>
            </w:pPr>
          </w:p>
        </w:tc>
        <w:tc>
          <w:tcPr>
            <w:tcW w:w="3346" w:type="dxa"/>
            <w:vAlign w:val="center"/>
          </w:tcPr>
          <w:p>
            <w:pPr>
              <w:adjustRightInd w:val="0"/>
              <w:snapToGrid w:val="0"/>
              <w:jc w:val="center"/>
              <w:rPr>
                <w:rFonts w:ascii="宋体" w:hAnsi="宋体"/>
                <w:szCs w:val="21"/>
              </w:rPr>
            </w:pPr>
            <w:r>
              <w:rPr>
                <w:rFonts w:hint="eastAsia" w:ascii="宋体" w:hAnsi="宋体"/>
                <w:szCs w:val="21"/>
              </w:rPr>
              <w:t>见（ ）页</w:t>
            </w:r>
          </w:p>
        </w:tc>
      </w:tr>
    </w:tbl>
    <w:p>
      <w:pPr>
        <w:adjustRightInd w:val="0"/>
        <w:snapToGrid w:val="0"/>
        <w:jc w:val="center"/>
        <w:rPr>
          <w:rFonts w:ascii="宋体" w:hAnsi="宋体"/>
        </w:rPr>
      </w:pPr>
    </w:p>
    <w:tbl>
      <w:tblPr>
        <w:tblStyle w:val="18"/>
        <w:tblW w:w="99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00"/>
        <w:gridCol w:w="5816"/>
        <w:gridCol w:w="334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85" w:hRule="atLeast"/>
          <w:jc w:val="center"/>
        </w:trPr>
        <w:tc>
          <w:tcPr>
            <w:tcW w:w="800" w:type="dxa"/>
            <w:vAlign w:val="center"/>
          </w:tcPr>
          <w:p>
            <w:pPr>
              <w:adjustRightInd w:val="0"/>
              <w:snapToGrid w:val="0"/>
              <w:jc w:val="center"/>
              <w:rPr>
                <w:rFonts w:ascii="宋体" w:hAnsi="宋体"/>
                <w:b/>
                <w:szCs w:val="21"/>
              </w:rPr>
            </w:pPr>
            <w:r>
              <w:rPr>
                <w:rFonts w:hint="eastAsia" w:ascii="宋体" w:hAnsi="宋体"/>
                <w:b/>
                <w:szCs w:val="21"/>
              </w:rPr>
              <w:t>序号</w:t>
            </w:r>
          </w:p>
        </w:tc>
        <w:tc>
          <w:tcPr>
            <w:tcW w:w="5816" w:type="dxa"/>
            <w:vAlign w:val="center"/>
          </w:tcPr>
          <w:p>
            <w:pPr>
              <w:adjustRightInd w:val="0"/>
              <w:snapToGrid w:val="0"/>
              <w:jc w:val="center"/>
              <w:rPr>
                <w:rFonts w:ascii="宋体" w:hAnsi="宋体"/>
                <w:b/>
                <w:szCs w:val="21"/>
              </w:rPr>
            </w:pPr>
            <w:r>
              <w:rPr>
                <w:rFonts w:hint="eastAsia" w:ascii="宋体" w:hAnsi="宋体"/>
                <w:b/>
                <w:szCs w:val="21"/>
              </w:rPr>
              <w:t>其他内容资料</w:t>
            </w:r>
          </w:p>
        </w:tc>
        <w:tc>
          <w:tcPr>
            <w:tcW w:w="3346" w:type="dxa"/>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85" w:hRule="atLeast"/>
          <w:jc w:val="center"/>
        </w:trPr>
        <w:tc>
          <w:tcPr>
            <w:tcW w:w="800" w:type="dxa"/>
            <w:vAlign w:val="center"/>
          </w:tcPr>
          <w:p>
            <w:pPr>
              <w:numPr>
                <w:ilvl w:val="0"/>
                <w:numId w:val="20"/>
              </w:numPr>
              <w:adjustRightInd w:val="0"/>
              <w:snapToGrid w:val="0"/>
              <w:rPr>
                <w:rFonts w:ascii="宋体" w:hAnsi="宋体"/>
                <w:szCs w:val="21"/>
              </w:rPr>
            </w:pPr>
          </w:p>
        </w:tc>
        <w:tc>
          <w:tcPr>
            <w:tcW w:w="5816" w:type="dxa"/>
            <w:vAlign w:val="center"/>
          </w:tcPr>
          <w:p>
            <w:pPr>
              <w:adjustRightInd w:val="0"/>
              <w:snapToGrid w:val="0"/>
              <w:rPr>
                <w:rFonts w:ascii="宋体" w:hAnsi="宋体" w:cs="Courier New"/>
                <w:kern w:val="0"/>
              </w:rPr>
            </w:pPr>
            <w:r>
              <w:rPr>
                <w:rFonts w:hint="eastAsia" w:ascii="宋体" w:hAnsi="宋体" w:cs="Courier New"/>
                <w:kern w:val="0"/>
              </w:rPr>
              <w:t>用户需求响应一览表（格式8）</w:t>
            </w:r>
          </w:p>
        </w:tc>
        <w:tc>
          <w:tcPr>
            <w:tcW w:w="3346" w:type="dxa"/>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85" w:hRule="atLeast"/>
          <w:jc w:val="center"/>
        </w:trPr>
        <w:tc>
          <w:tcPr>
            <w:tcW w:w="800" w:type="dxa"/>
            <w:vAlign w:val="center"/>
          </w:tcPr>
          <w:p>
            <w:pPr>
              <w:numPr>
                <w:ilvl w:val="0"/>
                <w:numId w:val="20"/>
              </w:numPr>
              <w:adjustRightInd w:val="0"/>
              <w:snapToGrid w:val="0"/>
              <w:rPr>
                <w:rFonts w:ascii="宋体" w:hAnsi="宋体"/>
                <w:szCs w:val="21"/>
              </w:rPr>
            </w:pPr>
          </w:p>
        </w:tc>
        <w:tc>
          <w:tcPr>
            <w:tcW w:w="5816" w:type="dxa"/>
            <w:vAlign w:val="center"/>
          </w:tcPr>
          <w:p>
            <w:pPr>
              <w:adjustRightInd w:val="0"/>
              <w:snapToGrid w:val="0"/>
              <w:rPr>
                <w:rFonts w:ascii="宋体" w:hAnsi="宋体" w:cs="Courier New"/>
                <w:kern w:val="0"/>
              </w:rPr>
            </w:pPr>
            <w:r>
              <w:rPr>
                <w:rFonts w:hint="eastAsia" w:ascii="宋体" w:hAnsi="宋体"/>
                <w:szCs w:val="21"/>
              </w:rPr>
              <w:t>投标人基本情况表</w:t>
            </w:r>
            <w:r>
              <w:rPr>
                <w:rFonts w:hint="eastAsia" w:ascii="宋体" w:hAnsi="宋体" w:cs="Courier New"/>
                <w:kern w:val="0"/>
              </w:rPr>
              <w:t>（格式9）</w:t>
            </w:r>
          </w:p>
        </w:tc>
        <w:tc>
          <w:tcPr>
            <w:tcW w:w="3346" w:type="dxa"/>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85" w:hRule="atLeast"/>
          <w:jc w:val="center"/>
        </w:trPr>
        <w:tc>
          <w:tcPr>
            <w:tcW w:w="800" w:type="dxa"/>
            <w:vAlign w:val="center"/>
          </w:tcPr>
          <w:p>
            <w:pPr>
              <w:numPr>
                <w:ilvl w:val="0"/>
                <w:numId w:val="20"/>
              </w:numPr>
              <w:adjustRightInd w:val="0"/>
              <w:snapToGrid w:val="0"/>
              <w:rPr>
                <w:rFonts w:ascii="宋体" w:hAnsi="宋体"/>
                <w:szCs w:val="21"/>
              </w:rPr>
            </w:pPr>
          </w:p>
        </w:tc>
        <w:tc>
          <w:tcPr>
            <w:tcW w:w="5816" w:type="dxa"/>
            <w:vAlign w:val="center"/>
          </w:tcPr>
          <w:p>
            <w:pPr>
              <w:adjustRightInd w:val="0"/>
              <w:snapToGrid w:val="0"/>
              <w:rPr>
                <w:rFonts w:ascii="宋体" w:hAnsi="宋体" w:cs="Courier New"/>
                <w:kern w:val="0"/>
              </w:rPr>
            </w:pPr>
            <w:r>
              <w:rPr>
                <w:rFonts w:hint="eastAsia" w:ascii="宋体" w:hAnsi="宋体" w:cs="Courier New"/>
                <w:kern w:val="0"/>
              </w:rPr>
              <w:t>招标代理服务费承诺书（格式10）</w:t>
            </w:r>
          </w:p>
        </w:tc>
        <w:tc>
          <w:tcPr>
            <w:tcW w:w="3346" w:type="dxa"/>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85" w:hRule="atLeast"/>
          <w:jc w:val="center"/>
        </w:trPr>
        <w:tc>
          <w:tcPr>
            <w:tcW w:w="800" w:type="dxa"/>
            <w:vAlign w:val="center"/>
          </w:tcPr>
          <w:p>
            <w:pPr>
              <w:numPr>
                <w:ilvl w:val="0"/>
                <w:numId w:val="20"/>
              </w:numPr>
              <w:adjustRightInd w:val="0"/>
              <w:snapToGrid w:val="0"/>
              <w:rPr>
                <w:rFonts w:ascii="宋体" w:hAnsi="宋体"/>
                <w:szCs w:val="21"/>
              </w:rPr>
            </w:pPr>
          </w:p>
        </w:tc>
        <w:tc>
          <w:tcPr>
            <w:tcW w:w="5816" w:type="dxa"/>
            <w:vAlign w:val="center"/>
          </w:tcPr>
          <w:p>
            <w:pPr>
              <w:adjustRightInd w:val="0"/>
              <w:snapToGrid w:val="0"/>
              <w:rPr>
                <w:rFonts w:ascii="宋体" w:hAnsi="宋体"/>
                <w:szCs w:val="21"/>
              </w:rPr>
            </w:pPr>
            <w:r>
              <w:rPr>
                <w:rFonts w:hint="eastAsia" w:ascii="宋体" w:hAnsi="宋体" w:cs="Courier New"/>
                <w:kern w:val="0"/>
              </w:rPr>
              <w:t>开票资料说明函（格式11）</w:t>
            </w:r>
          </w:p>
        </w:tc>
        <w:tc>
          <w:tcPr>
            <w:tcW w:w="3346" w:type="dxa"/>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85" w:hRule="atLeast"/>
          <w:jc w:val="center"/>
        </w:trPr>
        <w:tc>
          <w:tcPr>
            <w:tcW w:w="800" w:type="dxa"/>
            <w:vAlign w:val="center"/>
          </w:tcPr>
          <w:p>
            <w:pPr>
              <w:numPr>
                <w:ilvl w:val="0"/>
                <w:numId w:val="20"/>
              </w:numPr>
              <w:adjustRightInd w:val="0"/>
              <w:snapToGrid w:val="0"/>
              <w:rPr>
                <w:rFonts w:ascii="宋体" w:hAnsi="宋体"/>
                <w:szCs w:val="21"/>
              </w:rPr>
            </w:pPr>
          </w:p>
        </w:tc>
        <w:tc>
          <w:tcPr>
            <w:tcW w:w="5816" w:type="dxa"/>
            <w:vAlign w:val="center"/>
          </w:tcPr>
          <w:p>
            <w:pPr>
              <w:adjustRightInd w:val="0"/>
              <w:snapToGrid w:val="0"/>
              <w:rPr>
                <w:rFonts w:ascii="宋体" w:hAnsi="宋体"/>
                <w:szCs w:val="21"/>
              </w:rPr>
            </w:pPr>
            <w:r>
              <w:rPr>
                <w:rFonts w:ascii="宋体" w:hAnsi="宋体"/>
                <w:szCs w:val="21"/>
              </w:rPr>
              <w:t>…………</w:t>
            </w:r>
          </w:p>
        </w:tc>
        <w:tc>
          <w:tcPr>
            <w:tcW w:w="3346" w:type="dxa"/>
            <w:vAlign w:val="center"/>
          </w:tcPr>
          <w:p>
            <w:pPr>
              <w:adjustRightInd w:val="0"/>
              <w:snapToGrid w:val="0"/>
              <w:jc w:val="center"/>
              <w:rPr>
                <w:rFonts w:ascii="宋体" w:hAnsi="宋体"/>
                <w:szCs w:val="21"/>
              </w:rPr>
            </w:pPr>
          </w:p>
        </w:tc>
      </w:tr>
    </w:tbl>
    <w:p>
      <w:pPr>
        <w:rPr>
          <w:rFonts w:ascii="宋体" w:hAnsi="宋体"/>
          <w:b/>
          <w:szCs w:val="21"/>
        </w:rPr>
      </w:pPr>
      <w:r>
        <w:rPr>
          <w:rFonts w:hint="eastAsia" w:ascii="宋体" w:hAnsi="宋体"/>
          <w:b/>
          <w:szCs w:val="21"/>
        </w:rPr>
        <w:br w:type="page"/>
      </w:r>
    </w:p>
    <w:p>
      <w:pPr>
        <w:numPr>
          <w:ilvl w:val="0"/>
          <w:numId w:val="21"/>
        </w:numPr>
        <w:spacing w:line="440" w:lineRule="exact"/>
        <w:rPr>
          <w:rFonts w:ascii="宋体" w:hAnsi="宋体"/>
          <w:bCs/>
          <w:sz w:val="28"/>
        </w:rPr>
      </w:pPr>
    </w:p>
    <w:p>
      <w:pPr>
        <w:jc w:val="center"/>
        <w:outlineLvl w:val="2"/>
        <w:rPr>
          <w:rFonts w:ascii="宋体" w:hAnsi="宋体"/>
          <w:b/>
          <w:sz w:val="28"/>
          <w:szCs w:val="28"/>
        </w:rPr>
      </w:pPr>
      <w:r>
        <w:rPr>
          <w:rFonts w:hint="eastAsia" w:ascii="宋体" w:hAnsi="宋体"/>
          <w:b/>
          <w:sz w:val="28"/>
          <w:szCs w:val="28"/>
        </w:rPr>
        <w:t>投  标  函</w:t>
      </w:r>
    </w:p>
    <w:p>
      <w:pPr>
        <w:spacing w:line="360" w:lineRule="auto"/>
        <w:ind w:left="105" w:leftChars="50" w:firstLine="2"/>
        <w:rPr>
          <w:rFonts w:ascii="宋体" w:hAnsi="宋体"/>
          <w:b/>
        </w:rPr>
      </w:pPr>
      <w:r>
        <w:rPr>
          <w:rFonts w:hint="eastAsia" w:ascii="宋体" w:hAnsi="宋体"/>
          <w:b/>
        </w:rPr>
        <w:t>致：广州宝诚招标代理咨询有限公司</w:t>
      </w:r>
    </w:p>
    <w:p>
      <w:pPr>
        <w:spacing w:line="360" w:lineRule="auto"/>
        <w:ind w:left="105" w:leftChars="50" w:firstLine="373" w:firstLineChars="178"/>
        <w:rPr>
          <w:rFonts w:ascii="宋体" w:hAnsi="宋体"/>
        </w:rPr>
      </w:pPr>
      <w:r>
        <w:rPr>
          <w:rFonts w:hint="eastAsia" w:ascii="宋体" w:hAnsi="宋体"/>
        </w:rPr>
        <w:t>我方确认收到贵方</w:t>
      </w:r>
      <w:r>
        <w:rPr>
          <w:rFonts w:hint="eastAsia" w:ascii="宋体" w:hAnsi="宋体"/>
          <w:kern w:val="28"/>
          <w:u w:val="single"/>
        </w:rPr>
        <w:t xml:space="preserve">  </w:t>
      </w:r>
      <w:r>
        <w:rPr>
          <w:rFonts w:hint="eastAsia" w:ascii="宋体" w:hAnsi="宋体"/>
          <w:kern w:val="28"/>
          <w:u w:val="single"/>
          <w:lang w:eastAsia="zh-CN"/>
        </w:rPr>
        <w:t>广州市番禺区慈善会保险救助保障服务项目（重招）</w:t>
      </w:r>
      <w:r>
        <w:rPr>
          <w:rFonts w:hint="eastAsia" w:ascii="宋体" w:hAnsi="宋体"/>
          <w:kern w:val="28"/>
          <w:u w:val="single"/>
        </w:rPr>
        <w:t xml:space="preserve">  </w:t>
      </w:r>
      <w:r>
        <w:rPr>
          <w:rFonts w:hint="eastAsia" w:ascii="宋体" w:hAnsi="宋体"/>
          <w:kern w:val="28"/>
        </w:rPr>
        <w:t>采购相关服务的</w:t>
      </w:r>
      <w:r>
        <w:rPr>
          <w:rFonts w:hint="eastAsia" w:ascii="宋体" w:hAnsi="宋体"/>
        </w:rPr>
        <w:t>招标文件（项目编号：</w:t>
      </w:r>
      <w:r>
        <w:rPr>
          <w:rFonts w:hint="eastAsia" w:ascii="宋体" w:hAnsi="宋体"/>
          <w:lang w:eastAsia="zh-CN"/>
        </w:rPr>
        <w:t>GZBC21FG06002-2</w:t>
      </w:r>
      <w:r>
        <w:rPr>
          <w:rFonts w:hint="eastAsia" w:ascii="宋体" w:hAnsi="宋体"/>
        </w:rPr>
        <w:t>），</w:t>
      </w:r>
      <w:r>
        <w:rPr>
          <w:rFonts w:hint="eastAsia" w:ascii="宋体" w:hAnsi="宋体"/>
          <w:u w:val="single"/>
        </w:rPr>
        <w:t>(投标人名称、地址)</w:t>
      </w:r>
      <w:r>
        <w:rPr>
          <w:rFonts w:hint="eastAsia" w:ascii="宋体" w:hAnsi="宋体"/>
        </w:rPr>
        <w:t>作为投标人已正式授权</w:t>
      </w:r>
      <w:r>
        <w:rPr>
          <w:rFonts w:hint="eastAsia" w:ascii="宋体" w:hAnsi="宋体"/>
          <w:u w:val="single"/>
        </w:rPr>
        <w:t xml:space="preserve"> (被投标人授权代表全名、职务)</w:t>
      </w:r>
      <w:r>
        <w:rPr>
          <w:rFonts w:hint="eastAsia" w:ascii="宋体" w:hAnsi="宋体"/>
        </w:rPr>
        <w:t>为我方签名代表，签名代表在此声明并同意：</w:t>
      </w:r>
    </w:p>
    <w:p>
      <w:pPr>
        <w:numPr>
          <w:ilvl w:val="0"/>
          <w:numId w:val="22"/>
        </w:numPr>
        <w:snapToGrid w:val="0"/>
        <w:spacing w:line="360" w:lineRule="auto"/>
        <w:rPr>
          <w:rFonts w:ascii="宋体" w:hAnsi="宋体"/>
          <w:b/>
          <w:szCs w:val="21"/>
        </w:rPr>
      </w:pPr>
      <w:r>
        <w:rPr>
          <w:rFonts w:hint="eastAsia" w:ascii="宋体" w:hAnsi="宋体"/>
          <w:b/>
          <w:szCs w:val="21"/>
        </w:rPr>
        <w:t>我们愿意遵守采购代理机构招标文件的各项规定，自愿参加投标，并已清楚招标文件的要求及有关文件规定，并严格按照招标文件的规定履行全部责任和义务。</w:t>
      </w:r>
    </w:p>
    <w:p>
      <w:pPr>
        <w:numPr>
          <w:ilvl w:val="0"/>
          <w:numId w:val="22"/>
        </w:numPr>
        <w:snapToGrid w:val="0"/>
        <w:spacing w:line="360" w:lineRule="auto"/>
        <w:rPr>
          <w:rFonts w:ascii="宋体" w:hAnsi="宋体"/>
          <w:b/>
          <w:szCs w:val="21"/>
        </w:rPr>
      </w:pPr>
      <w:r>
        <w:rPr>
          <w:rFonts w:hint="eastAsia" w:ascii="宋体" w:hAnsi="宋体"/>
          <w:b/>
          <w:szCs w:val="21"/>
        </w:rPr>
        <w:t>我们同意本投标自投标截止之日起</w:t>
      </w:r>
      <w:r>
        <w:rPr>
          <w:rFonts w:hint="eastAsia" w:ascii="宋体" w:hAnsi="宋体"/>
          <w:b/>
          <w:szCs w:val="21"/>
          <w:u w:val="single"/>
        </w:rPr>
        <w:t>90</w:t>
      </w:r>
      <w:r>
        <w:rPr>
          <w:rFonts w:hint="eastAsia" w:ascii="宋体" w:hAnsi="宋体"/>
          <w:b/>
          <w:szCs w:val="21"/>
        </w:rPr>
        <w:t>天内有效。如果我们的投标被接受，则直至合同生效时止，本投标始终有效并不撤回已递交的投标文件。</w:t>
      </w:r>
    </w:p>
    <w:p>
      <w:pPr>
        <w:numPr>
          <w:ilvl w:val="0"/>
          <w:numId w:val="22"/>
        </w:numPr>
        <w:snapToGrid w:val="0"/>
        <w:spacing w:line="360" w:lineRule="auto"/>
        <w:rPr>
          <w:rFonts w:ascii="宋体" w:hAnsi="宋体"/>
          <w:b/>
          <w:szCs w:val="21"/>
        </w:rPr>
      </w:pPr>
      <w:r>
        <w:rPr>
          <w:rFonts w:hint="eastAsia" w:ascii="宋体" w:hAnsi="宋体"/>
          <w:b/>
          <w:szCs w:val="21"/>
        </w:rPr>
        <w:t>我们已经详细地阅读并完全明白了全部招标文件及附件，包括澄清（如有）及参考文件，我们完全理解本招标文件的要求，我们同意放弃对招标文件提出不明或误解的一切权力。</w:t>
      </w:r>
    </w:p>
    <w:p>
      <w:pPr>
        <w:numPr>
          <w:ilvl w:val="0"/>
          <w:numId w:val="22"/>
        </w:numPr>
        <w:snapToGrid w:val="0"/>
        <w:spacing w:line="360" w:lineRule="auto"/>
        <w:rPr>
          <w:rFonts w:ascii="宋体" w:hAnsi="宋体"/>
          <w:b/>
          <w:szCs w:val="21"/>
        </w:rPr>
      </w:pPr>
      <w:r>
        <w:rPr>
          <w:rFonts w:hint="eastAsia" w:ascii="宋体" w:hAnsi="宋体"/>
          <w:b/>
          <w:szCs w:val="21"/>
        </w:rPr>
        <w:t>我们同意提供招标采购单位与评标委员会要求的有关投标的一切数据或资料。</w:t>
      </w:r>
    </w:p>
    <w:p>
      <w:pPr>
        <w:numPr>
          <w:ilvl w:val="0"/>
          <w:numId w:val="22"/>
        </w:numPr>
        <w:snapToGrid w:val="0"/>
        <w:spacing w:line="360" w:lineRule="auto"/>
        <w:rPr>
          <w:rFonts w:ascii="宋体" w:hAnsi="宋体"/>
          <w:b/>
          <w:szCs w:val="21"/>
        </w:rPr>
      </w:pPr>
      <w:r>
        <w:rPr>
          <w:rFonts w:hint="eastAsia" w:ascii="宋体" w:hAnsi="宋体"/>
          <w:b/>
          <w:szCs w:val="21"/>
        </w:rPr>
        <w:t>我们理解招标采购单位与评标委员会并无义务必须接受最低报价的投标或其它任何投标，完全理解采购代理机构拒绝迟到的任何投标和最低投标报价不是被授予中标的唯一条件。</w:t>
      </w:r>
    </w:p>
    <w:p>
      <w:pPr>
        <w:numPr>
          <w:ilvl w:val="0"/>
          <w:numId w:val="22"/>
        </w:numPr>
        <w:snapToGrid w:val="0"/>
        <w:spacing w:line="360" w:lineRule="auto"/>
        <w:rPr>
          <w:rFonts w:ascii="宋体" w:hAnsi="宋体"/>
          <w:b/>
          <w:szCs w:val="21"/>
        </w:rPr>
      </w:pPr>
      <w:r>
        <w:rPr>
          <w:rFonts w:hint="eastAsia" w:ascii="宋体" w:hAnsi="宋体"/>
          <w:b/>
          <w:szCs w:val="21"/>
        </w:rPr>
        <w:t xml:space="preserve">如果我们未对招标文件全部要求作出实质性响应，则完全同意并接受按无效投标处理。 </w:t>
      </w:r>
    </w:p>
    <w:p>
      <w:pPr>
        <w:numPr>
          <w:ilvl w:val="0"/>
          <w:numId w:val="22"/>
        </w:numPr>
        <w:snapToGrid w:val="0"/>
        <w:spacing w:line="360" w:lineRule="auto"/>
        <w:rPr>
          <w:rFonts w:ascii="宋体" w:hAnsi="宋体"/>
          <w:b/>
          <w:szCs w:val="21"/>
        </w:rPr>
      </w:pPr>
      <w:r>
        <w:rPr>
          <w:rFonts w:hint="eastAsia" w:ascii="宋体" w:hAnsi="宋体"/>
          <w:b/>
          <w:szCs w:val="21"/>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numPr>
          <w:ilvl w:val="0"/>
          <w:numId w:val="22"/>
        </w:numPr>
        <w:snapToGrid w:val="0"/>
        <w:spacing w:line="360" w:lineRule="auto"/>
        <w:rPr>
          <w:rFonts w:ascii="宋体" w:hAnsi="宋体"/>
          <w:b/>
          <w:szCs w:val="21"/>
        </w:rPr>
      </w:pPr>
      <w:r>
        <w:rPr>
          <w:rFonts w:hint="eastAsia" w:ascii="宋体" w:hAnsi="宋体"/>
          <w:b/>
          <w:szCs w:val="21"/>
        </w:rPr>
        <w:t>如果我们提供的声明或承诺不真实，则完全同意认定为我司提供虚假材料，并同意作相应处理。</w:t>
      </w:r>
    </w:p>
    <w:p>
      <w:pPr>
        <w:numPr>
          <w:ilvl w:val="0"/>
          <w:numId w:val="22"/>
        </w:numPr>
        <w:snapToGrid w:val="0"/>
        <w:spacing w:line="360" w:lineRule="auto"/>
        <w:rPr>
          <w:rFonts w:ascii="宋体" w:hAnsi="宋体"/>
          <w:b/>
          <w:szCs w:val="21"/>
        </w:rPr>
      </w:pPr>
      <w:r>
        <w:rPr>
          <w:rFonts w:hint="eastAsia" w:ascii="宋体" w:hAnsi="宋体"/>
          <w:b/>
          <w:szCs w:val="21"/>
        </w:rPr>
        <w:t>我们是依法注册的法人，在法律、财务及运作上完全独立于本项目采购人、用户单位（如有）和采购代理机构。</w:t>
      </w:r>
    </w:p>
    <w:p>
      <w:pPr>
        <w:numPr>
          <w:ilvl w:val="0"/>
          <w:numId w:val="22"/>
        </w:numPr>
        <w:snapToGrid w:val="0"/>
        <w:spacing w:line="360" w:lineRule="auto"/>
        <w:rPr>
          <w:rFonts w:ascii="宋体" w:hAnsi="宋体"/>
          <w:b/>
          <w:szCs w:val="21"/>
        </w:rPr>
      </w:pPr>
      <w:r>
        <w:rPr>
          <w:rFonts w:hint="eastAsia" w:ascii="宋体" w:hAnsi="宋体"/>
          <w:b/>
          <w:szCs w:val="21"/>
        </w:rPr>
        <w:t>所有有关本次投标的函电请寄：</w:t>
      </w:r>
      <w:r>
        <w:rPr>
          <w:rFonts w:hint="eastAsia" w:ascii="宋体" w:hAnsi="宋体"/>
          <w:b/>
          <w:szCs w:val="21"/>
          <w:u w:val="single"/>
        </w:rPr>
        <w:t xml:space="preserve">  （投标人地址）   </w:t>
      </w:r>
      <w:r>
        <w:rPr>
          <w:rFonts w:hint="eastAsia" w:ascii="宋体" w:hAnsi="宋体"/>
          <w:b/>
          <w:szCs w:val="21"/>
        </w:rPr>
        <w:t xml:space="preserve">  </w:t>
      </w:r>
    </w:p>
    <w:p>
      <w:pPr>
        <w:autoSpaceDE w:val="0"/>
        <w:autoSpaceDN w:val="0"/>
        <w:adjustRightInd w:val="0"/>
        <w:spacing w:line="360" w:lineRule="auto"/>
        <w:ind w:left="420" w:firstLine="310"/>
        <w:rPr>
          <w:rFonts w:ascii="宋体" w:hAnsi="宋体"/>
          <w:b/>
          <w:szCs w:val="21"/>
        </w:rPr>
      </w:pPr>
      <w:r>
        <w:rPr>
          <w:rFonts w:hint="eastAsia" w:ascii="宋体" w:hAnsi="宋体"/>
          <w:b/>
          <w:szCs w:val="21"/>
        </w:rPr>
        <w:t xml:space="preserve">备注：本投标函内容不得擅自删改，否则视为无效投标。 </w:t>
      </w:r>
    </w:p>
    <w:p>
      <w:pPr>
        <w:ind w:left="480"/>
        <w:rPr>
          <w:rFonts w:ascii="宋体" w:hAnsi="宋体"/>
        </w:rPr>
      </w:pPr>
    </w:p>
    <w:p>
      <w:pPr>
        <w:adjustRightInd w:val="0"/>
        <w:snapToGrid w:val="0"/>
        <w:spacing w:line="360" w:lineRule="auto"/>
        <w:ind w:firstLine="436" w:firstLineChars="200"/>
        <w:rPr>
          <w:rFonts w:ascii="宋体" w:hAnsi="宋体"/>
          <w:u w:val="single"/>
        </w:rPr>
      </w:pPr>
      <w:r>
        <w:rPr>
          <w:rFonts w:hint="eastAsia" w:ascii="宋体" w:hAnsi="宋体"/>
          <w:spacing w:val="4"/>
        </w:rPr>
        <w:t>投标人名称：</w:t>
      </w:r>
      <w:r>
        <w:rPr>
          <w:rFonts w:hint="eastAsia" w:ascii="宋体" w:hAnsi="宋体"/>
          <w:spacing w:val="4"/>
          <w:u w:val="single"/>
        </w:rPr>
        <w:t xml:space="preserve">                             </w:t>
      </w:r>
    </w:p>
    <w:p>
      <w:pPr>
        <w:adjustRightInd w:val="0"/>
        <w:snapToGrid w:val="0"/>
        <w:spacing w:line="360" w:lineRule="auto"/>
        <w:ind w:firstLine="436" w:firstLineChars="200"/>
        <w:rPr>
          <w:rFonts w:ascii="宋体" w:hAnsi="宋体"/>
          <w:u w:val="single"/>
        </w:rPr>
      </w:pPr>
      <w:r>
        <w:rPr>
          <w:rFonts w:hint="eastAsia" w:ascii="宋体" w:hAnsi="宋体"/>
          <w:spacing w:val="4"/>
        </w:rPr>
        <w:t>投标人公章：</w:t>
      </w:r>
      <w:r>
        <w:rPr>
          <w:rFonts w:hint="eastAsia" w:ascii="宋体" w:hAnsi="宋体"/>
          <w:spacing w:val="4"/>
          <w:u w:val="single"/>
        </w:rPr>
        <w:t xml:space="preserve">                             </w:t>
      </w:r>
    </w:p>
    <w:p>
      <w:pPr>
        <w:adjustRightInd w:val="0"/>
        <w:snapToGrid w:val="0"/>
        <w:spacing w:line="360" w:lineRule="auto"/>
        <w:ind w:firstLine="432" w:firstLineChars="206"/>
        <w:rPr>
          <w:rFonts w:ascii="宋体" w:hAnsi="宋体"/>
          <w:spacing w:val="4"/>
          <w:u w:val="single"/>
        </w:rPr>
      </w:pPr>
      <w:r>
        <w:rPr>
          <w:rFonts w:hint="eastAsia" w:ascii="宋体" w:hAnsi="宋体"/>
        </w:rPr>
        <w:t>法定代表人或投标人授权代表（签署本人姓名或印盖本人姓名章）：</w:t>
      </w:r>
      <w:r>
        <w:rPr>
          <w:rFonts w:hint="eastAsia" w:ascii="宋体" w:hAnsi="宋体"/>
          <w:u w:val="single"/>
        </w:rPr>
        <w:t xml:space="preserve">     </w:t>
      </w:r>
      <w:r>
        <w:rPr>
          <w:rFonts w:ascii="宋体" w:hAnsi="宋体"/>
          <w:spacing w:val="4"/>
          <w:u w:val="single"/>
        </w:rPr>
        <w:t xml:space="preserve"> </w:t>
      </w:r>
      <w:r>
        <w:rPr>
          <w:rFonts w:hint="eastAsia" w:ascii="宋体" w:hAnsi="宋体"/>
          <w:spacing w:val="4"/>
          <w:u w:val="single"/>
        </w:rPr>
        <w:t xml:space="preserve">               </w:t>
      </w:r>
    </w:p>
    <w:p>
      <w:pPr>
        <w:adjustRightInd w:val="0"/>
        <w:snapToGrid w:val="0"/>
        <w:spacing w:line="360" w:lineRule="auto"/>
        <w:ind w:firstLine="432" w:firstLineChars="206"/>
        <w:rPr>
          <w:rFonts w:ascii="宋体" w:hAnsi="宋体"/>
          <w:spacing w:val="4"/>
          <w:u w:val="single"/>
        </w:rPr>
        <w:sectPr>
          <w:pgSz w:w="11906" w:h="16838"/>
          <w:pgMar w:top="1440" w:right="1080" w:bottom="1440" w:left="1080" w:header="851" w:footer="992" w:gutter="0"/>
          <w:pgBorders>
            <w:top w:val="none" w:sz="0" w:space="0"/>
            <w:left w:val="none" w:sz="0" w:space="0"/>
            <w:bottom w:val="none" w:sz="0" w:space="0"/>
            <w:right w:val="none" w:sz="0" w:space="0"/>
          </w:pgBorders>
          <w:cols w:space="720" w:num="1"/>
          <w:docGrid w:type="lines" w:linePitch="312" w:charSpace="0"/>
        </w:sectPr>
      </w:pPr>
      <w:r>
        <w:rPr>
          <w:rFonts w:hint="eastAsia" w:ascii="宋体" w:hAnsi="宋体"/>
        </w:rPr>
        <w:t>电话：</w:t>
      </w:r>
      <w:r>
        <w:rPr>
          <w:rFonts w:ascii="宋体" w:hAnsi="宋体"/>
          <w:spacing w:val="4"/>
          <w:u w:val="single"/>
        </w:rPr>
        <w:t xml:space="preserve">         </w:t>
      </w:r>
      <w:r>
        <w:rPr>
          <w:rFonts w:ascii="宋体" w:hAnsi="宋体"/>
        </w:rPr>
        <w:t xml:space="preserve"> </w:t>
      </w:r>
      <w:r>
        <w:rPr>
          <w:rFonts w:hint="eastAsia" w:ascii="宋体" w:hAnsi="宋体"/>
        </w:rPr>
        <w:t>传真：</w:t>
      </w:r>
      <w:r>
        <w:rPr>
          <w:rFonts w:ascii="宋体" w:hAnsi="宋体"/>
          <w:spacing w:val="4"/>
          <w:u w:val="single"/>
        </w:rPr>
        <w:t xml:space="preserve">         </w:t>
      </w:r>
      <w:r>
        <w:rPr>
          <w:rFonts w:ascii="宋体" w:hAnsi="宋体"/>
        </w:rPr>
        <w:t xml:space="preserve">     </w:t>
      </w:r>
      <w:r>
        <w:rPr>
          <w:rFonts w:hint="eastAsia" w:ascii="宋体" w:hAnsi="宋体"/>
        </w:rPr>
        <w:t>邮编：</w:t>
      </w:r>
      <w:r>
        <w:rPr>
          <w:rFonts w:ascii="宋体" w:hAnsi="宋体"/>
          <w:spacing w:val="4"/>
          <w:u w:val="single"/>
        </w:rPr>
        <w:t xml:space="preserve">         </w:t>
      </w:r>
    </w:p>
    <w:p>
      <w:pPr>
        <w:numPr>
          <w:ilvl w:val="0"/>
          <w:numId w:val="21"/>
        </w:numPr>
        <w:spacing w:line="440" w:lineRule="exact"/>
        <w:rPr>
          <w:rFonts w:ascii="宋体" w:hAnsi="宋体"/>
          <w:bCs/>
          <w:sz w:val="28"/>
        </w:rPr>
      </w:pPr>
      <w:r>
        <w:rPr>
          <w:rFonts w:ascii="宋体" w:hAnsi="宋体"/>
          <w:bCs/>
          <w:sz w:val="28"/>
        </w:rPr>
        <w:t xml:space="preserve"> </w:t>
      </w:r>
    </w:p>
    <w:p>
      <w:pPr>
        <w:jc w:val="center"/>
        <w:outlineLvl w:val="2"/>
        <w:rPr>
          <w:rFonts w:ascii="宋体" w:hAnsi="宋体"/>
          <w:b/>
          <w:sz w:val="28"/>
          <w:szCs w:val="28"/>
        </w:rPr>
      </w:pPr>
      <w:bookmarkStart w:id="16" w:name="_Toc275865606"/>
      <w:r>
        <w:rPr>
          <w:rFonts w:hint="eastAsia" w:ascii="宋体" w:hAnsi="宋体"/>
          <w:b/>
          <w:sz w:val="28"/>
          <w:szCs w:val="28"/>
        </w:rPr>
        <w:t>投标人资格声明函</w:t>
      </w:r>
      <w:bookmarkEnd w:id="16"/>
    </w:p>
    <w:p>
      <w:pPr>
        <w:rPr>
          <w:rFonts w:ascii="宋体" w:hAnsi="宋体"/>
          <w:b/>
        </w:rPr>
      </w:pPr>
      <w:r>
        <w:rPr>
          <w:rFonts w:hint="eastAsia" w:ascii="宋体" w:hAnsi="宋体"/>
          <w:b/>
        </w:rPr>
        <w:t>广州宝诚招标代理咨询有限公司：</w:t>
      </w:r>
    </w:p>
    <w:p>
      <w:pPr>
        <w:snapToGrid w:val="0"/>
        <w:spacing w:beforeLines="50" w:line="360" w:lineRule="auto"/>
        <w:ind w:firstLine="424" w:firstLineChars="202"/>
        <w:rPr>
          <w:rFonts w:ascii="宋体" w:hAnsi="宋体"/>
        </w:rPr>
      </w:pPr>
      <w:r>
        <w:rPr>
          <w:rFonts w:hint="eastAsia" w:ascii="宋体" w:hAnsi="宋体"/>
        </w:rPr>
        <w:t>关于贵公司</w:t>
      </w:r>
      <w:r>
        <w:rPr>
          <w:rFonts w:hint="eastAsia" w:ascii="宋体" w:hAnsi="宋体"/>
          <w:u w:val="single"/>
        </w:rPr>
        <w:t>　 　</w:t>
      </w:r>
      <w:r>
        <w:rPr>
          <w:rFonts w:hint="eastAsia" w:ascii="宋体" w:hAnsi="宋体"/>
        </w:rPr>
        <w:t>年</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日发布</w:t>
      </w:r>
      <w:r>
        <w:rPr>
          <w:rFonts w:ascii="宋体" w:hAnsi="宋体"/>
          <w:u w:val="single"/>
        </w:rPr>
        <w:t xml:space="preserve">  </w:t>
      </w:r>
      <w:r>
        <w:rPr>
          <w:rFonts w:hint="eastAsia" w:ascii="宋体" w:hAnsi="宋体"/>
          <w:kern w:val="28"/>
          <w:u w:val="single"/>
          <w:lang w:eastAsia="zh-CN"/>
        </w:rPr>
        <w:t>广州市番禺区慈善会保险救助保障服务项目（重招）</w:t>
      </w:r>
      <w:r>
        <w:rPr>
          <w:rFonts w:ascii="宋体" w:hAnsi="宋体"/>
          <w:u w:val="single"/>
        </w:rPr>
        <w:t xml:space="preserve">  </w:t>
      </w:r>
      <w:r>
        <w:rPr>
          <w:rFonts w:hint="eastAsia" w:ascii="宋体" w:hAnsi="宋体"/>
        </w:rPr>
        <w:t>项目（项目编号：</w:t>
      </w:r>
      <w:r>
        <w:rPr>
          <w:rFonts w:hint="eastAsia" w:ascii="宋体" w:hAnsi="宋体"/>
          <w:lang w:eastAsia="zh-CN"/>
        </w:rPr>
        <w:t>GZBC21FG06002-2</w:t>
      </w:r>
      <w:r>
        <w:rPr>
          <w:rFonts w:hint="eastAsia" w:ascii="宋体" w:hAnsi="宋体"/>
        </w:rPr>
        <w:t>）的采购公告，本公司（企业）愿意参加投标，并声明：</w:t>
      </w:r>
    </w:p>
    <w:p>
      <w:pPr>
        <w:snapToGrid w:val="0"/>
        <w:spacing w:line="360" w:lineRule="auto"/>
        <w:ind w:firstLine="424" w:firstLineChars="202"/>
        <w:rPr>
          <w:rFonts w:ascii="宋体" w:hAnsi="宋体"/>
        </w:rPr>
      </w:pPr>
      <w:r>
        <w:rPr>
          <w:rFonts w:hint="eastAsia" w:ascii="宋体" w:hAnsi="宋体"/>
        </w:rPr>
        <w:t>本公司（企业）具备</w:t>
      </w:r>
      <w:r>
        <w:rPr>
          <w:rFonts w:hint="eastAsia" w:ascii="宋体" w:hAnsi="宋体"/>
          <w:bCs/>
          <w:szCs w:val="21"/>
        </w:rPr>
        <w:t>《中华人民共和国政府采购法》第二十二条资格条件，</w:t>
      </w:r>
      <w:r>
        <w:rPr>
          <w:rFonts w:hint="eastAsia" w:ascii="宋体" w:hAnsi="宋体"/>
        </w:rPr>
        <w:t>并已清楚招标文件的要求及有关文件规定。</w:t>
      </w:r>
    </w:p>
    <w:p>
      <w:pPr>
        <w:snapToGrid w:val="0"/>
        <w:spacing w:line="360" w:lineRule="auto"/>
        <w:ind w:firstLine="424" w:firstLineChars="202"/>
        <w:rPr>
          <w:rFonts w:ascii="宋体" w:hAnsi="宋体"/>
        </w:rPr>
      </w:pPr>
      <w:r>
        <w:rPr>
          <w:rFonts w:hint="eastAsia" w:ascii="宋体" w:hAnsi="宋体"/>
        </w:rPr>
        <w:t>本公司（企业）的法定代表人或单位负责人与所参投的本采购项目的其他投标人的法定代表人或单位负责人不为同一人且与其他投标人之间不存在直接控股、管理关系。</w:t>
      </w:r>
    </w:p>
    <w:p>
      <w:pPr>
        <w:snapToGrid w:val="0"/>
        <w:spacing w:line="360" w:lineRule="auto"/>
        <w:ind w:firstLine="424" w:firstLineChars="202"/>
        <w:rPr>
          <w:rFonts w:ascii="宋体" w:hAnsi="宋体"/>
        </w:rPr>
      </w:pPr>
      <w:r>
        <w:rPr>
          <w:rFonts w:hint="eastAsia" w:ascii="宋体" w:hAnsi="宋体"/>
        </w:rPr>
        <w:t>根据《中华人民共和国政府采购法实施条例》的规定，本公司（企业）如为本采购项目提供整体设计、规范编制或者项目管理、监理、检测等服务的供应商，不得再参加该采购项目的其他采购活动。否则，由此所造成的损失、不良后果及法律责任，一律由我公司（企业）承担。</w:t>
      </w:r>
    </w:p>
    <w:p>
      <w:pPr>
        <w:snapToGrid w:val="0"/>
        <w:spacing w:line="360" w:lineRule="auto"/>
        <w:ind w:firstLine="424" w:firstLineChars="202"/>
        <w:rPr>
          <w:rFonts w:ascii="宋体" w:hAnsi="宋体"/>
        </w:rPr>
      </w:pPr>
      <w:r>
        <w:rPr>
          <w:rFonts w:hint="eastAsia" w:ascii="宋体" w:hAnsi="宋体"/>
        </w:rPr>
        <w:t>本公司（企业）</w:t>
      </w:r>
      <w:r>
        <w:rPr>
          <w:rFonts w:ascii="宋体" w:hAnsi="宋体"/>
        </w:rPr>
        <w:t>具有履行合同所必需的设备和专业技术能力</w:t>
      </w:r>
      <w:r>
        <w:rPr>
          <w:rFonts w:hint="eastAsia" w:ascii="宋体" w:hAnsi="宋体"/>
        </w:rPr>
        <w:t>，且本公司（企业）参加政府采购活动前</w:t>
      </w:r>
      <w:r>
        <w:rPr>
          <w:rFonts w:ascii="宋体" w:hAnsi="宋体"/>
        </w:rPr>
        <w:t>3</w:t>
      </w:r>
      <w:r>
        <w:rPr>
          <w:rFonts w:hint="eastAsia" w:ascii="宋体" w:hAnsi="宋体"/>
        </w:rPr>
        <w:t>年内在经营活动中没有重大违法记录。否则，由此所造成的损失、不良后果及法律责任，一律由我公司（企业）承担。</w:t>
      </w:r>
    </w:p>
    <w:p>
      <w:pPr>
        <w:snapToGrid w:val="0"/>
        <w:spacing w:line="360" w:lineRule="auto"/>
        <w:ind w:firstLine="424" w:firstLineChars="202"/>
        <w:rPr>
          <w:rFonts w:ascii="宋体" w:hAnsi="宋体"/>
        </w:rPr>
      </w:pPr>
      <w:r>
        <w:rPr>
          <w:rFonts w:hint="eastAsia" w:ascii="宋体" w:hAnsi="宋体"/>
        </w:rPr>
        <w:t>本次招标采购活动中，如有违法、违规、弄虚作假行为，所造成的损失、不良后果及法律责任，一律由我公司（企业）承担。</w:t>
      </w:r>
    </w:p>
    <w:p>
      <w:pPr>
        <w:spacing w:line="360" w:lineRule="auto"/>
        <w:ind w:firstLine="420"/>
        <w:rPr>
          <w:rFonts w:ascii="宋体" w:hAnsi="宋体"/>
          <w:b/>
        </w:rPr>
      </w:pPr>
      <w:r>
        <w:rPr>
          <w:rFonts w:hint="eastAsia" w:ascii="宋体" w:hAnsi="宋体"/>
          <w:b/>
        </w:rPr>
        <w:t>特此声明！</w:t>
      </w:r>
    </w:p>
    <w:p>
      <w:pPr>
        <w:adjustRightInd w:val="0"/>
        <w:snapToGrid w:val="0"/>
        <w:spacing w:line="360" w:lineRule="auto"/>
        <w:ind w:left="425"/>
        <w:rPr>
          <w:rFonts w:ascii="宋体" w:hAnsi="宋体"/>
          <w:spacing w:val="4"/>
        </w:rPr>
      </w:pPr>
    </w:p>
    <w:p>
      <w:pPr>
        <w:pStyle w:val="17"/>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rPr>
          <w:rFonts w:ascii="宋体" w:hAnsi="宋体"/>
          <w:spacing w:val="4"/>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r>
        <w:rPr>
          <w:rFonts w:hint="eastAsia" w:ascii="宋体" w:hAnsi="宋体"/>
          <w:spacing w:val="4"/>
          <w:u w:val="single"/>
          <w:lang w:val="en-US" w:eastAsia="zh-CN"/>
        </w:rPr>
        <w:t xml:space="preserve">      </w:t>
      </w:r>
      <w:r>
        <w:rPr>
          <w:rFonts w:ascii="宋体" w:hAnsi="宋体"/>
          <w:spacing w:val="4"/>
          <w:u w:val="single"/>
        </w:rPr>
        <w:t xml:space="preserve">     </w:t>
      </w:r>
    </w:p>
    <w:p>
      <w:pPr>
        <w:rPr>
          <w:rFonts w:ascii="宋体" w:hAnsi="宋体"/>
          <w:spacing w:val="4"/>
        </w:rPr>
      </w:pPr>
      <w:r>
        <w:rPr>
          <w:rFonts w:hint="eastAsia" w:ascii="宋体" w:hAnsi="宋体"/>
          <w:spacing w:val="4"/>
        </w:rPr>
        <w:br w:type="page"/>
      </w:r>
    </w:p>
    <w:p>
      <w:pPr>
        <w:numPr>
          <w:ilvl w:val="0"/>
          <w:numId w:val="21"/>
        </w:numPr>
        <w:spacing w:line="440" w:lineRule="exact"/>
        <w:rPr>
          <w:rFonts w:ascii="宋体" w:hAnsi="宋体"/>
          <w:szCs w:val="21"/>
        </w:rPr>
      </w:pPr>
    </w:p>
    <w:p>
      <w:pPr>
        <w:jc w:val="center"/>
        <w:outlineLvl w:val="2"/>
        <w:rPr>
          <w:rFonts w:ascii="宋体" w:hAnsi="宋体"/>
          <w:b/>
          <w:sz w:val="28"/>
          <w:szCs w:val="28"/>
        </w:rPr>
      </w:pPr>
      <w:bookmarkStart w:id="17" w:name="_Toc50737329"/>
      <w:bookmarkStart w:id="18" w:name="_Toc275865607"/>
      <w:bookmarkStart w:id="19" w:name="_Toc52165081"/>
      <w:bookmarkStart w:id="20" w:name="_Toc50736477"/>
      <w:bookmarkStart w:id="21" w:name="_Toc50737297"/>
      <w:r>
        <w:rPr>
          <w:rFonts w:hint="eastAsia" w:ascii="宋体" w:hAnsi="宋体"/>
          <w:b/>
          <w:sz w:val="28"/>
          <w:szCs w:val="28"/>
        </w:rPr>
        <w:t>法定代表人授权委托书</w:t>
      </w:r>
      <w:bookmarkEnd w:id="17"/>
      <w:bookmarkEnd w:id="18"/>
      <w:bookmarkEnd w:id="19"/>
      <w:bookmarkEnd w:id="20"/>
      <w:bookmarkEnd w:id="21"/>
    </w:p>
    <w:p>
      <w:pPr>
        <w:pStyle w:val="10"/>
        <w:spacing w:line="360" w:lineRule="auto"/>
        <w:ind w:firstLine="420" w:firstLineChars="200"/>
        <w:rPr>
          <w:rFonts w:hAnsi="宋体"/>
          <w:sz w:val="21"/>
        </w:rPr>
      </w:pPr>
      <w:r>
        <w:rPr>
          <w:rFonts w:hint="eastAsia" w:hAnsi="宋体"/>
          <w:sz w:val="21"/>
        </w:rPr>
        <w:t>本授权委托书声明：注册于</w:t>
      </w:r>
      <w:r>
        <w:rPr>
          <w:rFonts w:hint="eastAsia" w:hAnsi="宋体"/>
          <w:sz w:val="21"/>
          <w:u w:val="single"/>
        </w:rPr>
        <w:t xml:space="preserve"> （投标人地址）  </w:t>
      </w:r>
      <w:r>
        <w:rPr>
          <w:rFonts w:hint="eastAsia" w:hAnsi="宋体"/>
          <w:sz w:val="21"/>
        </w:rPr>
        <w:t>的</w:t>
      </w:r>
      <w:r>
        <w:rPr>
          <w:rFonts w:hint="eastAsia" w:hAnsi="宋体"/>
          <w:sz w:val="21"/>
          <w:u w:val="single"/>
        </w:rPr>
        <w:t xml:space="preserve">  （投标人名称）    </w:t>
      </w:r>
      <w:r>
        <w:rPr>
          <w:rFonts w:hint="eastAsia" w:hAnsi="宋体"/>
          <w:sz w:val="21"/>
        </w:rPr>
        <w:t>在下面签名的</w:t>
      </w:r>
      <w:r>
        <w:rPr>
          <w:rFonts w:hint="eastAsia" w:hAnsi="宋体"/>
          <w:sz w:val="21"/>
          <w:u w:val="single"/>
        </w:rPr>
        <w:t>（法定代表人姓名、职务）</w:t>
      </w:r>
      <w:r>
        <w:rPr>
          <w:rFonts w:hint="eastAsia" w:hAnsi="宋体"/>
          <w:sz w:val="21"/>
        </w:rPr>
        <w:t>在此授权</w:t>
      </w:r>
      <w:r>
        <w:rPr>
          <w:rFonts w:hint="eastAsia" w:hAnsi="宋体"/>
          <w:sz w:val="21"/>
          <w:u w:val="single"/>
        </w:rPr>
        <w:t>（被授权人姓名、职务）</w:t>
      </w:r>
      <w:r>
        <w:rPr>
          <w:rFonts w:hint="eastAsia" w:hAnsi="宋体"/>
          <w:sz w:val="21"/>
        </w:rPr>
        <w:t>作为我公司的合法代理人，就</w:t>
      </w:r>
      <w:r>
        <w:rPr>
          <w:rFonts w:hint="eastAsia" w:hAnsi="宋体"/>
          <w:sz w:val="21"/>
          <w:u w:val="single"/>
        </w:rPr>
        <w:t>（项目名称、项目编号</w:t>
      </w:r>
      <w:r>
        <w:rPr>
          <w:rFonts w:hint="eastAsia" w:hAnsi="宋体"/>
          <w:sz w:val="21"/>
        </w:rPr>
        <w:t>）的招投标活动，采购合同的签订、执行、完成和售后服务，作为投标人代表以我方的名义处理一切与之有关的事务。</w:t>
      </w:r>
    </w:p>
    <w:p>
      <w:pPr>
        <w:pStyle w:val="10"/>
        <w:spacing w:line="360" w:lineRule="auto"/>
        <w:ind w:firstLine="420" w:firstLineChars="200"/>
        <w:rPr>
          <w:rFonts w:hAnsi="宋体"/>
          <w:sz w:val="21"/>
        </w:rPr>
      </w:pPr>
      <w:r>
        <w:rPr>
          <w:rFonts w:hint="eastAsia" w:hAnsi="宋体"/>
          <w:sz w:val="21"/>
        </w:rPr>
        <w:t>被授权人（投标人授权代表）无转委托权限。</w:t>
      </w:r>
    </w:p>
    <w:p>
      <w:pPr>
        <w:spacing w:line="360" w:lineRule="auto"/>
        <w:ind w:firstLine="420" w:firstLineChars="200"/>
        <w:rPr>
          <w:rFonts w:ascii="宋体" w:hAnsi="宋体"/>
          <w:szCs w:val="21"/>
        </w:rPr>
      </w:pPr>
      <w:r>
        <w:rPr>
          <w:rFonts w:hint="eastAsia" w:ascii="宋体" w:hAnsi="宋体"/>
          <w:szCs w:val="21"/>
        </w:rPr>
        <w:t>本授权书自法定代表人签字之日起生效，特此声明。</w:t>
      </w:r>
    </w:p>
    <w:p>
      <w:pPr>
        <w:spacing w:line="360" w:lineRule="auto"/>
        <w:rPr>
          <w:rFonts w:ascii="宋体" w:hAnsi="宋体"/>
          <w:szCs w:val="21"/>
        </w:rPr>
      </w:pPr>
    </w:p>
    <w:p>
      <w:pPr>
        <w:pStyle w:val="17"/>
      </w:pPr>
    </w:p>
    <w:p>
      <w:pPr>
        <w:spacing w:line="360" w:lineRule="auto"/>
        <w:rPr>
          <w:rFonts w:ascii="宋体" w:hAnsi="宋体"/>
          <w:szCs w:val="21"/>
        </w:rPr>
      </w:pPr>
      <w:r>
        <w:rPr>
          <w:rFonts w:hint="eastAsia" w:ascii="宋体" w:hAnsi="宋体"/>
          <w:szCs w:val="21"/>
        </w:rPr>
        <w:t>投标人名称（单位盖</w:t>
      </w:r>
      <w:r>
        <w:rPr>
          <w:rFonts w:hint="eastAsia" w:ascii="宋体" w:hAnsi="宋体"/>
          <w:spacing w:val="4"/>
          <w:szCs w:val="21"/>
        </w:rPr>
        <w:t>公章</w:t>
      </w:r>
      <w:r>
        <w:rPr>
          <w:rFonts w:hint="eastAsia" w:ascii="宋体" w:hAnsi="宋体"/>
          <w:szCs w:val="21"/>
        </w:rPr>
        <w:t>）：</w:t>
      </w:r>
    </w:p>
    <w:p>
      <w:pPr>
        <w:spacing w:line="360" w:lineRule="auto"/>
        <w:rPr>
          <w:rFonts w:ascii="宋体" w:hAnsi="宋体"/>
          <w:szCs w:val="21"/>
        </w:rPr>
      </w:pPr>
      <w:r>
        <w:rPr>
          <w:rFonts w:hint="eastAsia" w:ascii="宋体" w:hAnsi="宋体"/>
          <w:szCs w:val="21"/>
        </w:rPr>
        <w:t>地      址：</w:t>
      </w:r>
    </w:p>
    <w:p>
      <w:pPr>
        <w:tabs>
          <w:tab w:val="left" w:pos="3780"/>
        </w:tabs>
        <w:spacing w:line="360" w:lineRule="auto"/>
        <w:rPr>
          <w:rFonts w:ascii="宋体" w:hAnsi="宋体"/>
          <w:szCs w:val="21"/>
        </w:rPr>
      </w:pPr>
      <w:r>
        <w:rPr>
          <w:rFonts w:hint="eastAsia" w:ascii="宋体" w:hAnsi="宋体"/>
          <w:szCs w:val="21"/>
        </w:rPr>
        <w:t>法定代表人（签署本人姓名或印盖本人姓名章）：          签字日期：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360" w:lineRule="auto"/>
        <w:rPr>
          <w:rFonts w:ascii="宋体" w:hAnsi="宋体"/>
        </w:rPr>
      </w:pPr>
    </w:p>
    <w:tbl>
      <w:tblPr>
        <w:tblStyle w:val="18"/>
        <w:tblW w:w="9344"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344"/>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535" w:hRule="atLeast"/>
        </w:trPr>
        <w:tc>
          <w:tcPr>
            <w:tcW w:w="9344" w:type="dxa"/>
            <w:vAlign w:val="center"/>
          </w:tcPr>
          <w:p>
            <w:pPr>
              <w:pStyle w:val="31"/>
              <w:ind w:left="105"/>
              <w:jc w:val="center"/>
              <w:rPr>
                <w:b/>
              </w:rPr>
            </w:pPr>
            <w:r>
              <w:rPr>
                <w:rFonts w:hint="eastAsia"/>
                <w:b/>
              </w:rPr>
              <w:t>被授权人（授权代表）</w:t>
            </w:r>
          </w:p>
          <w:p>
            <w:pPr>
              <w:pStyle w:val="31"/>
              <w:ind w:left="105"/>
              <w:jc w:val="center"/>
            </w:pPr>
            <w:r>
              <w:rPr>
                <w:rFonts w:hint="eastAsia"/>
                <w:b/>
              </w:rPr>
              <w:t>居民身份证复印件粘贴处（正、反面）</w:t>
            </w:r>
          </w:p>
        </w:tc>
      </w:tr>
    </w:tbl>
    <w:p>
      <w:pPr>
        <w:spacing w:line="360" w:lineRule="auto"/>
        <w:rPr>
          <w:rFonts w:ascii="宋体" w:hAnsi="宋体"/>
          <w:b/>
        </w:rPr>
      </w:pPr>
      <w:r>
        <w:rPr>
          <w:rFonts w:hint="eastAsia" w:ascii="宋体" w:hAnsi="宋体"/>
          <w:b/>
        </w:rPr>
        <w:t>注：此委托书一式两份，一份装订在报价文件正本内，另一份由授权代表携带出席评审会。</w:t>
      </w:r>
    </w:p>
    <w:p>
      <w:pPr>
        <w:spacing w:line="360" w:lineRule="auto"/>
        <w:rPr>
          <w:rFonts w:ascii="宋体" w:hAnsi="宋体"/>
        </w:rPr>
      </w:pPr>
    </w:p>
    <w:p>
      <w:pPr>
        <w:spacing w:line="360" w:lineRule="auto"/>
        <w:rPr>
          <w:rFonts w:ascii="宋体" w:hAnsi="宋体"/>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r>
        <w:rPr>
          <w:rFonts w:ascii="宋体" w:hAnsi="宋体"/>
          <w:sz w:val="24"/>
        </w:rPr>
        <w:br w:type="page"/>
      </w:r>
    </w:p>
    <w:p>
      <w:pPr>
        <w:numPr>
          <w:ilvl w:val="0"/>
          <w:numId w:val="21"/>
        </w:numPr>
        <w:spacing w:line="440" w:lineRule="exact"/>
        <w:rPr>
          <w:rFonts w:ascii="宋体" w:hAnsi="宋体"/>
        </w:rPr>
      </w:pPr>
    </w:p>
    <w:p>
      <w:pPr>
        <w:jc w:val="center"/>
        <w:outlineLvl w:val="2"/>
        <w:rPr>
          <w:rFonts w:ascii="宋体" w:hAnsi="宋体"/>
          <w:b/>
          <w:sz w:val="28"/>
          <w:szCs w:val="28"/>
        </w:rPr>
      </w:pPr>
      <w:bookmarkStart w:id="22" w:name="_Toc275865608"/>
      <w:r>
        <w:rPr>
          <w:rFonts w:hint="eastAsia" w:ascii="宋体" w:hAnsi="宋体"/>
          <w:b/>
          <w:sz w:val="28"/>
          <w:szCs w:val="28"/>
        </w:rPr>
        <w:t>法定代表人证明书</w:t>
      </w:r>
      <w:bookmarkEnd w:id="22"/>
    </w:p>
    <w:p>
      <w:pPr>
        <w:tabs>
          <w:tab w:val="left" w:pos="900"/>
        </w:tabs>
        <w:spacing w:line="480" w:lineRule="auto"/>
        <w:ind w:firstLine="945" w:firstLineChars="450"/>
        <w:rPr>
          <w:rFonts w:ascii="宋体" w:hAnsi="宋体"/>
        </w:rPr>
      </w:pPr>
      <w:r>
        <w:rPr>
          <w:rFonts w:hint="eastAsia" w:ascii="宋体" w:hAnsi="宋体"/>
        </w:rPr>
        <w:t>______________同志，现任我单位</w:t>
      </w:r>
      <w:r>
        <w:rPr>
          <w:rFonts w:ascii="宋体" w:hAnsi="宋体"/>
          <w:u w:val="single"/>
        </w:rPr>
        <w:t xml:space="preserve">         </w:t>
      </w:r>
      <w:r>
        <w:rPr>
          <w:rFonts w:hint="eastAsia" w:ascii="宋体" w:hAnsi="宋体"/>
        </w:rPr>
        <w:t>职务，为法定代表人，特此证明。</w:t>
      </w:r>
    </w:p>
    <w:p>
      <w:pPr>
        <w:spacing w:line="360" w:lineRule="auto"/>
        <w:ind w:firstLine="420" w:firstLineChars="200"/>
        <w:rPr>
          <w:rFonts w:ascii="宋体" w:hAnsi="宋体"/>
        </w:rPr>
      </w:pPr>
      <w:r>
        <w:rPr>
          <w:rFonts w:hint="eastAsia" w:ascii="宋体" w:hAnsi="宋体"/>
        </w:rPr>
        <w:t>本证明书自签发之日起生效，有效期与本公司投标文件中标注的投标有效期相同。</w:t>
      </w:r>
    </w:p>
    <w:p>
      <w:pPr>
        <w:spacing w:line="480" w:lineRule="auto"/>
        <w:ind w:firstLine="420" w:firstLineChars="200"/>
        <w:rPr>
          <w:rFonts w:ascii="宋体" w:hAnsi="宋体"/>
        </w:rPr>
      </w:pPr>
      <w:r>
        <w:rPr>
          <w:rFonts w:hint="eastAsia" w:ascii="宋体" w:hAnsi="宋体"/>
        </w:rPr>
        <w:t>附：</w:t>
      </w:r>
    </w:p>
    <w:p>
      <w:pPr>
        <w:spacing w:line="480" w:lineRule="auto"/>
        <w:ind w:firstLine="840" w:firstLineChars="400"/>
        <w:rPr>
          <w:rFonts w:ascii="宋体" w:hAnsi="宋体"/>
        </w:rPr>
      </w:pPr>
      <w:r>
        <w:rPr>
          <w:rFonts w:hint="eastAsia" w:ascii="宋体" w:hAnsi="宋体"/>
        </w:rPr>
        <w:t xml:space="preserve">营业执照（注册号）：                       </w:t>
      </w:r>
    </w:p>
    <w:p>
      <w:pPr>
        <w:spacing w:line="480" w:lineRule="auto"/>
        <w:ind w:firstLine="840" w:firstLineChars="400"/>
        <w:rPr>
          <w:rFonts w:ascii="宋体" w:hAnsi="宋体"/>
        </w:rPr>
      </w:pPr>
      <w:r>
        <w:rPr>
          <w:rFonts w:hint="eastAsia" w:ascii="宋体" w:hAnsi="宋体"/>
        </w:rPr>
        <w:t>经济性质：</w:t>
      </w:r>
    </w:p>
    <w:p>
      <w:pPr>
        <w:spacing w:line="480" w:lineRule="auto"/>
        <w:ind w:firstLine="840" w:firstLineChars="400"/>
        <w:rPr>
          <w:rFonts w:ascii="宋体" w:hAnsi="宋体"/>
        </w:rPr>
      </w:pPr>
      <w:r>
        <w:rPr>
          <w:rFonts w:hint="eastAsia" w:ascii="宋体" w:hAnsi="宋体"/>
        </w:rPr>
        <w:t>主营（产）：</w:t>
      </w:r>
    </w:p>
    <w:p>
      <w:pPr>
        <w:spacing w:line="480" w:lineRule="auto"/>
        <w:ind w:firstLine="840" w:firstLineChars="400"/>
        <w:rPr>
          <w:rFonts w:ascii="宋体" w:hAnsi="宋体"/>
        </w:rPr>
      </w:pPr>
      <w:r>
        <w:rPr>
          <w:rFonts w:hint="eastAsia" w:ascii="宋体" w:hAnsi="宋体"/>
        </w:rPr>
        <w:t>兼营（产）：</w:t>
      </w:r>
    </w:p>
    <w:tbl>
      <w:tblPr>
        <w:tblStyle w:val="18"/>
        <w:tblpPr w:leftFromText="180" w:rightFromText="180" w:vertAnchor="text" w:tblpX="115" w:tblpY="631"/>
        <w:tblW w:w="9344"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344"/>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270" w:hRule="atLeast"/>
        </w:trPr>
        <w:tc>
          <w:tcPr>
            <w:tcW w:w="9344" w:type="dxa"/>
            <w:vAlign w:val="center"/>
          </w:tcPr>
          <w:p>
            <w:pPr>
              <w:spacing w:line="480" w:lineRule="auto"/>
              <w:jc w:val="center"/>
              <w:rPr>
                <w:rFonts w:ascii="宋体" w:hAnsi="宋体"/>
                <w:sz w:val="24"/>
              </w:rPr>
            </w:pPr>
            <w:r>
              <w:rPr>
                <w:rFonts w:hint="eastAsia" w:ascii="宋体" w:hAnsi="宋体"/>
                <w:sz w:val="24"/>
              </w:rPr>
              <w:t>法定代表人</w:t>
            </w:r>
          </w:p>
          <w:p>
            <w:pPr>
              <w:spacing w:line="600" w:lineRule="auto"/>
              <w:jc w:val="center"/>
              <w:rPr>
                <w:rFonts w:ascii="宋体" w:hAnsi="宋体"/>
                <w:sz w:val="24"/>
                <w:u w:val="single"/>
              </w:rPr>
            </w:pPr>
            <w:r>
              <w:rPr>
                <w:rFonts w:hint="eastAsia" w:ascii="宋体" w:hAnsi="宋体"/>
                <w:sz w:val="24"/>
              </w:rPr>
              <w:t>居民身份证复印件粘贴处（正、反面）</w:t>
            </w:r>
          </w:p>
        </w:tc>
      </w:tr>
    </w:tbl>
    <w:p>
      <w:pPr>
        <w:spacing w:line="500" w:lineRule="exact"/>
        <w:rPr>
          <w:rFonts w:ascii="宋体" w:hAnsi="宋体"/>
          <w:b/>
          <w:bCs/>
        </w:rPr>
      </w:pPr>
    </w:p>
    <w:p>
      <w:pPr>
        <w:spacing w:line="500" w:lineRule="exact"/>
        <w:rPr>
          <w:rFonts w:ascii="宋体" w:hAnsi="宋体"/>
          <w:b/>
          <w:bCs/>
        </w:rPr>
      </w:pPr>
    </w:p>
    <w:p>
      <w:pPr>
        <w:spacing w:line="500" w:lineRule="exact"/>
        <w:rPr>
          <w:rFonts w:ascii="宋体" w:hAnsi="宋体"/>
          <w:b/>
          <w:bCs/>
        </w:rPr>
      </w:pPr>
      <w:r>
        <w:rPr>
          <w:rFonts w:hint="eastAsia" w:ascii="宋体" w:hAnsi="宋体"/>
          <w:b/>
          <w:bCs/>
        </w:rPr>
        <w:t xml:space="preserve">                         </w:t>
      </w:r>
    </w:p>
    <w:p>
      <w:pPr>
        <w:spacing w:line="500" w:lineRule="exact"/>
        <w:rPr>
          <w:rFonts w:ascii="宋体" w:hAnsi="宋体"/>
          <w:u w:val="single"/>
        </w:rPr>
      </w:pPr>
      <w:r>
        <w:rPr>
          <w:rFonts w:hint="eastAsia" w:ascii="宋体" w:hAnsi="宋体"/>
          <w:b/>
          <w:bCs/>
        </w:rPr>
        <w:t xml:space="preserve">                                           </w:t>
      </w:r>
      <w:r>
        <w:rPr>
          <w:rFonts w:hint="eastAsia" w:ascii="宋体" w:hAnsi="宋体"/>
        </w:rPr>
        <w:t>投标人名称：（单位盖</w:t>
      </w:r>
      <w:r>
        <w:rPr>
          <w:rFonts w:hint="eastAsia" w:ascii="宋体" w:hAnsi="宋体"/>
          <w:spacing w:val="4"/>
        </w:rPr>
        <w:t>公章</w:t>
      </w:r>
      <w:r>
        <w:rPr>
          <w:rFonts w:hint="eastAsia" w:ascii="宋体" w:hAnsi="宋体"/>
        </w:rPr>
        <w:t>）：</w:t>
      </w:r>
      <w:r>
        <w:rPr>
          <w:rFonts w:hint="eastAsia" w:ascii="宋体" w:hAnsi="宋体"/>
          <w:u w:val="single"/>
        </w:rPr>
        <w:t xml:space="preserve">           </w:t>
      </w:r>
    </w:p>
    <w:p>
      <w:pPr>
        <w:spacing w:line="500" w:lineRule="exact"/>
        <w:rPr>
          <w:rFonts w:ascii="宋体" w:hAnsi="宋体"/>
        </w:rPr>
      </w:pPr>
      <w:r>
        <w:rPr>
          <w:rFonts w:hint="eastAsia" w:ascii="宋体" w:hAnsi="宋体"/>
        </w:rPr>
        <w:t xml:space="preserve">                                           地址：</w:t>
      </w:r>
      <w:r>
        <w:rPr>
          <w:rFonts w:hint="eastAsia" w:ascii="宋体" w:hAnsi="宋体"/>
          <w:u w:val="single"/>
        </w:rPr>
        <w:t xml:space="preserve">           </w:t>
      </w:r>
    </w:p>
    <w:p>
      <w:pPr>
        <w:spacing w:line="500" w:lineRule="exact"/>
        <w:rPr>
          <w:rFonts w:ascii="宋体" w:hAnsi="宋体"/>
          <w:u w:val="single"/>
        </w:rPr>
      </w:pPr>
      <w:r>
        <w:rPr>
          <w:rFonts w:hint="eastAsia" w:ascii="宋体" w:hAnsi="宋体"/>
        </w:rPr>
        <w:t xml:space="preserve">                                           签发日期：</w:t>
      </w:r>
      <w:r>
        <w:rPr>
          <w:rFonts w:hint="eastAsia" w:ascii="宋体" w:hAnsi="宋体"/>
          <w:u w:val="single"/>
        </w:rPr>
        <w:t xml:space="preserve">           </w:t>
      </w:r>
    </w:p>
    <w:p>
      <w:pPr>
        <w:spacing w:line="440" w:lineRule="exact"/>
        <w:rPr>
          <w:rFonts w:ascii="宋体" w:hAnsi="宋体"/>
          <w:b/>
          <w:bCs/>
        </w:rPr>
      </w:pPr>
    </w:p>
    <w:p>
      <w:pPr>
        <w:spacing w:line="440" w:lineRule="exact"/>
        <w:rPr>
          <w:rFonts w:ascii="宋体" w:hAnsi="宋体"/>
        </w:rPr>
      </w:pPr>
      <w:r>
        <w:rPr>
          <w:rFonts w:ascii="宋体" w:hAnsi="宋体"/>
        </w:rPr>
        <w:br w:type="page"/>
      </w:r>
    </w:p>
    <w:p>
      <w:pPr>
        <w:numPr>
          <w:ilvl w:val="0"/>
          <w:numId w:val="21"/>
        </w:numPr>
        <w:spacing w:line="440" w:lineRule="exact"/>
        <w:rPr>
          <w:rFonts w:ascii="宋体" w:hAnsi="宋体"/>
        </w:rPr>
      </w:pPr>
    </w:p>
    <w:p>
      <w:pPr>
        <w:jc w:val="center"/>
        <w:outlineLvl w:val="2"/>
        <w:rPr>
          <w:rFonts w:ascii="宋体" w:hAnsi="宋体"/>
          <w:b/>
          <w:sz w:val="28"/>
          <w:szCs w:val="28"/>
        </w:rPr>
      </w:pPr>
      <w:r>
        <w:rPr>
          <w:rFonts w:hint="eastAsia" w:ascii="宋体" w:hAnsi="宋体"/>
          <w:b/>
          <w:sz w:val="28"/>
          <w:szCs w:val="28"/>
        </w:rPr>
        <w:t>公平竞争承诺书</w:t>
      </w:r>
    </w:p>
    <w:p>
      <w:pPr>
        <w:spacing w:line="360" w:lineRule="auto"/>
        <w:ind w:firstLine="420" w:firstLineChars="200"/>
        <w:rPr>
          <w:rFonts w:ascii="宋体" w:hAnsi="宋体"/>
        </w:rPr>
      </w:pPr>
      <w:r>
        <w:rPr>
          <w:rFonts w:hint="eastAsia" w:ascii="宋体" w:hAnsi="宋体"/>
        </w:rPr>
        <w:t>本公司郑重承诺：本公司保证所提交的相关资质文件和证明材料的真实性，有良好的历史诚信记录，并将依法参与</w:t>
      </w:r>
      <w:r>
        <w:rPr>
          <w:rFonts w:hint="eastAsia" w:ascii="宋体" w:hAnsi="宋体"/>
          <w:u w:val="single"/>
        </w:rPr>
        <w:t xml:space="preserve">  </w:t>
      </w:r>
      <w:r>
        <w:rPr>
          <w:rFonts w:hint="eastAsia" w:ascii="宋体" w:hAnsi="宋体"/>
          <w:kern w:val="28"/>
          <w:u w:val="single"/>
          <w:lang w:eastAsia="zh-CN"/>
        </w:rPr>
        <w:t>广州市番禺区慈善会保险救助保障服务项目（重招）</w:t>
      </w:r>
      <w:r>
        <w:rPr>
          <w:rFonts w:hint="eastAsia" w:ascii="宋体" w:hAnsi="宋体"/>
          <w:u w:val="single"/>
        </w:rPr>
        <w:t xml:space="preserve">    </w:t>
      </w:r>
      <w:r>
        <w:rPr>
          <w:rFonts w:hint="eastAsia" w:ascii="宋体" w:hAnsi="宋体"/>
        </w:rPr>
        <w:t xml:space="preserve">项目的公平竞争，不以任何不正当行为谋取不当利益，否则承担相应的法律责任。  </w:t>
      </w:r>
    </w:p>
    <w:p>
      <w:pPr>
        <w:spacing w:line="360" w:lineRule="auto"/>
        <w:ind w:right="541"/>
        <w:jc w:val="center"/>
        <w:rPr>
          <w:rFonts w:ascii="宋体" w:hAnsi="宋体"/>
          <w:spacing w:val="4"/>
          <w:u w:val="single"/>
        </w:rPr>
      </w:pPr>
      <w:r>
        <w:rPr>
          <w:rFonts w:hint="eastAsia" w:ascii="宋体" w:hAnsi="宋体"/>
          <w:spacing w:val="4"/>
        </w:rPr>
        <w:t xml:space="preserve">      投标人名称（加盖公章）：</w:t>
      </w:r>
      <w:r>
        <w:rPr>
          <w:rFonts w:hint="eastAsia" w:ascii="宋体" w:hAnsi="宋体"/>
          <w:spacing w:val="4"/>
          <w:u w:val="single"/>
        </w:rPr>
        <w:t xml:space="preserve">                       </w:t>
      </w:r>
    </w:p>
    <w:p>
      <w:pPr>
        <w:adjustRightInd w:val="0"/>
        <w:snapToGrid w:val="0"/>
        <w:spacing w:line="360" w:lineRule="auto"/>
        <w:jc w:val="center"/>
        <w:rPr>
          <w:rFonts w:ascii="宋体" w:hAnsi="宋体"/>
          <w:spacing w:val="4"/>
        </w:rPr>
      </w:pPr>
      <w:r>
        <w:rPr>
          <w:rFonts w:hint="eastAsia" w:ascii="宋体" w:hAnsi="宋体"/>
          <w:spacing w:val="4"/>
        </w:rPr>
        <w:t xml:space="preserve"> 日期：</w:t>
      </w:r>
      <w:r>
        <w:rPr>
          <w:rFonts w:hint="eastAsia" w:ascii="宋体" w:hAnsi="宋体"/>
          <w:spacing w:val="4"/>
          <w:u w:val="single"/>
        </w:rPr>
        <w:t xml:space="preserve">   </w:t>
      </w:r>
      <w:r>
        <w:rPr>
          <w:rFonts w:hint="eastAsia" w:ascii="宋体" w:hAnsi="宋体"/>
          <w:spacing w:val="4"/>
        </w:rPr>
        <w:t>年</w:t>
      </w:r>
      <w:r>
        <w:rPr>
          <w:rFonts w:hint="eastAsia" w:ascii="宋体" w:hAnsi="宋体"/>
          <w:spacing w:val="4"/>
          <w:u w:val="single"/>
        </w:rPr>
        <w:t xml:space="preserve">   </w:t>
      </w:r>
      <w:r>
        <w:rPr>
          <w:rFonts w:hint="eastAsia" w:ascii="宋体" w:hAnsi="宋体"/>
          <w:spacing w:val="4"/>
        </w:rPr>
        <w:t>月</w:t>
      </w:r>
      <w:r>
        <w:rPr>
          <w:rFonts w:hint="eastAsia" w:ascii="宋体" w:hAnsi="宋体"/>
          <w:spacing w:val="4"/>
          <w:u w:val="single"/>
        </w:rPr>
        <w:t xml:space="preserve">   </w:t>
      </w:r>
      <w:r>
        <w:rPr>
          <w:rFonts w:hint="eastAsia" w:ascii="宋体" w:hAnsi="宋体"/>
          <w:spacing w:val="4"/>
        </w:rPr>
        <w:t>日</w:t>
      </w:r>
    </w:p>
    <w:p>
      <w:pPr>
        <w:spacing w:line="440" w:lineRule="exact"/>
        <w:rPr>
          <w:rFonts w:ascii="宋体" w:hAnsi="宋体"/>
        </w:rPr>
      </w:pPr>
      <w:r>
        <w:rPr>
          <w:rFonts w:ascii="宋体" w:hAnsi="宋体"/>
        </w:rPr>
        <w:br w:type="page"/>
      </w:r>
    </w:p>
    <w:p>
      <w:pPr>
        <w:numPr>
          <w:ilvl w:val="0"/>
          <w:numId w:val="21"/>
        </w:numPr>
        <w:spacing w:line="440" w:lineRule="exact"/>
        <w:rPr>
          <w:rFonts w:ascii="宋体" w:hAnsi="宋体"/>
        </w:rPr>
      </w:pPr>
    </w:p>
    <w:p>
      <w:pPr>
        <w:jc w:val="center"/>
        <w:outlineLvl w:val="2"/>
        <w:rPr>
          <w:rFonts w:ascii="宋体" w:hAnsi="宋体"/>
          <w:b/>
          <w:sz w:val="28"/>
          <w:szCs w:val="28"/>
        </w:rPr>
      </w:pPr>
      <w:r>
        <w:rPr>
          <w:rFonts w:hint="eastAsia" w:ascii="宋体" w:hAnsi="宋体"/>
          <w:b/>
          <w:sz w:val="28"/>
          <w:szCs w:val="28"/>
        </w:rPr>
        <w:t>开标一览表(报价表)</w:t>
      </w:r>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GZBC21FG06002-2</w:t>
      </w:r>
      <w:r>
        <w:rPr>
          <w:rFonts w:hint="eastAsia" w:ascii="宋体" w:hAnsi="宋体"/>
        </w:rPr>
        <w:t xml:space="preserve">                                   </w:t>
      </w:r>
    </w:p>
    <w:tbl>
      <w:tblPr>
        <w:tblStyle w:val="18"/>
        <w:tblW w:w="994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195"/>
        <w:gridCol w:w="3270"/>
        <w:gridCol w:w="34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3195" w:type="dxa"/>
            <w:tcBorders>
              <w:top w:val="single" w:color="auto" w:sz="12" w:space="0"/>
              <w:bottom w:val="double" w:color="auto" w:sz="4" w:space="0"/>
            </w:tcBorders>
            <w:shd w:val="clear" w:color="auto" w:fill="EEECE1"/>
            <w:vAlign w:val="center"/>
          </w:tcPr>
          <w:p>
            <w:pPr>
              <w:adjustRightInd w:val="0"/>
              <w:snapToGrid w:val="0"/>
              <w:jc w:val="center"/>
              <w:rPr>
                <w:rFonts w:ascii="宋体" w:hAnsi="宋体"/>
                <w:b/>
                <w:szCs w:val="21"/>
              </w:rPr>
            </w:pPr>
            <w:r>
              <w:rPr>
                <w:rFonts w:hint="eastAsia" w:ascii="宋体" w:hAnsi="宋体"/>
                <w:b/>
                <w:szCs w:val="21"/>
              </w:rPr>
              <w:t>采购内容</w:t>
            </w:r>
          </w:p>
        </w:tc>
        <w:tc>
          <w:tcPr>
            <w:tcW w:w="3270" w:type="dxa"/>
            <w:tcBorders>
              <w:top w:val="single" w:color="auto" w:sz="12" w:space="0"/>
              <w:bottom w:val="double" w:color="auto" w:sz="4" w:space="0"/>
            </w:tcBorders>
            <w:shd w:val="clear" w:color="auto" w:fill="EEECE1"/>
            <w:vAlign w:val="center"/>
          </w:tcPr>
          <w:p>
            <w:pPr>
              <w:adjustRightInd w:val="0"/>
              <w:snapToGrid w:val="0"/>
              <w:jc w:val="center"/>
              <w:rPr>
                <w:rFonts w:ascii="宋体" w:hAnsi="宋体"/>
                <w:b/>
                <w:szCs w:val="21"/>
              </w:rPr>
            </w:pPr>
            <w:r>
              <w:rPr>
                <w:rFonts w:hint="eastAsia" w:ascii="宋体" w:hAnsi="宋体"/>
                <w:b/>
                <w:szCs w:val="21"/>
              </w:rPr>
              <w:t>服务期</w:t>
            </w:r>
          </w:p>
        </w:tc>
        <w:tc>
          <w:tcPr>
            <w:tcW w:w="3481" w:type="dxa"/>
            <w:tcBorders>
              <w:top w:val="single" w:color="auto" w:sz="12" w:space="0"/>
              <w:bottom w:val="double" w:color="auto" w:sz="4" w:space="0"/>
            </w:tcBorders>
            <w:shd w:val="clear" w:color="auto" w:fill="EEECE1"/>
            <w:vAlign w:val="center"/>
          </w:tcPr>
          <w:p>
            <w:pPr>
              <w:adjustRightInd w:val="0"/>
              <w:snapToGrid w:val="0"/>
              <w:jc w:val="center"/>
              <w:rPr>
                <w:rFonts w:ascii="宋体" w:hAnsi="宋体"/>
                <w:b/>
                <w:szCs w:val="21"/>
              </w:rPr>
            </w:pPr>
            <w:r>
              <w:rPr>
                <w:rFonts w:hint="eastAsia" w:ascii="宋体" w:hAnsi="宋体"/>
                <w:b/>
                <w:szCs w:val="21"/>
              </w:rPr>
              <w:t>投标总报价（元）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5" w:hRule="atLeast"/>
          <w:jc w:val="center"/>
        </w:trPr>
        <w:tc>
          <w:tcPr>
            <w:tcW w:w="3195" w:type="dxa"/>
            <w:tcBorders>
              <w:top w:val="single" w:color="auto" w:sz="4" w:space="0"/>
            </w:tcBorders>
            <w:vAlign w:val="center"/>
          </w:tcPr>
          <w:p>
            <w:pPr>
              <w:adjustRightInd w:val="0"/>
              <w:snapToGrid w:val="0"/>
              <w:jc w:val="center"/>
              <w:rPr>
                <w:rFonts w:hint="eastAsia" w:ascii="宋体" w:hAnsi="宋体" w:eastAsia="宋体"/>
                <w:bCs/>
                <w:szCs w:val="21"/>
                <w:u w:val="single"/>
                <w:lang w:eastAsia="zh-CN"/>
              </w:rPr>
            </w:pPr>
            <w:r>
              <w:rPr>
                <w:rFonts w:hint="eastAsia" w:asciiTheme="minorEastAsia" w:hAnsiTheme="minorEastAsia" w:eastAsiaTheme="minorEastAsia" w:cstheme="minorEastAsia"/>
                <w:bCs/>
                <w:kern w:val="0"/>
                <w:szCs w:val="21"/>
                <w:lang w:eastAsia="zh-CN"/>
              </w:rPr>
              <w:t>广州市番禺区慈善会保险救助保障服务项目（重招）</w:t>
            </w:r>
          </w:p>
        </w:tc>
        <w:tc>
          <w:tcPr>
            <w:tcW w:w="3270" w:type="dxa"/>
            <w:tcBorders>
              <w:top w:val="single" w:color="auto" w:sz="4" w:space="0"/>
            </w:tcBorders>
            <w:vAlign w:val="center"/>
          </w:tcPr>
          <w:p>
            <w:pPr>
              <w:jc w:val="center"/>
              <w:rPr>
                <w:rFonts w:ascii="宋体" w:hAnsi="宋体"/>
                <w:bCs/>
                <w:szCs w:val="21"/>
              </w:rPr>
            </w:pPr>
            <w:r>
              <w:rPr>
                <w:rFonts w:hint="eastAsia" w:asciiTheme="minorEastAsia" w:hAnsiTheme="minorEastAsia" w:eastAsiaTheme="minorEastAsia" w:cstheme="minorEastAsia"/>
                <w:bCs/>
                <w:kern w:val="0"/>
                <w:szCs w:val="21"/>
                <w:lang w:val="en-US" w:eastAsia="zh-CN"/>
              </w:rPr>
              <w:t>2021年8月至2022年7月</w:t>
            </w:r>
          </w:p>
        </w:tc>
        <w:tc>
          <w:tcPr>
            <w:tcW w:w="3481" w:type="dxa"/>
            <w:tcBorders>
              <w:top w:val="single" w:color="auto" w:sz="4" w:space="0"/>
            </w:tcBorders>
            <w:vAlign w:val="center"/>
          </w:tcPr>
          <w:p>
            <w:pPr>
              <w:spacing w:line="360" w:lineRule="auto"/>
              <w:ind w:left="-2" w:leftChars="-1" w:firstLine="2" w:firstLineChars="1"/>
              <w:rPr>
                <w:rFonts w:hint="default" w:ascii="宋体" w:hAnsi="宋体" w:eastAsia="宋体"/>
                <w:szCs w:val="21"/>
                <w:lang w:val="en-US" w:eastAsia="zh-CN"/>
              </w:rPr>
            </w:pPr>
            <w:r>
              <w:rPr>
                <w:rFonts w:hint="eastAsia" w:ascii="宋体" w:hAnsi="宋体"/>
                <w:szCs w:val="21"/>
              </w:rPr>
              <w:t>小写：</w:t>
            </w:r>
            <w:r>
              <w:rPr>
                <w:rFonts w:hint="eastAsia" w:ascii="宋体" w:hAnsi="宋体"/>
                <w:szCs w:val="21"/>
                <w:u w:val="single"/>
              </w:rPr>
              <w:t>RMB</w:t>
            </w:r>
            <w:r>
              <w:rPr>
                <w:rFonts w:hint="eastAsia" w:ascii="宋体" w:hAnsi="宋体"/>
                <w:szCs w:val="21"/>
                <w:u w:val="single"/>
                <w:lang w:val="en-US" w:eastAsia="zh-CN"/>
              </w:rPr>
              <w:t>3000000.00</w:t>
            </w:r>
          </w:p>
          <w:p>
            <w:pPr>
              <w:rPr>
                <w:rFonts w:hint="eastAsia" w:ascii="宋体" w:hAnsi="宋体" w:eastAsia="宋体"/>
                <w:bCs/>
                <w:szCs w:val="21"/>
                <w:u w:val="single"/>
                <w:lang w:eastAsia="zh-CN"/>
              </w:rPr>
            </w:pPr>
            <w:r>
              <w:rPr>
                <w:rFonts w:hint="eastAsia" w:ascii="宋体" w:hAnsi="宋体"/>
                <w:szCs w:val="21"/>
              </w:rPr>
              <w:t>大写：</w:t>
            </w:r>
            <w:r>
              <w:rPr>
                <w:rFonts w:hint="eastAsia" w:ascii="宋体" w:hAnsi="宋体"/>
                <w:szCs w:val="21"/>
                <w:u w:val="single"/>
                <w:lang w:val="en-US" w:eastAsia="zh-CN"/>
              </w:rPr>
              <w:t>叁佰万元整</w:t>
            </w:r>
          </w:p>
        </w:tc>
      </w:tr>
    </w:tbl>
    <w:p>
      <w:pPr>
        <w:spacing w:line="500" w:lineRule="exact"/>
        <w:ind w:firstLine="436" w:firstLineChars="200"/>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r>
        <w:rPr>
          <w:rFonts w:hint="eastAsia" w:ascii="宋体" w:hAnsi="宋体"/>
          <w:spacing w:val="4"/>
          <w:u w:val="single"/>
        </w:rPr>
        <w:t xml:space="preserve">    </w:t>
      </w:r>
      <w:r>
        <w:rPr>
          <w:rFonts w:ascii="宋体" w:hAnsi="宋体"/>
          <w:spacing w:val="4"/>
          <w:u w:val="single"/>
        </w:rPr>
        <w:t xml:space="preserve">     </w:t>
      </w:r>
    </w:p>
    <w:p>
      <w:pPr>
        <w:spacing w:line="400" w:lineRule="exact"/>
        <w:rPr>
          <w:rFonts w:ascii="宋体" w:hAnsi="宋体"/>
          <w:b/>
          <w:bCs/>
          <w:szCs w:val="21"/>
        </w:rPr>
      </w:pPr>
      <w:r>
        <w:rPr>
          <w:rFonts w:hint="eastAsia" w:ascii="宋体" w:hAnsi="宋体"/>
          <w:b/>
          <w:bCs/>
          <w:szCs w:val="21"/>
        </w:rPr>
        <w:t>备注：</w:t>
      </w:r>
    </w:p>
    <w:p>
      <w:pPr>
        <w:adjustRightInd w:val="0"/>
        <w:spacing w:line="360" w:lineRule="auto"/>
        <w:ind w:left="315" w:hanging="315" w:hangingChars="150"/>
        <w:rPr>
          <w:rFonts w:ascii="宋体" w:hAnsi="宋体"/>
          <w:szCs w:val="21"/>
        </w:rPr>
      </w:pPr>
      <w:r>
        <w:rPr>
          <w:rFonts w:hint="eastAsia" w:ascii="宋体" w:hAnsi="宋体"/>
          <w:szCs w:val="21"/>
        </w:rPr>
        <w:t>1. 报价要求投标货币为人民币报价，报价应包括：人工费、管理费用、相关用具的使用费用、各项税费及合同实施过程中不可预见费等完成本招标内容所需的一切费用。</w:t>
      </w:r>
    </w:p>
    <w:p>
      <w:pPr>
        <w:spacing w:line="440" w:lineRule="exact"/>
        <w:rPr>
          <w:rFonts w:ascii="宋体" w:hAnsi="宋体"/>
          <w:szCs w:val="21"/>
        </w:rPr>
      </w:pPr>
      <w:r>
        <w:rPr>
          <w:rFonts w:hint="eastAsia" w:ascii="宋体" w:hAnsi="宋体"/>
          <w:szCs w:val="21"/>
        </w:rPr>
        <w:t>2. 此表除装订于投标文件中外，还应将此表复印一份置于开标信封中。</w:t>
      </w:r>
    </w:p>
    <w:p>
      <w:pPr>
        <w:spacing w:line="440" w:lineRule="exact"/>
      </w:pPr>
      <w:r>
        <w:rPr>
          <w:rFonts w:hint="eastAsia" w:ascii="宋体" w:hAnsi="宋体"/>
          <w:szCs w:val="21"/>
        </w:rPr>
        <w:br w:type="page"/>
      </w:r>
    </w:p>
    <w:p>
      <w:pPr>
        <w:numPr>
          <w:ilvl w:val="0"/>
          <w:numId w:val="21"/>
        </w:numPr>
        <w:spacing w:line="440" w:lineRule="exact"/>
        <w:rPr>
          <w:rFonts w:ascii="宋体" w:hAnsi="宋体"/>
          <w:spacing w:val="4"/>
        </w:rPr>
      </w:pPr>
    </w:p>
    <w:p>
      <w:pPr>
        <w:adjustRightInd w:val="0"/>
        <w:snapToGrid w:val="0"/>
        <w:spacing w:afterLines="50"/>
        <w:jc w:val="center"/>
        <w:outlineLvl w:val="2"/>
        <w:rPr>
          <w:rFonts w:ascii="宋体" w:hAnsi="宋体"/>
          <w:b/>
          <w:sz w:val="28"/>
          <w:szCs w:val="28"/>
        </w:rPr>
      </w:pPr>
      <w:r>
        <w:rPr>
          <w:rFonts w:hint="eastAsia" w:ascii="宋体" w:hAnsi="宋体"/>
          <w:b/>
          <w:sz w:val="28"/>
          <w:szCs w:val="28"/>
        </w:rPr>
        <w:t>中小企业声明函（可选）</w:t>
      </w:r>
    </w:p>
    <w:p>
      <w:pPr>
        <w:adjustRightInd w:val="0"/>
        <w:snapToGrid w:val="0"/>
        <w:spacing w:line="360" w:lineRule="auto"/>
        <w:ind w:firstLine="420" w:firstLineChars="200"/>
        <w:rPr>
          <w:rFonts w:ascii="宋体" w:hAnsi="宋体"/>
        </w:rPr>
      </w:pPr>
      <w:r>
        <w:rPr>
          <w:rFonts w:hint="eastAsia" w:ascii="宋体" w:hAnsi="宋体"/>
        </w:rPr>
        <w:t>本公司郑重声明，根据《政府采购促进中小企业发展暂行办法》（财库[2011]181号）的规定，本公司为</w:t>
      </w:r>
      <w:r>
        <w:rPr>
          <w:rFonts w:hint="eastAsia" w:ascii="宋体" w:hAnsi="宋体"/>
          <w:u w:val="single"/>
        </w:rPr>
        <w:t xml:space="preserve">         </w:t>
      </w:r>
      <w:r>
        <w:rPr>
          <w:rFonts w:hint="eastAsia" w:ascii="宋体" w:hAnsi="宋体"/>
        </w:rPr>
        <w:t>（请填写：中型、小型、微型）企业。即，本公司同时满足以下条件：</w:t>
      </w:r>
    </w:p>
    <w:p>
      <w:pPr>
        <w:numPr>
          <w:ilvl w:val="0"/>
          <w:numId w:val="23"/>
        </w:numPr>
        <w:adjustRightInd w:val="0"/>
        <w:snapToGrid w:val="0"/>
        <w:spacing w:line="360" w:lineRule="auto"/>
        <w:rPr>
          <w:rFonts w:ascii="宋体" w:hAnsi="宋体"/>
        </w:rPr>
      </w:pPr>
      <w:r>
        <w:rPr>
          <w:rFonts w:hint="eastAsia" w:ascii="宋体" w:hAnsi="宋体"/>
        </w:rPr>
        <w:t>根据《工业和信息化部、国家统计局、国家发展和改革委员会、财政部关于印发中小企业划型标准规定的通知》（工信部联企业[2011]300号）规定的划分标准，本公司为</w:t>
      </w:r>
      <w:r>
        <w:rPr>
          <w:rFonts w:hint="eastAsia" w:ascii="宋体" w:hAnsi="宋体"/>
          <w:u w:val="single"/>
        </w:rPr>
        <w:t xml:space="preserve">             </w:t>
      </w:r>
      <w:r>
        <w:rPr>
          <w:rFonts w:hint="eastAsia" w:ascii="宋体" w:hAnsi="宋体"/>
        </w:rPr>
        <w:t>（请填写：中型、小型、微型）企业。</w:t>
      </w:r>
    </w:p>
    <w:p>
      <w:pPr>
        <w:numPr>
          <w:ilvl w:val="0"/>
          <w:numId w:val="23"/>
        </w:numPr>
        <w:adjustRightInd w:val="0"/>
        <w:snapToGrid w:val="0"/>
        <w:spacing w:line="360" w:lineRule="auto"/>
        <w:rPr>
          <w:rFonts w:ascii="宋体" w:hAnsi="宋体"/>
        </w:rPr>
      </w:pPr>
      <w:r>
        <w:rPr>
          <w:rFonts w:hint="eastAsia" w:ascii="宋体" w:hAnsi="宋体"/>
        </w:rPr>
        <w:t>本公司参加</w:t>
      </w:r>
      <w:r>
        <w:rPr>
          <w:rFonts w:hint="eastAsia" w:ascii="宋体" w:hAnsi="宋体"/>
          <w:u w:val="single"/>
        </w:rPr>
        <w:t xml:space="preserve">     (采购人单位名称)    </w:t>
      </w:r>
      <w:r>
        <w:rPr>
          <w:rFonts w:hint="eastAsia" w:ascii="宋体" w:hAnsi="宋体"/>
        </w:rPr>
        <w:t>的</w:t>
      </w:r>
      <w:r>
        <w:rPr>
          <w:rFonts w:hint="eastAsia" w:ascii="宋体" w:hAnsi="宋体"/>
          <w:u w:val="single"/>
        </w:rPr>
        <w:t xml:space="preserve">   (项目名称) </w:t>
      </w:r>
      <w:r>
        <w:rPr>
          <w:rFonts w:hint="eastAsia" w:ascii="宋体" w:hAnsi="宋体"/>
        </w:rPr>
        <w:t>采购活动提供本企业制造的货物，由本企业承担工程、提供服务，或者提供其他</w:t>
      </w:r>
      <w:r>
        <w:rPr>
          <w:rFonts w:hint="eastAsia" w:ascii="宋体" w:hAnsi="宋体"/>
          <w:u w:val="single"/>
        </w:rPr>
        <w:t xml:space="preserve">           </w:t>
      </w:r>
      <w:r>
        <w:rPr>
          <w:rFonts w:hint="eastAsia" w:ascii="宋体" w:hAnsi="宋体"/>
        </w:rPr>
        <w:t>（请填写：中型、小型、微型）企业制造的货物。本条所称货物不包括使用大型企业注册商标的货物。</w:t>
      </w:r>
    </w:p>
    <w:p>
      <w:pPr>
        <w:adjustRightInd w:val="0"/>
        <w:snapToGrid w:val="0"/>
        <w:spacing w:line="360" w:lineRule="auto"/>
        <w:ind w:left="420"/>
        <w:rPr>
          <w:rFonts w:ascii="宋体" w:hAnsi="宋体"/>
          <w:b/>
        </w:rPr>
      </w:pPr>
      <w:r>
        <w:rPr>
          <w:rFonts w:hint="eastAsia" w:ascii="宋体" w:hAnsi="宋体"/>
          <w:b/>
        </w:rPr>
        <w:t>本公司对上述声明的真实性负责。如有虚假，将依法承担相应责任。</w:t>
      </w:r>
    </w:p>
    <w:p>
      <w:pPr>
        <w:spacing w:line="360" w:lineRule="auto"/>
        <w:ind w:firstLine="420" w:firstLineChars="200"/>
        <w:jc w:val="center"/>
        <w:rPr>
          <w:rFonts w:ascii="宋体" w:hAnsi="宋体"/>
        </w:rPr>
      </w:pPr>
      <w:r>
        <w:rPr>
          <w:rFonts w:hint="eastAsia" w:ascii="宋体" w:hAnsi="宋体"/>
        </w:rPr>
        <w:t xml:space="preserve">                            投标人名称（加盖</w:t>
      </w:r>
      <w:r>
        <w:rPr>
          <w:rFonts w:hint="eastAsia" w:ascii="宋体" w:hAnsi="宋体"/>
          <w:spacing w:val="4"/>
        </w:rPr>
        <w:t>公章</w:t>
      </w:r>
      <w:r>
        <w:rPr>
          <w:rFonts w:hint="eastAsia" w:ascii="宋体" w:hAnsi="宋体"/>
        </w:rPr>
        <w:t>）：</w:t>
      </w:r>
    </w:p>
    <w:p>
      <w:pPr>
        <w:spacing w:line="360" w:lineRule="auto"/>
        <w:ind w:firstLine="420" w:firstLineChars="200"/>
        <w:jc w:val="center"/>
        <w:rPr>
          <w:rFonts w:ascii="宋体" w:hAnsi="宋体"/>
        </w:rPr>
      </w:pPr>
      <w:r>
        <w:rPr>
          <w:rFonts w:hint="eastAsia" w:ascii="宋体" w:hAnsi="宋体"/>
        </w:rPr>
        <w:t xml:space="preserve">                         日 期：  年   月  日</w:t>
      </w:r>
    </w:p>
    <w:p>
      <w:pPr>
        <w:adjustRightInd w:val="0"/>
        <w:snapToGrid w:val="0"/>
        <w:spacing w:line="360" w:lineRule="auto"/>
        <w:ind w:left="315" w:leftChars="150"/>
        <w:rPr>
          <w:rFonts w:ascii="宋体" w:hAnsi="宋体"/>
          <w:szCs w:val="21"/>
          <w:lang w:val="en-GB"/>
        </w:rPr>
      </w:pPr>
      <w:bookmarkStart w:id="23" w:name="_Toc435514876"/>
      <w:bookmarkStart w:id="24" w:name="_Toc435515316"/>
      <w:r>
        <w:rPr>
          <w:rFonts w:hint="eastAsia" w:ascii="宋体" w:hAnsi="宋体"/>
          <w:szCs w:val="21"/>
          <w:lang w:val="en-GB"/>
        </w:rPr>
        <w:t>备注：</w:t>
      </w:r>
    </w:p>
    <w:p>
      <w:pPr>
        <w:numPr>
          <w:ilvl w:val="0"/>
          <w:numId w:val="24"/>
        </w:numPr>
        <w:adjustRightInd w:val="0"/>
        <w:snapToGrid w:val="0"/>
        <w:spacing w:line="360" w:lineRule="auto"/>
        <w:rPr>
          <w:rFonts w:ascii="宋体" w:hAnsi="宋体"/>
          <w:szCs w:val="21"/>
          <w:lang w:val="en-GB"/>
        </w:rPr>
      </w:pPr>
      <w:r>
        <w:rPr>
          <w:rFonts w:hint="eastAsia" w:ascii="宋体" w:hAnsi="宋体"/>
          <w:szCs w:val="21"/>
          <w:lang w:val="en-GB"/>
        </w:rPr>
        <w:t>本声明函对中小企业参与政府采购活动时适用。</w:t>
      </w:r>
    </w:p>
    <w:p>
      <w:pPr>
        <w:numPr>
          <w:ilvl w:val="0"/>
          <w:numId w:val="24"/>
        </w:numPr>
        <w:adjustRightInd w:val="0"/>
        <w:snapToGrid w:val="0"/>
        <w:spacing w:line="360" w:lineRule="auto"/>
        <w:rPr>
          <w:rFonts w:ascii="宋体" w:hAnsi="宋体"/>
          <w:szCs w:val="21"/>
          <w:lang w:val="en-GB"/>
        </w:rPr>
      </w:pPr>
      <w:r>
        <w:rPr>
          <w:rFonts w:hint="eastAsia" w:ascii="宋体" w:hAnsi="宋体"/>
          <w:szCs w:val="21"/>
          <w:lang w:val="en-GB"/>
        </w:rPr>
        <w:t>如果投标人不是中小企业的，可不提供该中小企业声明函。</w:t>
      </w:r>
      <w:bookmarkEnd w:id="23"/>
      <w:bookmarkEnd w:id="24"/>
    </w:p>
    <w:p>
      <w:pPr>
        <w:numPr>
          <w:ilvl w:val="0"/>
          <w:numId w:val="24"/>
        </w:numPr>
        <w:adjustRightInd w:val="0"/>
        <w:snapToGrid w:val="0"/>
        <w:spacing w:line="360" w:lineRule="auto"/>
        <w:rPr>
          <w:rFonts w:ascii="宋体" w:hAnsi="宋体"/>
          <w:szCs w:val="21"/>
          <w:lang w:val="en-GB"/>
        </w:rPr>
      </w:pPr>
      <w:r>
        <w:rPr>
          <w:rFonts w:hint="eastAsia" w:ascii="宋体" w:hAnsi="宋体"/>
          <w:szCs w:val="21"/>
          <w:lang w:val="en-GB"/>
        </w:rPr>
        <w:br w:type="page"/>
      </w:r>
    </w:p>
    <w:p>
      <w:pPr>
        <w:pStyle w:val="25"/>
        <w:ind w:firstLine="0" w:firstLineChars="0"/>
        <w:jc w:val="center"/>
        <w:rPr>
          <w:rFonts w:cs="Times New Roman"/>
          <w:b/>
          <w:color w:val="auto"/>
          <w:kern w:val="2"/>
          <w:szCs w:val="28"/>
          <w:lang w:val="en-GB"/>
        </w:rPr>
      </w:pPr>
      <w:r>
        <w:rPr>
          <w:rFonts w:hint="eastAsia" w:cs="Times New Roman"/>
          <w:b/>
          <w:color w:val="auto"/>
          <w:kern w:val="2"/>
          <w:szCs w:val="28"/>
          <w:lang w:val="en-GB"/>
        </w:rPr>
        <w:t>监狱企业的证明文件（如适用）</w:t>
      </w:r>
    </w:p>
    <w:p>
      <w:pPr>
        <w:pStyle w:val="25"/>
        <w:ind w:firstLine="420"/>
        <w:rPr>
          <w:rFonts w:cs="Times New Roman"/>
          <w:color w:val="auto"/>
          <w:kern w:val="2"/>
          <w:sz w:val="21"/>
          <w:lang w:val="en-GB"/>
        </w:rPr>
      </w:pPr>
      <w:r>
        <w:rPr>
          <w:rFonts w:hint="eastAsia" w:cs="Times New Roman"/>
          <w:color w:val="auto"/>
          <w:kern w:val="2"/>
          <w:sz w:val="21"/>
          <w:lang w:val="en-GB"/>
        </w:rPr>
        <w:t>说明：监狱企业参加政府采购活动时，应当提供由省级以上监狱管理局、戒毒管理局（含新疆生产建设兵团）出具的属于监狱企业的证明文件。</w:t>
      </w:r>
    </w:p>
    <w:p>
      <w:pPr>
        <w:pStyle w:val="25"/>
        <w:ind w:firstLine="560"/>
        <w:rPr>
          <w:lang w:val="en-GB"/>
        </w:rPr>
      </w:pPr>
    </w:p>
    <w:p>
      <w:pPr>
        <w:pStyle w:val="25"/>
        <w:ind w:firstLine="560"/>
        <w:rPr>
          <w:lang w:val="en-GB"/>
        </w:rPr>
      </w:pPr>
    </w:p>
    <w:p>
      <w:pPr>
        <w:pStyle w:val="25"/>
        <w:ind w:firstLine="560"/>
        <w:rPr>
          <w:lang w:val="en-GB"/>
        </w:rPr>
      </w:pPr>
    </w:p>
    <w:p>
      <w:pPr>
        <w:pStyle w:val="25"/>
        <w:ind w:firstLine="560"/>
        <w:rPr>
          <w:lang w:val="en-GB"/>
        </w:rPr>
      </w:pPr>
    </w:p>
    <w:p>
      <w:pPr>
        <w:pStyle w:val="25"/>
        <w:ind w:firstLine="560"/>
        <w:rPr>
          <w:lang w:val="en-GB"/>
        </w:rPr>
      </w:pPr>
    </w:p>
    <w:p>
      <w:pPr>
        <w:pStyle w:val="25"/>
        <w:ind w:firstLine="560"/>
        <w:rPr>
          <w:lang w:val="en-GB"/>
        </w:rPr>
      </w:pPr>
    </w:p>
    <w:p>
      <w:pPr>
        <w:pStyle w:val="25"/>
        <w:ind w:firstLine="0" w:firstLineChars="0"/>
        <w:jc w:val="center"/>
        <w:rPr>
          <w:rFonts w:cs="Times New Roman"/>
          <w:b/>
          <w:color w:val="auto"/>
          <w:kern w:val="2"/>
          <w:szCs w:val="28"/>
          <w:lang w:val="en-GB"/>
        </w:rPr>
      </w:pPr>
      <w:r>
        <w:rPr>
          <w:rFonts w:hint="eastAsia" w:cs="Times New Roman"/>
          <w:b/>
          <w:color w:val="auto"/>
          <w:kern w:val="2"/>
          <w:szCs w:val="28"/>
          <w:lang w:val="en-GB"/>
        </w:rPr>
        <w:t>残疾人福利性单位的声明函及证明文件（如适用）</w:t>
      </w:r>
    </w:p>
    <w:p>
      <w:pPr>
        <w:pStyle w:val="25"/>
        <w:ind w:firstLine="420"/>
        <w:rPr>
          <w:rFonts w:cs="Times New Roman"/>
          <w:color w:val="auto"/>
          <w:kern w:val="2"/>
          <w:sz w:val="21"/>
          <w:lang w:val="en-GB"/>
        </w:rPr>
      </w:pPr>
      <w:r>
        <w:rPr>
          <w:rFonts w:hint="eastAsia" w:cs="Times New Roman"/>
          <w:color w:val="auto"/>
          <w:kern w:val="2"/>
          <w:sz w:val="21"/>
          <w:lang w:val="en-GB"/>
        </w:rPr>
        <w:t>本公司郑重声明，根据《财政部 民政部 中国残疾人联合会关于促进残疾人就业政府采购政策的通</w:t>
      </w:r>
    </w:p>
    <w:p>
      <w:pPr>
        <w:pStyle w:val="25"/>
        <w:ind w:firstLine="420"/>
        <w:rPr>
          <w:rFonts w:cs="Times New Roman"/>
          <w:color w:val="auto"/>
          <w:kern w:val="2"/>
          <w:sz w:val="21"/>
          <w:lang w:val="en-GB"/>
        </w:rPr>
      </w:pPr>
      <w:r>
        <w:rPr>
          <w:rFonts w:hint="eastAsia" w:cs="Times New Roman"/>
          <w:color w:val="auto"/>
          <w:kern w:val="2"/>
          <w:sz w:val="21"/>
          <w:lang w:val="en-GB"/>
        </w:rPr>
        <w:t>知》（财库〔2017〕 141 号）的规定，本公司为符合条件的残疾人福利性单位，且本公司参加 单位的______项目采购活动提供本公司制造的货物（由本公司承担工程/提供服务），或者提供其他残疾人</w:t>
      </w:r>
    </w:p>
    <w:p>
      <w:pPr>
        <w:pStyle w:val="25"/>
        <w:ind w:firstLine="420"/>
        <w:rPr>
          <w:rFonts w:cs="Times New Roman"/>
          <w:color w:val="auto"/>
          <w:kern w:val="2"/>
          <w:sz w:val="21"/>
          <w:lang w:val="en-GB"/>
        </w:rPr>
      </w:pPr>
      <w:r>
        <w:rPr>
          <w:rFonts w:hint="eastAsia" w:cs="Times New Roman"/>
          <w:color w:val="auto"/>
          <w:kern w:val="2"/>
          <w:sz w:val="21"/>
          <w:lang w:val="en-GB"/>
        </w:rPr>
        <w:t>福利性单位制造的货物（不包括使用非残疾人福利性单位注册商标的货物）。</w:t>
      </w:r>
    </w:p>
    <w:p>
      <w:pPr>
        <w:pStyle w:val="25"/>
        <w:ind w:firstLine="420"/>
        <w:rPr>
          <w:rFonts w:cs="Times New Roman"/>
          <w:color w:val="auto"/>
          <w:kern w:val="2"/>
          <w:sz w:val="21"/>
          <w:lang w:val="en-GB"/>
        </w:rPr>
      </w:pPr>
      <w:r>
        <w:rPr>
          <w:rFonts w:hint="eastAsia" w:cs="Times New Roman"/>
          <w:color w:val="auto"/>
          <w:kern w:val="2"/>
          <w:sz w:val="21"/>
          <w:lang w:val="en-GB"/>
        </w:rPr>
        <w:t>本公司对上述声明的真实性负责。如有虚假，将依法承担相应责任。</w:t>
      </w:r>
    </w:p>
    <w:p>
      <w:pPr>
        <w:pStyle w:val="25"/>
        <w:ind w:firstLine="420"/>
        <w:rPr>
          <w:rFonts w:cs="Times New Roman"/>
          <w:color w:val="auto"/>
          <w:kern w:val="2"/>
          <w:sz w:val="21"/>
          <w:lang w:val="en-GB"/>
        </w:rPr>
      </w:pPr>
    </w:p>
    <w:p>
      <w:pPr>
        <w:pStyle w:val="25"/>
        <w:ind w:firstLine="420"/>
        <w:rPr>
          <w:rFonts w:cs="Times New Roman"/>
          <w:color w:val="auto"/>
          <w:kern w:val="2"/>
          <w:sz w:val="21"/>
          <w:lang w:val="en-GB"/>
        </w:rPr>
      </w:pPr>
      <w:r>
        <w:rPr>
          <w:rFonts w:hint="eastAsia" w:cs="Times New Roman"/>
          <w:color w:val="auto"/>
          <w:kern w:val="2"/>
          <w:sz w:val="21"/>
          <w:lang w:val="en-GB"/>
        </w:rPr>
        <w:t>企业名称（盖章）：</w:t>
      </w:r>
    </w:p>
    <w:p>
      <w:pPr>
        <w:pStyle w:val="25"/>
        <w:ind w:firstLine="420"/>
        <w:rPr>
          <w:lang w:val="en-GB"/>
        </w:rPr>
      </w:pPr>
      <w:r>
        <w:rPr>
          <w:rFonts w:hint="eastAsia" w:cs="Times New Roman"/>
          <w:color w:val="auto"/>
          <w:kern w:val="2"/>
          <w:sz w:val="21"/>
          <w:lang w:val="en-GB"/>
        </w:rPr>
        <w:t>日 期：</w:t>
      </w:r>
    </w:p>
    <w:p>
      <w:pPr>
        <w:spacing w:line="440" w:lineRule="exact"/>
        <w:rPr>
          <w:rFonts w:ascii="宋体" w:hAnsi="宋体"/>
        </w:rPr>
      </w:pPr>
      <w:r>
        <w:rPr>
          <w:rFonts w:ascii="宋体" w:hAnsi="宋体"/>
        </w:rPr>
        <w:br w:type="page"/>
      </w:r>
    </w:p>
    <w:p>
      <w:pPr>
        <w:numPr>
          <w:ilvl w:val="0"/>
          <w:numId w:val="21"/>
        </w:numPr>
        <w:spacing w:line="440" w:lineRule="exact"/>
        <w:rPr>
          <w:rFonts w:ascii="宋体" w:hAnsi="宋体"/>
          <w:b/>
          <w:sz w:val="28"/>
          <w:szCs w:val="28"/>
        </w:rPr>
      </w:pPr>
      <w:r>
        <w:rPr>
          <w:rFonts w:hint="eastAsia" w:ascii="宋体" w:hAnsi="宋体"/>
          <w:b/>
          <w:sz w:val="28"/>
          <w:szCs w:val="28"/>
        </w:rPr>
        <w:t xml:space="preserve">       </w:t>
      </w:r>
    </w:p>
    <w:p>
      <w:pPr>
        <w:adjustRightInd w:val="0"/>
        <w:snapToGrid w:val="0"/>
        <w:spacing w:afterLines="50"/>
        <w:jc w:val="center"/>
        <w:outlineLvl w:val="2"/>
        <w:rPr>
          <w:rFonts w:ascii="宋体" w:hAnsi="宋体"/>
          <w:b/>
          <w:sz w:val="28"/>
          <w:szCs w:val="28"/>
        </w:rPr>
      </w:pPr>
      <w:r>
        <w:rPr>
          <w:rFonts w:hint="eastAsia" w:ascii="宋体" w:hAnsi="宋体"/>
          <w:b/>
          <w:sz w:val="28"/>
          <w:szCs w:val="28"/>
        </w:rPr>
        <w:t>用户需求响应一览表</w:t>
      </w:r>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GZBC21FG06002-2</w:t>
      </w:r>
      <w:r>
        <w:rPr>
          <w:rFonts w:hint="eastAsia" w:ascii="宋体" w:hAnsi="宋体"/>
        </w:rPr>
        <w:t xml:space="preserve">                                  </w:t>
      </w:r>
    </w:p>
    <w:tbl>
      <w:tblPr>
        <w:tblStyle w:val="18"/>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2903"/>
        <w:gridCol w:w="2745"/>
        <w:gridCol w:w="2044"/>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hAnsi="宋体"/>
                <w:b/>
                <w:szCs w:val="21"/>
              </w:rPr>
            </w:pPr>
          </w:p>
          <w:p>
            <w:pPr>
              <w:ind w:left="-63" w:leftChars="-30" w:right="-61" w:rightChars="-29"/>
              <w:jc w:val="center"/>
              <w:rPr>
                <w:rFonts w:ascii="宋体" w:hAnsi="宋体"/>
                <w:b/>
                <w:szCs w:val="21"/>
              </w:rPr>
            </w:pPr>
            <w:r>
              <w:rPr>
                <w:rFonts w:hint="eastAsia" w:ascii="宋体" w:hAnsi="宋体"/>
                <w:b/>
                <w:szCs w:val="21"/>
              </w:rPr>
              <w:t>序号</w:t>
            </w:r>
          </w:p>
        </w:tc>
        <w:tc>
          <w:tcPr>
            <w:tcW w:w="2903" w:type="dxa"/>
            <w:tcBorders>
              <w:top w:val="single" w:color="auto" w:sz="12" w:space="0"/>
              <w:bottom w:val="double" w:color="auto" w:sz="4" w:space="0"/>
            </w:tcBorders>
            <w:shd w:val="clear" w:color="auto" w:fill="EEECE1"/>
            <w:vAlign w:val="center"/>
          </w:tcPr>
          <w:p>
            <w:pPr>
              <w:jc w:val="center"/>
              <w:rPr>
                <w:rFonts w:ascii="宋体" w:hAnsi="宋体"/>
                <w:b/>
              </w:rPr>
            </w:pPr>
            <w:r>
              <w:rPr>
                <w:rFonts w:hint="eastAsia" w:ascii="宋体" w:hAnsi="宋体"/>
                <w:b/>
              </w:rPr>
              <w:t>招标文件条款描述</w:t>
            </w:r>
          </w:p>
        </w:tc>
        <w:tc>
          <w:tcPr>
            <w:tcW w:w="2745" w:type="dxa"/>
            <w:tcBorders>
              <w:top w:val="single" w:color="auto" w:sz="12" w:space="0"/>
              <w:bottom w:val="double" w:color="auto" w:sz="4" w:space="0"/>
            </w:tcBorders>
            <w:shd w:val="clear" w:color="auto" w:fill="EEECE1"/>
            <w:vAlign w:val="center"/>
          </w:tcPr>
          <w:p>
            <w:pPr>
              <w:jc w:val="center"/>
              <w:rPr>
                <w:rFonts w:ascii="宋体" w:hAnsi="宋体"/>
                <w:b/>
              </w:rPr>
            </w:pPr>
            <w:r>
              <w:rPr>
                <w:rFonts w:hint="eastAsia" w:ascii="宋体" w:hAnsi="宋体"/>
                <w:b/>
              </w:rPr>
              <w:t>投标人响应描述</w:t>
            </w:r>
          </w:p>
        </w:tc>
        <w:tc>
          <w:tcPr>
            <w:tcW w:w="2044" w:type="dxa"/>
            <w:tcBorders>
              <w:top w:val="single" w:color="auto" w:sz="12" w:space="0"/>
              <w:bottom w:val="double" w:color="auto" w:sz="4" w:space="0"/>
              <w:right w:val="single" w:color="auto" w:sz="2" w:space="0"/>
            </w:tcBorders>
            <w:shd w:val="clear" w:color="auto" w:fill="EEECE1"/>
            <w:vAlign w:val="center"/>
          </w:tcPr>
          <w:p>
            <w:pPr>
              <w:jc w:val="center"/>
              <w:rPr>
                <w:rFonts w:ascii="宋体" w:hAnsi="宋体"/>
                <w:b/>
              </w:rPr>
            </w:pPr>
            <w:r>
              <w:rPr>
                <w:rFonts w:hint="eastAsia" w:ascii="宋体" w:hAnsi="宋体"/>
                <w:b/>
              </w:rPr>
              <w:t>偏离情况说明</w:t>
            </w:r>
          </w:p>
          <w:p>
            <w:pPr>
              <w:jc w:val="center"/>
              <w:rPr>
                <w:rFonts w:ascii="宋体" w:hAnsi="宋体"/>
                <w:b/>
              </w:rPr>
            </w:pPr>
            <w:r>
              <w:rPr>
                <w:rFonts w:hint="eastAsia" w:ascii="宋体" w:hAnsi="宋体"/>
                <w:b/>
              </w:rPr>
              <w:t>（正偏离/完全响应/负偏离）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hAnsi="宋体"/>
                <w:b/>
              </w:rPr>
            </w:pPr>
            <w:r>
              <w:rPr>
                <w:rFonts w:hint="eastAsia" w:ascii="宋体" w:hAnsi="宋体"/>
                <w:b/>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25"/>
              </w:numPr>
              <w:spacing w:line="400" w:lineRule="exact"/>
              <w:jc w:val="center"/>
              <w:rPr>
                <w:rFonts w:ascii="宋体" w:hAnsi="宋体"/>
                <w:szCs w:val="21"/>
              </w:rPr>
            </w:pPr>
          </w:p>
        </w:tc>
        <w:tc>
          <w:tcPr>
            <w:tcW w:w="2903" w:type="dxa"/>
            <w:tcBorders>
              <w:top w:val="double" w:color="auto" w:sz="4" w:space="0"/>
            </w:tcBorders>
            <w:vAlign w:val="center"/>
          </w:tcPr>
          <w:p>
            <w:pPr>
              <w:rPr>
                <w:rFonts w:ascii="宋体" w:hAnsi="宋体"/>
              </w:rPr>
            </w:pPr>
          </w:p>
        </w:tc>
        <w:tc>
          <w:tcPr>
            <w:tcW w:w="2745" w:type="dxa"/>
            <w:tcBorders>
              <w:top w:val="double" w:color="auto" w:sz="4" w:space="0"/>
            </w:tcBorders>
            <w:vAlign w:val="center"/>
          </w:tcPr>
          <w:p>
            <w:pPr>
              <w:jc w:val="center"/>
              <w:rPr>
                <w:rFonts w:ascii="宋体" w:hAnsi="宋体"/>
              </w:rPr>
            </w:pPr>
          </w:p>
        </w:tc>
        <w:tc>
          <w:tcPr>
            <w:tcW w:w="2044" w:type="dxa"/>
            <w:tcBorders>
              <w:top w:val="double" w:color="auto" w:sz="4" w:space="0"/>
              <w:right w:val="single" w:color="auto" w:sz="2" w:space="0"/>
            </w:tcBorders>
            <w:vAlign w:val="center"/>
          </w:tcPr>
          <w:p>
            <w:pPr>
              <w:jc w:val="center"/>
              <w:rPr>
                <w:rFonts w:ascii="宋体" w:hAnsi="宋体"/>
              </w:rPr>
            </w:pPr>
          </w:p>
        </w:tc>
        <w:tc>
          <w:tcPr>
            <w:tcW w:w="1639" w:type="dxa"/>
            <w:tcBorders>
              <w:top w:val="double" w:color="auto" w:sz="4" w:space="0"/>
              <w:left w:val="single" w:color="auto" w:sz="2" w:space="0"/>
            </w:tcBorders>
            <w:vAlign w:val="center"/>
          </w:tcPr>
          <w:p>
            <w:pPr>
              <w:jc w:val="center"/>
              <w:rPr>
                <w:rFonts w:ascii="宋体" w:hAnsi="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vAlign w:val="center"/>
          </w:tcPr>
          <w:p>
            <w:pPr>
              <w:numPr>
                <w:ilvl w:val="0"/>
                <w:numId w:val="25"/>
              </w:numPr>
              <w:spacing w:line="400" w:lineRule="exact"/>
              <w:jc w:val="center"/>
              <w:rPr>
                <w:rFonts w:ascii="宋体" w:hAnsi="宋体"/>
                <w:szCs w:val="21"/>
              </w:rPr>
            </w:pPr>
          </w:p>
        </w:tc>
        <w:tc>
          <w:tcPr>
            <w:tcW w:w="2903" w:type="dxa"/>
            <w:vAlign w:val="center"/>
          </w:tcPr>
          <w:p>
            <w:pPr>
              <w:rPr>
                <w:rFonts w:ascii="宋体" w:hAnsi="宋体"/>
              </w:rPr>
            </w:pPr>
          </w:p>
        </w:tc>
        <w:tc>
          <w:tcPr>
            <w:tcW w:w="2745" w:type="dxa"/>
            <w:vAlign w:val="center"/>
          </w:tcPr>
          <w:p>
            <w:pPr>
              <w:jc w:val="center"/>
              <w:rPr>
                <w:rFonts w:ascii="宋体" w:hAnsi="宋体"/>
              </w:rPr>
            </w:pPr>
          </w:p>
        </w:tc>
        <w:tc>
          <w:tcPr>
            <w:tcW w:w="2044"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sz w:val="18"/>
                <w:szCs w:val="18"/>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31" w:type="dxa"/>
            <w:vAlign w:val="center"/>
          </w:tcPr>
          <w:p>
            <w:pPr>
              <w:numPr>
                <w:ilvl w:val="0"/>
                <w:numId w:val="25"/>
              </w:numPr>
              <w:spacing w:line="400" w:lineRule="exact"/>
              <w:jc w:val="center"/>
              <w:rPr>
                <w:rFonts w:ascii="宋体" w:hAnsi="宋体"/>
                <w:szCs w:val="21"/>
              </w:rPr>
            </w:pPr>
          </w:p>
        </w:tc>
        <w:tc>
          <w:tcPr>
            <w:tcW w:w="2903" w:type="dxa"/>
            <w:vAlign w:val="center"/>
          </w:tcPr>
          <w:p>
            <w:pPr>
              <w:rPr>
                <w:rFonts w:ascii="宋体" w:hAnsi="宋体"/>
                <w:b/>
                <w:bCs/>
                <w:szCs w:val="21"/>
              </w:rPr>
            </w:pPr>
          </w:p>
        </w:tc>
        <w:tc>
          <w:tcPr>
            <w:tcW w:w="2745" w:type="dxa"/>
            <w:vAlign w:val="center"/>
          </w:tcPr>
          <w:p>
            <w:pPr>
              <w:jc w:val="center"/>
              <w:rPr>
                <w:rFonts w:ascii="宋体" w:hAnsi="宋体"/>
              </w:rPr>
            </w:pPr>
          </w:p>
        </w:tc>
        <w:tc>
          <w:tcPr>
            <w:tcW w:w="2044"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vAlign w:val="center"/>
          </w:tcPr>
          <w:p>
            <w:pPr>
              <w:numPr>
                <w:ilvl w:val="0"/>
                <w:numId w:val="25"/>
              </w:numPr>
              <w:spacing w:line="400" w:lineRule="exact"/>
              <w:jc w:val="center"/>
              <w:rPr>
                <w:rFonts w:ascii="宋体" w:hAnsi="宋体"/>
                <w:szCs w:val="21"/>
              </w:rPr>
            </w:pPr>
          </w:p>
        </w:tc>
        <w:tc>
          <w:tcPr>
            <w:tcW w:w="2903" w:type="dxa"/>
            <w:vAlign w:val="center"/>
          </w:tcPr>
          <w:p>
            <w:pPr>
              <w:rPr>
                <w:rFonts w:ascii="宋体" w:hAnsi="宋体"/>
              </w:rPr>
            </w:pPr>
          </w:p>
        </w:tc>
        <w:tc>
          <w:tcPr>
            <w:tcW w:w="2745" w:type="dxa"/>
            <w:vAlign w:val="center"/>
          </w:tcPr>
          <w:p>
            <w:pPr>
              <w:jc w:val="center"/>
              <w:rPr>
                <w:rFonts w:ascii="宋体" w:hAnsi="宋体"/>
              </w:rPr>
            </w:pPr>
          </w:p>
        </w:tc>
        <w:tc>
          <w:tcPr>
            <w:tcW w:w="2044"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vAlign w:val="center"/>
          </w:tcPr>
          <w:p>
            <w:pPr>
              <w:numPr>
                <w:ilvl w:val="0"/>
                <w:numId w:val="25"/>
              </w:numPr>
              <w:spacing w:line="400" w:lineRule="exact"/>
              <w:jc w:val="center"/>
              <w:rPr>
                <w:rFonts w:ascii="宋体" w:hAnsi="宋体"/>
                <w:szCs w:val="21"/>
              </w:rPr>
            </w:pPr>
          </w:p>
        </w:tc>
        <w:tc>
          <w:tcPr>
            <w:tcW w:w="2903" w:type="dxa"/>
            <w:vAlign w:val="center"/>
          </w:tcPr>
          <w:p>
            <w:pPr>
              <w:rPr>
                <w:rFonts w:asciiTheme="minorEastAsia" w:hAnsiTheme="minorEastAsia" w:eastAsiaTheme="minorEastAsia" w:cstheme="minorEastAsia"/>
                <w:b/>
                <w:bCs/>
                <w:szCs w:val="21"/>
              </w:rPr>
            </w:pPr>
          </w:p>
        </w:tc>
        <w:tc>
          <w:tcPr>
            <w:tcW w:w="2745" w:type="dxa"/>
            <w:vAlign w:val="center"/>
          </w:tcPr>
          <w:p>
            <w:pPr>
              <w:jc w:val="center"/>
              <w:rPr>
                <w:rFonts w:ascii="宋体" w:hAnsi="宋体"/>
              </w:rPr>
            </w:pPr>
          </w:p>
        </w:tc>
        <w:tc>
          <w:tcPr>
            <w:tcW w:w="2044"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vAlign w:val="center"/>
          </w:tcPr>
          <w:p>
            <w:pPr>
              <w:numPr>
                <w:ilvl w:val="0"/>
                <w:numId w:val="25"/>
              </w:numPr>
              <w:spacing w:line="400" w:lineRule="exact"/>
              <w:jc w:val="center"/>
              <w:rPr>
                <w:rFonts w:ascii="宋体" w:hAnsi="宋体"/>
                <w:szCs w:val="21"/>
              </w:rPr>
            </w:pPr>
          </w:p>
        </w:tc>
        <w:tc>
          <w:tcPr>
            <w:tcW w:w="2903" w:type="dxa"/>
            <w:vAlign w:val="center"/>
          </w:tcPr>
          <w:p>
            <w:pPr>
              <w:rPr>
                <w:rFonts w:asciiTheme="minorEastAsia" w:hAnsiTheme="minorEastAsia" w:eastAsiaTheme="minorEastAsia" w:cstheme="minorEastAsia"/>
                <w:b/>
                <w:bCs/>
                <w:szCs w:val="21"/>
              </w:rPr>
            </w:pPr>
          </w:p>
        </w:tc>
        <w:tc>
          <w:tcPr>
            <w:tcW w:w="2745" w:type="dxa"/>
            <w:vAlign w:val="center"/>
          </w:tcPr>
          <w:p>
            <w:pPr>
              <w:jc w:val="center"/>
              <w:rPr>
                <w:rFonts w:ascii="宋体" w:hAnsi="宋体"/>
              </w:rPr>
            </w:pPr>
          </w:p>
        </w:tc>
        <w:tc>
          <w:tcPr>
            <w:tcW w:w="2044"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bl>
    <w:p>
      <w:pPr>
        <w:spacing w:line="360" w:lineRule="auto"/>
        <w:ind w:left="741" w:leftChars="68" w:right="84" w:rightChars="40" w:hanging="598" w:hangingChars="285"/>
        <w:rPr>
          <w:rFonts w:ascii="宋体" w:hAnsi="宋体"/>
        </w:rPr>
      </w:pPr>
      <w:r>
        <w:rPr>
          <w:rFonts w:hint="eastAsia" w:ascii="宋体" w:hAnsi="宋体"/>
          <w:szCs w:val="21"/>
        </w:rPr>
        <w:t>备注：此</w:t>
      </w:r>
      <w:r>
        <w:rPr>
          <w:rFonts w:hint="eastAsia" w:ascii="宋体" w:hAnsi="宋体"/>
        </w:rPr>
        <w:t>表中“招标文件条款描述”的条款与用户需求中的条款描述不一致的，以用户需求中规定的为准。</w:t>
      </w: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r>
        <w:rPr>
          <w:rFonts w:hint="eastAsia" w:ascii="宋体" w:hAnsi="宋体"/>
          <w:spacing w:val="4"/>
          <w:u w:val="single"/>
        </w:rPr>
        <w:t xml:space="preserve">   </w:t>
      </w:r>
      <w:r>
        <w:rPr>
          <w:rFonts w:ascii="宋体" w:hAnsi="宋体"/>
          <w:spacing w:val="4"/>
          <w:u w:val="single"/>
        </w:rPr>
        <w:t xml:space="preserve">  </w:t>
      </w:r>
    </w:p>
    <w:p>
      <w:r>
        <w:br w:type="page"/>
      </w:r>
    </w:p>
    <w:p>
      <w:pPr>
        <w:numPr>
          <w:ilvl w:val="0"/>
          <w:numId w:val="21"/>
        </w:numPr>
        <w:spacing w:line="440" w:lineRule="exact"/>
        <w:rPr>
          <w:rFonts w:ascii="宋体" w:hAnsi="宋体"/>
          <w:bCs/>
          <w:sz w:val="28"/>
        </w:rPr>
      </w:pPr>
    </w:p>
    <w:p>
      <w:pPr>
        <w:jc w:val="center"/>
        <w:outlineLvl w:val="2"/>
        <w:rPr>
          <w:rFonts w:ascii="宋体" w:hAnsi="宋体"/>
          <w:b/>
          <w:sz w:val="28"/>
          <w:szCs w:val="28"/>
        </w:rPr>
      </w:pPr>
      <w:bookmarkStart w:id="25" w:name="_Toc275865616"/>
      <w:bookmarkStart w:id="26" w:name="_Toc173553182"/>
      <w:r>
        <w:rPr>
          <w:rFonts w:hint="eastAsia" w:ascii="宋体" w:hAnsi="宋体"/>
          <w:b/>
          <w:sz w:val="28"/>
          <w:szCs w:val="28"/>
        </w:rPr>
        <w:t>投标人基本情况表</w:t>
      </w:r>
      <w:bookmarkEnd w:id="25"/>
      <w:bookmarkEnd w:id="26"/>
    </w:p>
    <w:p>
      <w:pPr>
        <w:numPr>
          <w:ilvl w:val="0"/>
          <w:numId w:val="26"/>
        </w:numPr>
        <w:spacing w:line="360" w:lineRule="auto"/>
        <w:rPr>
          <w:rFonts w:ascii="宋体" w:hAnsi="宋体" w:cs="Arial"/>
          <w:szCs w:val="21"/>
        </w:rPr>
      </w:pPr>
      <w:r>
        <w:rPr>
          <w:rFonts w:ascii="宋体" w:hAnsi="宋体" w:cs="Arial"/>
          <w:szCs w:val="21"/>
        </w:rPr>
        <w:t>公司基本情况</w:t>
      </w:r>
    </w:p>
    <w:p>
      <w:pPr>
        <w:numPr>
          <w:ilvl w:val="1"/>
          <w:numId w:val="26"/>
        </w:numPr>
        <w:tabs>
          <w:tab w:val="left" w:pos="420"/>
          <w:tab w:val="clear" w:pos="840"/>
        </w:tabs>
        <w:spacing w:line="360" w:lineRule="auto"/>
        <w:ind w:left="420"/>
        <w:rPr>
          <w:rFonts w:ascii="宋体" w:hAnsi="宋体" w:cs="Arial"/>
          <w:szCs w:val="21"/>
        </w:rPr>
      </w:pPr>
      <w:r>
        <w:rPr>
          <w:rFonts w:ascii="宋体" w:hAnsi="宋体" w:cs="Arial"/>
          <w:szCs w:val="21"/>
        </w:rPr>
        <w:t>公司名称：</w:t>
      </w:r>
      <w:r>
        <w:rPr>
          <w:rFonts w:ascii="宋体" w:hAnsi="宋体" w:cs="Arial"/>
          <w:szCs w:val="21"/>
          <w:u w:val="single"/>
        </w:rPr>
        <w:t xml:space="preserve">                              </w:t>
      </w:r>
      <w:r>
        <w:rPr>
          <w:rFonts w:ascii="宋体" w:hAnsi="宋体" w:cs="Arial"/>
          <w:szCs w:val="21"/>
        </w:rPr>
        <w:t xml:space="preserve">  电话号码：</w:t>
      </w:r>
      <w:r>
        <w:rPr>
          <w:rFonts w:ascii="宋体" w:hAnsi="宋体" w:cs="Arial"/>
          <w:szCs w:val="21"/>
          <w:u w:val="single"/>
        </w:rPr>
        <w:t xml:space="preserve">          </w:t>
      </w:r>
      <w:r>
        <w:rPr>
          <w:rFonts w:ascii="宋体" w:hAnsi="宋体" w:cs="Arial"/>
          <w:szCs w:val="21"/>
        </w:rPr>
        <w:t xml:space="preserve">                  </w:t>
      </w:r>
    </w:p>
    <w:p>
      <w:pPr>
        <w:numPr>
          <w:ilvl w:val="1"/>
          <w:numId w:val="26"/>
        </w:numPr>
        <w:tabs>
          <w:tab w:val="left" w:pos="420"/>
          <w:tab w:val="clear" w:pos="840"/>
        </w:tabs>
        <w:spacing w:line="360" w:lineRule="auto"/>
        <w:ind w:left="420"/>
        <w:rPr>
          <w:rFonts w:ascii="宋体" w:hAnsi="宋体" w:cs="Arial"/>
          <w:szCs w:val="21"/>
        </w:rPr>
      </w:pPr>
      <w:r>
        <w:rPr>
          <w:rFonts w:ascii="宋体" w:hAnsi="宋体" w:cs="Arial"/>
          <w:szCs w:val="21"/>
        </w:rPr>
        <w:t>地    址：</w:t>
      </w:r>
      <w:r>
        <w:rPr>
          <w:rFonts w:ascii="宋体" w:hAnsi="宋体" w:cs="Arial"/>
          <w:szCs w:val="21"/>
          <w:u w:val="single"/>
        </w:rPr>
        <w:t xml:space="preserve">                              </w:t>
      </w:r>
      <w:r>
        <w:rPr>
          <w:rFonts w:ascii="宋体" w:hAnsi="宋体" w:cs="Arial"/>
          <w:szCs w:val="21"/>
        </w:rPr>
        <w:t xml:space="preserve">  传    真：</w:t>
      </w:r>
      <w:r>
        <w:rPr>
          <w:rFonts w:ascii="宋体" w:hAnsi="宋体" w:cs="Arial"/>
          <w:szCs w:val="21"/>
          <w:u w:val="single"/>
        </w:rPr>
        <w:t xml:space="preserve">           </w:t>
      </w:r>
      <w:r>
        <w:rPr>
          <w:rFonts w:ascii="宋体" w:hAnsi="宋体" w:cs="Arial"/>
          <w:szCs w:val="21"/>
        </w:rPr>
        <w:t xml:space="preserve">                  </w:t>
      </w:r>
    </w:p>
    <w:p>
      <w:pPr>
        <w:numPr>
          <w:ilvl w:val="1"/>
          <w:numId w:val="26"/>
        </w:numPr>
        <w:tabs>
          <w:tab w:val="left" w:pos="420"/>
          <w:tab w:val="clear" w:pos="840"/>
        </w:tabs>
        <w:spacing w:line="360" w:lineRule="auto"/>
        <w:ind w:left="420"/>
        <w:rPr>
          <w:rFonts w:ascii="宋体" w:hAnsi="宋体" w:cs="Arial"/>
          <w:szCs w:val="21"/>
          <w:u w:val="single"/>
        </w:rPr>
      </w:pPr>
      <w:r>
        <w:rPr>
          <w:rFonts w:ascii="宋体" w:hAnsi="宋体" w:cs="Arial"/>
          <w:szCs w:val="21"/>
        </w:rPr>
        <w:t>注册资金：</w:t>
      </w:r>
      <w:r>
        <w:rPr>
          <w:rFonts w:ascii="宋体" w:hAnsi="宋体" w:cs="Arial"/>
          <w:szCs w:val="21"/>
          <w:u w:val="single"/>
        </w:rPr>
        <w:t xml:space="preserve">                              </w:t>
      </w:r>
      <w:r>
        <w:rPr>
          <w:rFonts w:ascii="宋体" w:hAnsi="宋体" w:cs="Arial"/>
          <w:szCs w:val="21"/>
        </w:rPr>
        <w:t xml:space="preserve">  经济性质：</w:t>
      </w:r>
      <w:r>
        <w:rPr>
          <w:rFonts w:ascii="宋体" w:hAnsi="宋体" w:cs="Arial"/>
          <w:szCs w:val="21"/>
          <w:u w:val="single"/>
        </w:rPr>
        <w:t xml:space="preserve">          </w:t>
      </w:r>
    </w:p>
    <w:p>
      <w:pPr>
        <w:numPr>
          <w:ilvl w:val="1"/>
          <w:numId w:val="26"/>
        </w:numPr>
        <w:tabs>
          <w:tab w:val="left" w:pos="420"/>
          <w:tab w:val="clear" w:pos="840"/>
        </w:tabs>
        <w:spacing w:line="360" w:lineRule="auto"/>
        <w:ind w:left="420"/>
        <w:rPr>
          <w:rFonts w:ascii="宋体" w:hAnsi="宋体" w:cs="Arial"/>
          <w:szCs w:val="21"/>
        </w:rPr>
      </w:pPr>
      <w:r>
        <w:rPr>
          <w:rFonts w:ascii="宋体" w:hAnsi="宋体" w:cs="Arial"/>
          <w:szCs w:val="21"/>
        </w:rPr>
        <w:t xml:space="preserve">公司开户银行名称及账号：     </w:t>
      </w:r>
    </w:p>
    <w:p>
      <w:pPr>
        <w:numPr>
          <w:ilvl w:val="1"/>
          <w:numId w:val="26"/>
        </w:numPr>
        <w:tabs>
          <w:tab w:val="left" w:pos="420"/>
          <w:tab w:val="clear" w:pos="840"/>
        </w:tabs>
        <w:spacing w:line="360" w:lineRule="auto"/>
        <w:ind w:left="420"/>
        <w:rPr>
          <w:rFonts w:ascii="宋体" w:hAnsi="宋体" w:cs="Arial"/>
          <w:szCs w:val="21"/>
        </w:rPr>
      </w:pPr>
      <w:r>
        <w:rPr>
          <w:rFonts w:ascii="宋体" w:hAnsi="宋体" w:cs="Arial"/>
          <w:szCs w:val="21"/>
        </w:rPr>
        <w:t xml:space="preserve">营业注册执照号：   </w:t>
      </w:r>
    </w:p>
    <w:p>
      <w:pPr>
        <w:numPr>
          <w:ilvl w:val="1"/>
          <w:numId w:val="26"/>
        </w:numPr>
        <w:tabs>
          <w:tab w:val="left" w:pos="420"/>
          <w:tab w:val="clear" w:pos="840"/>
        </w:tabs>
        <w:spacing w:line="360" w:lineRule="auto"/>
        <w:ind w:left="420"/>
        <w:rPr>
          <w:rFonts w:ascii="宋体" w:hAnsi="宋体" w:cs="Arial"/>
          <w:szCs w:val="21"/>
        </w:rPr>
      </w:pPr>
      <w:r>
        <w:rPr>
          <w:rFonts w:ascii="宋体" w:hAnsi="宋体" w:cs="Arial"/>
          <w:szCs w:val="21"/>
        </w:rPr>
        <w:t>公司简介</w:t>
      </w:r>
    </w:p>
    <w:p>
      <w:pPr>
        <w:spacing w:line="360" w:lineRule="auto"/>
        <w:ind w:left="360"/>
        <w:rPr>
          <w:rFonts w:ascii="宋体" w:hAnsi="宋体" w:cs="Arial"/>
          <w:szCs w:val="21"/>
        </w:rPr>
      </w:pPr>
      <w:r>
        <w:rPr>
          <w:rFonts w:hint="eastAsia" w:ascii="宋体" w:hAnsi="宋体"/>
        </w:rPr>
        <w:t>文字描述：</w:t>
      </w:r>
      <w:r>
        <w:rPr>
          <w:rFonts w:hint="eastAsia" w:ascii="宋体" w:hAnsi="宋体"/>
          <w:bCs/>
          <w:szCs w:val="21"/>
          <w:lang w:val="en-GB"/>
        </w:rPr>
        <w:t>发展历程、经营规模及服务理念</w:t>
      </w:r>
      <w:r>
        <w:rPr>
          <w:rFonts w:hint="eastAsia" w:ascii="宋体" w:hAnsi="宋体"/>
        </w:rPr>
        <w:t>、技术力量、财务状况、</w:t>
      </w:r>
      <w:r>
        <w:rPr>
          <w:rFonts w:ascii="宋体" w:hAnsi="宋体"/>
        </w:rPr>
        <w:t>管理水平</w:t>
      </w:r>
      <w:r>
        <w:rPr>
          <w:rFonts w:hint="eastAsia" w:ascii="宋体" w:hAnsi="宋体"/>
        </w:rPr>
        <w:t>等方面进行阐述；图片描述：</w:t>
      </w:r>
      <w:r>
        <w:rPr>
          <w:rFonts w:hint="eastAsia" w:ascii="宋体" w:hAnsi="宋体"/>
          <w:bCs/>
          <w:szCs w:val="21"/>
          <w:lang w:val="en-GB"/>
        </w:rPr>
        <w:t>经营场所、主要或关键产品介绍、生产场所及服务流程等。</w:t>
      </w:r>
    </w:p>
    <w:p>
      <w:pPr>
        <w:numPr>
          <w:ilvl w:val="0"/>
          <w:numId w:val="26"/>
        </w:numPr>
        <w:spacing w:line="360" w:lineRule="auto"/>
        <w:rPr>
          <w:rFonts w:ascii="宋体" w:hAnsi="宋体" w:cs="Arial"/>
          <w:szCs w:val="21"/>
        </w:rPr>
      </w:pPr>
      <w:r>
        <w:rPr>
          <w:rFonts w:ascii="宋体" w:hAnsi="宋体" w:cs="Arial"/>
          <w:szCs w:val="21"/>
        </w:rPr>
        <w:t>投标人获得国家有关部门颁发的资质</w:t>
      </w:r>
      <w:r>
        <w:rPr>
          <w:rFonts w:hint="eastAsia" w:ascii="宋体" w:hAnsi="宋体" w:cs="Arial"/>
          <w:szCs w:val="21"/>
        </w:rPr>
        <w:t>证书和奖项</w:t>
      </w:r>
      <w:r>
        <w:rPr>
          <w:rFonts w:ascii="宋体" w:hAnsi="宋体" w:cs="Arial"/>
          <w:szCs w:val="21"/>
        </w:rPr>
        <w:t>：</w:t>
      </w:r>
    </w:p>
    <w:tbl>
      <w:tblPr>
        <w:tblStyle w:val="18"/>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2490" w:type="dxa"/>
            <w:tcBorders>
              <w:top w:val="single" w:color="auto" w:sz="12" w:space="0"/>
              <w:left w:val="single" w:color="auto" w:sz="12" w:space="0"/>
            </w:tcBorders>
          </w:tcPr>
          <w:p>
            <w:pPr>
              <w:spacing w:line="360" w:lineRule="auto"/>
              <w:jc w:val="center"/>
              <w:rPr>
                <w:rFonts w:ascii="宋体" w:hAnsi="宋体" w:cs="Arial"/>
                <w:szCs w:val="21"/>
              </w:rPr>
            </w:pPr>
            <w:r>
              <w:rPr>
                <w:rFonts w:ascii="宋体" w:hAnsi="宋体" w:cs="Arial"/>
                <w:szCs w:val="21"/>
              </w:rPr>
              <w:t xml:space="preserve">  证书名称</w:t>
            </w:r>
          </w:p>
        </w:tc>
        <w:tc>
          <w:tcPr>
            <w:tcW w:w="2490" w:type="dxa"/>
            <w:tcBorders>
              <w:top w:val="single" w:color="auto" w:sz="12" w:space="0"/>
            </w:tcBorders>
          </w:tcPr>
          <w:p>
            <w:pPr>
              <w:spacing w:line="360" w:lineRule="auto"/>
              <w:jc w:val="center"/>
              <w:rPr>
                <w:rFonts w:ascii="宋体" w:hAnsi="宋体" w:cs="Arial"/>
                <w:szCs w:val="21"/>
              </w:rPr>
            </w:pPr>
            <w:r>
              <w:rPr>
                <w:rFonts w:ascii="宋体" w:hAnsi="宋体" w:cs="Arial"/>
                <w:szCs w:val="21"/>
              </w:rPr>
              <w:t>发证单位</w:t>
            </w:r>
          </w:p>
        </w:tc>
        <w:tc>
          <w:tcPr>
            <w:tcW w:w="2491" w:type="dxa"/>
            <w:tcBorders>
              <w:top w:val="single" w:color="auto" w:sz="12" w:space="0"/>
            </w:tcBorders>
          </w:tcPr>
          <w:p>
            <w:pPr>
              <w:spacing w:line="360" w:lineRule="auto"/>
              <w:jc w:val="center"/>
              <w:rPr>
                <w:rFonts w:ascii="宋体" w:hAnsi="宋体" w:cs="Arial"/>
                <w:szCs w:val="21"/>
              </w:rPr>
            </w:pPr>
            <w:r>
              <w:rPr>
                <w:rFonts w:ascii="宋体" w:hAnsi="宋体" w:cs="Arial"/>
                <w:szCs w:val="21"/>
              </w:rPr>
              <w:t>证书等级</w:t>
            </w:r>
          </w:p>
        </w:tc>
        <w:tc>
          <w:tcPr>
            <w:tcW w:w="2491" w:type="dxa"/>
            <w:tcBorders>
              <w:top w:val="single" w:color="auto" w:sz="12" w:space="0"/>
              <w:right w:val="single" w:color="auto" w:sz="12" w:space="0"/>
            </w:tcBorders>
          </w:tcPr>
          <w:p>
            <w:pPr>
              <w:spacing w:line="360" w:lineRule="auto"/>
              <w:jc w:val="center"/>
              <w:rPr>
                <w:rFonts w:ascii="宋体" w:hAnsi="宋体" w:cs="Arial"/>
                <w:szCs w:val="21"/>
              </w:rPr>
            </w:pPr>
            <w:r>
              <w:rPr>
                <w:rFonts w:ascii="宋体" w:hAnsi="宋体" w:cs="Arial"/>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0" w:type="dxa"/>
            <w:tcBorders>
              <w:left w:val="single" w:color="auto" w:sz="12" w:space="0"/>
            </w:tcBorders>
          </w:tcPr>
          <w:p>
            <w:pPr>
              <w:spacing w:line="360" w:lineRule="auto"/>
              <w:jc w:val="center"/>
              <w:rPr>
                <w:rFonts w:ascii="宋体" w:hAnsi="宋体" w:cs="Arial"/>
                <w:szCs w:val="21"/>
              </w:rPr>
            </w:pPr>
          </w:p>
        </w:tc>
        <w:tc>
          <w:tcPr>
            <w:tcW w:w="2490" w:type="dxa"/>
          </w:tcPr>
          <w:p>
            <w:pPr>
              <w:spacing w:line="360" w:lineRule="auto"/>
              <w:jc w:val="center"/>
              <w:rPr>
                <w:rFonts w:ascii="宋体" w:hAnsi="宋体" w:cs="Arial"/>
                <w:szCs w:val="21"/>
              </w:rPr>
            </w:pPr>
          </w:p>
        </w:tc>
        <w:tc>
          <w:tcPr>
            <w:tcW w:w="2491" w:type="dxa"/>
          </w:tcPr>
          <w:p>
            <w:pPr>
              <w:spacing w:line="360" w:lineRule="auto"/>
              <w:jc w:val="center"/>
              <w:rPr>
                <w:rFonts w:ascii="宋体" w:hAnsi="宋体" w:cs="Arial"/>
                <w:szCs w:val="21"/>
              </w:rPr>
            </w:pPr>
          </w:p>
        </w:tc>
        <w:tc>
          <w:tcPr>
            <w:tcW w:w="2491" w:type="dxa"/>
            <w:tcBorders>
              <w:right w:val="single" w:color="auto" w:sz="12" w:space="0"/>
            </w:tcBorders>
          </w:tcPr>
          <w:p>
            <w:pPr>
              <w:spacing w:line="360" w:lineRule="auto"/>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0" w:type="dxa"/>
            <w:tcBorders>
              <w:left w:val="single" w:color="auto" w:sz="12" w:space="0"/>
              <w:bottom w:val="single" w:color="auto" w:sz="12" w:space="0"/>
            </w:tcBorders>
          </w:tcPr>
          <w:p>
            <w:pPr>
              <w:spacing w:line="360" w:lineRule="auto"/>
              <w:jc w:val="center"/>
              <w:rPr>
                <w:rFonts w:ascii="宋体" w:hAnsi="宋体" w:cs="Arial"/>
                <w:szCs w:val="21"/>
              </w:rPr>
            </w:pPr>
          </w:p>
        </w:tc>
        <w:tc>
          <w:tcPr>
            <w:tcW w:w="2490" w:type="dxa"/>
            <w:tcBorders>
              <w:bottom w:val="single" w:color="auto" w:sz="12" w:space="0"/>
            </w:tcBorders>
          </w:tcPr>
          <w:p>
            <w:pPr>
              <w:spacing w:line="360" w:lineRule="auto"/>
              <w:jc w:val="center"/>
              <w:rPr>
                <w:rFonts w:ascii="宋体" w:hAnsi="宋体" w:cs="Arial"/>
                <w:szCs w:val="21"/>
              </w:rPr>
            </w:pPr>
          </w:p>
        </w:tc>
        <w:tc>
          <w:tcPr>
            <w:tcW w:w="2491" w:type="dxa"/>
            <w:tcBorders>
              <w:bottom w:val="single" w:color="auto" w:sz="12" w:space="0"/>
            </w:tcBorders>
          </w:tcPr>
          <w:p>
            <w:pPr>
              <w:spacing w:line="360" w:lineRule="auto"/>
              <w:jc w:val="center"/>
              <w:rPr>
                <w:rFonts w:ascii="宋体" w:hAnsi="宋体" w:cs="Arial"/>
                <w:szCs w:val="21"/>
              </w:rPr>
            </w:pPr>
          </w:p>
        </w:tc>
        <w:tc>
          <w:tcPr>
            <w:tcW w:w="2491" w:type="dxa"/>
            <w:tcBorders>
              <w:bottom w:val="single" w:color="auto" w:sz="12" w:space="0"/>
              <w:right w:val="single" w:color="auto" w:sz="12" w:space="0"/>
            </w:tcBorders>
          </w:tcPr>
          <w:p>
            <w:pPr>
              <w:spacing w:line="360" w:lineRule="auto"/>
              <w:jc w:val="center"/>
              <w:rPr>
                <w:rFonts w:ascii="宋体" w:hAnsi="宋体" w:cs="Arial"/>
                <w:szCs w:val="21"/>
              </w:rPr>
            </w:pPr>
          </w:p>
        </w:tc>
      </w:tr>
    </w:tbl>
    <w:p>
      <w:pPr>
        <w:numPr>
          <w:ilvl w:val="0"/>
          <w:numId w:val="26"/>
        </w:numPr>
        <w:spacing w:line="360" w:lineRule="auto"/>
        <w:rPr>
          <w:rFonts w:ascii="宋体" w:hAnsi="宋体" w:cs="Arial"/>
          <w:szCs w:val="21"/>
        </w:rPr>
      </w:pPr>
      <w:r>
        <w:rPr>
          <w:rFonts w:hint="eastAsia" w:ascii="宋体" w:hAnsi="宋体" w:cs="Arial"/>
          <w:szCs w:val="21"/>
        </w:rPr>
        <w:t>提供最近年度经审计的财务报表。</w:t>
      </w:r>
      <w:r>
        <w:rPr>
          <w:rFonts w:ascii="宋体" w:hAnsi="宋体" w:cs="Arial"/>
          <w:szCs w:val="21"/>
        </w:rPr>
        <w:t xml:space="preserve">                                                                                     </w:t>
      </w:r>
    </w:p>
    <w:p>
      <w:pPr>
        <w:adjustRightInd w:val="0"/>
        <w:spacing w:line="360" w:lineRule="auto"/>
        <w:ind w:firstLine="315" w:firstLineChars="150"/>
        <w:rPr>
          <w:rFonts w:ascii="宋体" w:hAnsi="宋体" w:cs="Arial"/>
          <w:szCs w:val="21"/>
        </w:rPr>
      </w:pPr>
      <w:bookmarkStart w:id="27" w:name="_Toc43264525"/>
      <w:r>
        <w:rPr>
          <w:rFonts w:ascii="宋体" w:hAnsi="宋体" w:cs="Arial"/>
          <w:szCs w:val="21"/>
        </w:rPr>
        <w:t>我/我们声明以上所述是正确无误的，您有权进行您认为必要的所有调查</w:t>
      </w:r>
      <w:r>
        <w:rPr>
          <w:rFonts w:hint="eastAsia" w:ascii="宋体" w:hAnsi="宋体" w:cs="Arial"/>
          <w:szCs w:val="21"/>
        </w:rPr>
        <w:t>，</w:t>
      </w:r>
      <w:r>
        <w:rPr>
          <w:rFonts w:hint="eastAsia" w:ascii="宋体" w:hAnsi="宋体"/>
          <w:szCs w:val="21"/>
          <w:lang w:val="en-GB"/>
        </w:rPr>
        <w:t>如以上数据有虚假，一经查实，自行承担相关责任。</w:t>
      </w:r>
    </w:p>
    <w:p>
      <w:pPr>
        <w:adjustRightInd w:val="0"/>
        <w:snapToGrid w:val="0"/>
        <w:spacing w:line="360" w:lineRule="auto"/>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r>
        <w:rPr>
          <w:rFonts w:hint="eastAsia" w:ascii="宋体" w:hAnsi="宋体"/>
          <w:spacing w:val="4"/>
          <w:u w:val="single"/>
          <w:lang w:val="en-US" w:eastAsia="zh-CN"/>
        </w:rPr>
        <w:t xml:space="preserve">    </w:t>
      </w:r>
      <w:r>
        <w:rPr>
          <w:rFonts w:ascii="宋体" w:hAnsi="宋体"/>
          <w:spacing w:val="4"/>
          <w:u w:val="single"/>
        </w:rPr>
        <w:t xml:space="preserve">     </w:t>
      </w:r>
    </w:p>
    <w:bookmarkEnd w:id="27"/>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spacing w:val="4"/>
          <w:u w:val="single"/>
        </w:rPr>
      </w:pPr>
    </w:p>
    <w:p>
      <w:pPr>
        <w:spacing w:line="440" w:lineRule="exact"/>
        <w:rPr>
          <w:rFonts w:ascii="宋体" w:hAnsi="宋体"/>
          <w:bCs/>
          <w:sz w:val="28"/>
        </w:rPr>
      </w:pPr>
      <w:r>
        <w:rPr>
          <w:rFonts w:ascii="宋体" w:hAnsi="宋体"/>
          <w:bCs/>
          <w:sz w:val="28"/>
        </w:rPr>
        <w:br w:type="page"/>
      </w:r>
    </w:p>
    <w:p>
      <w:pPr>
        <w:numPr>
          <w:ilvl w:val="0"/>
          <w:numId w:val="21"/>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招标代理服务费承诺书</w:t>
      </w:r>
    </w:p>
    <w:p>
      <w:pPr>
        <w:adjustRightInd w:val="0"/>
        <w:snapToGrid w:val="0"/>
        <w:spacing w:line="360" w:lineRule="auto"/>
        <w:rPr>
          <w:rFonts w:ascii="宋体" w:hAnsi="宋体"/>
          <w:b/>
        </w:rPr>
      </w:pPr>
      <w:r>
        <w:rPr>
          <w:rFonts w:hint="eastAsia" w:ascii="宋体" w:hAnsi="宋体"/>
          <w:b/>
        </w:rPr>
        <w:t>广州宝诚招标代理咨询有限公司:</w:t>
      </w:r>
    </w:p>
    <w:p>
      <w:pPr>
        <w:adjustRightInd w:val="0"/>
        <w:snapToGrid w:val="0"/>
        <w:spacing w:line="360" w:lineRule="auto"/>
        <w:rPr>
          <w:rFonts w:ascii="宋体" w:hAnsi="宋体"/>
          <w:b/>
        </w:rPr>
      </w:pPr>
      <w:r>
        <w:rPr>
          <w:rFonts w:hint="eastAsia" w:ascii="宋体" w:hAnsi="宋体"/>
          <w:b/>
          <w:lang w:eastAsia="zh-CN"/>
        </w:rPr>
        <w:t>广州市番禺区慈善会</w:t>
      </w:r>
      <w:r>
        <w:rPr>
          <w:rFonts w:hint="eastAsia" w:ascii="宋体" w:hAnsi="宋体"/>
          <w:b/>
        </w:rPr>
        <w:t>：</w:t>
      </w:r>
    </w:p>
    <w:p>
      <w:pPr>
        <w:adjustRightInd w:val="0"/>
        <w:snapToGrid w:val="0"/>
        <w:spacing w:line="360" w:lineRule="auto"/>
        <w:ind w:firstLine="420" w:firstLineChars="200"/>
        <w:rPr>
          <w:rFonts w:ascii="宋体" w:hAnsi="宋体" w:cs="宋体"/>
          <w:szCs w:val="21"/>
        </w:rPr>
      </w:pPr>
      <w:r>
        <w:rPr>
          <w:rFonts w:hint="eastAsia" w:ascii="宋体" w:hAnsi="宋体"/>
        </w:rPr>
        <w:t>本公司</w:t>
      </w:r>
      <w:r>
        <w:rPr>
          <w:rFonts w:hint="eastAsia" w:ascii="宋体" w:hAnsi="宋体"/>
          <w:u w:val="single"/>
        </w:rPr>
        <w:t xml:space="preserve">       (投标人名称)      </w:t>
      </w:r>
      <w:r>
        <w:rPr>
          <w:rFonts w:hint="eastAsia" w:ascii="宋体" w:hAnsi="宋体"/>
        </w:rPr>
        <w:t>在参加</w:t>
      </w:r>
      <w:r>
        <w:rPr>
          <w:rFonts w:hint="eastAsia" w:ascii="宋体" w:hAnsi="宋体"/>
          <w:u w:val="single"/>
        </w:rPr>
        <w:t xml:space="preserve">       (项目名称)    </w:t>
      </w:r>
      <w:r>
        <w:rPr>
          <w:rFonts w:hint="eastAsia" w:ascii="宋体" w:hAnsi="宋体"/>
        </w:rPr>
        <w:t>(项目编号：</w:t>
      </w:r>
      <w:r>
        <w:rPr>
          <w:rFonts w:hint="eastAsia" w:ascii="宋体" w:hAnsi="宋体"/>
          <w:lang w:eastAsia="zh-CN"/>
        </w:rPr>
        <w:t>GZBC21FG06002-2</w:t>
      </w:r>
      <w:r>
        <w:rPr>
          <w:rFonts w:hint="eastAsia" w:ascii="宋体" w:hAnsi="宋体"/>
        </w:rPr>
        <w:t>)的招标中如获中标</w:t>
      </w:r>
      <w:r>
        <w:rPr>
          <w:rFonts w:hint="eastAsia" w:ascii="宋体" w:hAnsi="宋体" w:cs="宋体"/>
          <w:szCs w:val="21"/>
        </w:rPr>
        <w:t>，我公司保证按照招标文件</w:t>
      </w:r>
      <w:r>
        <w:rPr>
          <w:rFonts w:hint="eastAsia" w:ascii="宋体" w:hAnsi="宋体"/>
        </w:rPr>
        <w:t>的</w:t>
      </w:r>
      <w:r>
        <w:rPr>
          <w:rFonts w:hint="eastAsia" w:ascii="宋体" w:hAnsi="宋体" w:cs="宋体"/>
          <w:szCs w:val="21"/>
        </w:rPr>
        <w:t>规定缴纳“招标代理服务费”后，凭领取人身份证复印件并加盖公章领取《中标通知书》。如采用电汇或银行转账，我</w:t>
      </w:r>
      <w:r>
        <w:rPr>
          <w:rFonts w:hint="eastAsia" w:ascii="宋体" w:hAnsi="宋体"/>
        </w:rPr>
        <w:t>公</w:t>
      </w:r>
      <w:r>
        <w:rPr>
          <w:rFonts w:hint="eastAsia" w:ascii="宋体" w:hAnsi="宋体" w:cs="宋体"/>
          <w:szCs w:val="21"/>
        </w:rPr>
        <w:t>司将同时递交招标代理服务费缴费凭证复印件并加盖公章。</w:t>
      </w:r>
    </w:p>
    <w:p>
      <w:pPr>
        <w:snapToGrid w:val="0"/>
        <w:spacing w:line="360" w:lineRule="auto"/>
        <w:ind w:firstLine="420" w:firstLineChars="200"/>
        <w:rPr>
          <w:rFonts w:ascii="宋体" w:hAnsi="宋体" w:cs="宋体"/>
          <w:szCs w:val="21"/>
        </w:rPr>
      </w:pPr>
      <w:r>
        <w:rPr>
          <w:rFonts w:hint="eastAsia" w:ascii="宋体" w:hAnsi="宋体" w:cs="宋体"/>
          <w:szCs w:val="21"/>
        </w:rPr>
        <w:t>如我公司违反上款承诺，愿凭贵公司开出的相关通知，同意广州宝诚招标代理咨询有限公司在采购人支付给我公司本项目的合同款项中支出应缴纳的招标代理服务费，并愿承担由此引起的一切法律责任。</w:t>
      </w:r>
    </w:p>
    <w:p>
      <w:pPr>
        <w:snapToGrid w:val="0"/>
        <w:spacing w:line="360" w:lineRule="auto"/>
        <w:ind w:firstLine="420" w:firstLineChars="200"/>
        <w:rPr>
          <w:rFonts w:ascii="宋体" w:hAnsi="宋体"/>
          <w:bCs/>
          <w:szCs w:val="20"/>
        </w:rPr>
      </w:pPr>
      <w:r>
        <w:rPr>
          <w:rFonts w:hint="eastAsia" w:ascii="宋体" w:hAnsi="宋体"/>
        </w:rPr>
        <w:t>特此承诺！</w:t>
      </w:r>
    </w:p>
    <w:p>
      <w:pPr>
        <w:adjustRightInd w:val="0"/>
        <w:snapToGrid w:val="0"/>
        <w:spacing w:line="520" w:lineRule="exact"/>
        <w:ind w:firstLine="3465" w:firstLineChars="1650"/>
        <w:rPr>
          <w:rFonts w:ascii="宋体" w:hAnsi="宋体"/>
          <w:u w:val="single"/>
        </w:rPr>
      </w:pPr>
      <w:r>
        <w:rPr>
          <w:rFonts w:hint="eastAsia" w:ascii="宋体" w:hAnsi="宋体"/>
        </w:rPr>
        <w:t>投标人名称(盖公章)：</w:t>
      </w:r>
      <w:r>
        <w:rPr>
          <w:rFonts w:hint="eastAsia" w:ascii="宋体" w:hAnsi="宋体"/>
          <w:u w:val="single"/>
        </w:rPr>
        <w:t xml:space="preserve">             </w:t>
      </w:r>
    </w:p>
    <w:p>
      <w:pPr>
        <w:adjustRightInd w:val="0"/>
        <w:snapToGrid w:val="0"/>
        <w:spacing w:line="520" w:lineRule="exact"/>
        <w:ind w:firstLine="3465" w:firstLineChars="1650"/>
        <w:rPr>
          <w:rFonts w:ascii="宋体" w:hAnsi="宋体"/>
        </w:rPr>
      </w:pPr>
      <w:r>
        <w:rPr>
          <w:rFonts w:hint="eastAsia" w:ascii="宋体" w:hAnsi="宋体"/>
        </w:rPr>
        <w:t>投标人地址：</w:t>
      </w:r>
      <w:r>
        <w:rPr>
          <w:rFonts w:hint="eastAsia" w:ascii="宋体" w:hAnsi="宋体"/>
          <w:u w:val="single"/>
        </w:rPr>
        <w:t xml:space="preserve">             </w:t>
      </w:r>
    </w:p>
    <w:p>
      <w:pPr>
        <w:adjustRightInd w:val="0"/>
        <w:snapToGrid w:val="0"/>
        <w:spacing w:line="520" w:lineRule="exact"/>
        <w:ind w:left="3465" w:leftChars="1650"/>
        <w:rPr>
          <w:rFonts w:ascii="宋体" w:hAnsi="宋体"/>
        </w:rPr>
      </w:pPr>
      <w:r>
        <w:rPr>
          <w:rFonts w:hint="eastAsia" w:ascii="宋体" w:hAnsi="宋体"/>
        </w:rPr>
        <w:t>法定代表人或投标人授权代表（签署本人姓名或印盖本人姓名章）：</w:t>
      </w:r>
      <w:r>
        <w:rPr>
          <w:rFonts w:hint="eastAsia" w:ascii="宋体" w:hAnsi="宋体"/>
          <w:u w:val="single"/>
        </w:rPr>
        <w:t xml:space="preserve">             </w:t>
      </w:r>
    </w:p>
    <w:p>
      <w:pPr>
        <w:spacing w:line="360" w:lineRule="auto"/>
        <w:jc w:val="center"/>
        <w:rPr>
          <w:rFonts w:ascii="宋体" w:hAnsi="宋体"/>
          <w:sz w:val="24"/>
        </w:rPr>
      </w:pPr>
      <w:r>
        <w:rPr>
          <w:rFonts w:ascii="宋体" w:hAnsi="宋体"/>
          <w:b/>
          <w:sz w:val="24"/>
        </w:rPr>
        <w:t>招标代理服务费</w:t>
      </w:r>
      <w:r>
        <w:rPr>
          <w:rFonts w:hint="eastAsia" w:ascii="宋体" w:hAnsi="宋体"/>
          <w:b/>
          <w:sz w:val="24"/>
        </w:rPr>
        <w:t>的缴费账号</w:t>
      </w:r>
    </w:p>
    <w:tbl>
      <w:tblPr>
        <w:tblStyle w:val="18"/>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8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trPr>
        <w:tc>
          <w:tcPr>
            <w:tcW w:w="1525" w:type="dxa"/>
            <w:tcBorders>
              <w:top w:val="single" w:color="auto" w:sz="12" w:space="0"/>
              <w:left w:val="single" w:color="auto" w:sz="12" w:space="0"/>
            </w:tcBorders>
            <w:vAlign w:val="center"/>
          </w:tcPr>
          <w:p>
            <w:pPr>
              <w:jc w:val="center"/>
              <w:rPr>
                <w:rFonts w:ascii="宋体" w:hAnsi="宋体"/>
                <w:szCs w:val="21"/>
              </w:rPr>
            </w:pPr>
            <w:r>
              <w:rPr>
                <w:rFonts w:hint="eastAsia" w:ascii="宋体" w:hAnsi="宋体"/>
                <w:szCs w:val="21"/>
              </w:rPr>
              <w:t>缴纳方式</w:t>
            </w:r>
          </w:p>
        </w:tc>
        <w:tc>
          <w:tcPr>
            <w:tcW w:w="8437" w:type="dxa"/>
            <w:tcBorders>
              <w:top w:val="single" w:color="auto" w:sz="12" w:space="0"/>
              <w:right w:val="single" w:color="auto" w:sz="12" w:space="0"/>
            </w:tcBorders>
            <w:vAlign w:val="center"/>
          </w:tcPr>
          <w:p>
            <w:pPr>
              <w:jc w:val="center"/>
              <w:rPr>
                <w:rFonts w:ascii="宋体" w:hAnsi="宋体"/>
                <w:szCs w:val="21"/>
              </w:rPr>
            </w:pPr>
            <w:r>
              <w:rPr>
                <w:rFonts w:hint="eastAsia" w:ascii="宋体" w:hAnsi="宋体"/>
                <w:szCs w:val="21"/>
              </w:rPr>
              <w:t>一次性以支票、汇票、电汇的形式支付</w:t>
            </w:r>
          </w:p>
          <w:p>
            <w:pPr>
              <w:jc w:val="center"/>
              <w:rPr>
                <w:rFonts w:ascii="宋体" w:hAnsi="宋体"/>
                <w:szCs w:val="21"/>
              </w:rPr>
            </w:pPr>
            <w:r>
              <w:rPr>
                <w:rFonts w:hint="eastAsia" w:ascii="宋体" w:hAnsi="宋体"/>
                <w:szCs w:val="21"/>
              </w:rPr>
              <w:t>（注：采用汇款方式付款，汇款单位必须以投标人单位的对公账户支付）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525" w:type="dxa"/>
            <w:tcBorders>
              <w:left w:val="single" w:color="auto" w:sz="12" w:space="0"/>
            </w:tcBorders>
            <w:vAlign w:val="center"/>
          </w:tcPr>
          <w:p>
            <w:pPr>
              <w:jc w:val="center"/>
              <w:rPr>
                <w:rFonts w:ascii="宋体" w:hAnsi="宋体"/>
                <w:szCs w:val="21"/>
              </w:rPr>
            </w:pPr>
            <w:r>
              <w:rPr>
                <w:rFonts w:ascii="宋体" w:hAnsi="宋体"/>
                <w:szCs w:val="21"/>
              </w:rPr>
              <w:t>收款人名称</w:t>
            </w:r>
          </w:p>
        </w:tc>
        <w:tc>
          <w:tcPr>
            <w:tcW w:w="8437" w:type="dxa"/>
            <w:tcBorders>
              <w:right w:val="single" w:color="auto" w:sz="12" w:space="0"/>
            </w:tcBorders>
            <w:vAlign w:val="center"/>
          </w:tcPr>
          <w:p>
            <w:pPr>
              <w:jc w:val="center"/>
              <w:rPr>
                <w:rFonts w:ascii="宋体" w:hAnsi="宋体"/>
                <w:szCs w:val="21"/>
              </w:rPr>
            </w:pPr>
            <w:r>
              <w:rPr>
                <w:rFonts w:hint="eastAsia" w:ascii="宋体" w:hAnsi="宋体"/>
                <w:szCs w:val="21"/>
              </w:rPr>
              <w:t>广州宝诚招标代理咨询有限公司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525" w:type="dxa"/>
            <w:tcBorders>
              <w:left w:val="single" w:color="auto" w:sz="12" w:space="0"/>
            </w:tcBorders>
            <w:vAlign w:val="center"/>
          </w:tcPr>
          <w:p>
            <w:pPr>
              <w:jc w:val="center"/>
              <w:rPr>
                <w:rFonts w:ascii="宋体" w:hAnsi="宋体"/>
                <w:szCs w:val="21"/>
              </w:rPr>
            </w:pPr>
            <w:r>
              <w:rPr>
                <w:rFonts w:ascii="宋体" w:hAnsi="宋体"/>
                <w:szCs w:val="21"/>
              </w:rPr>
              <w:t>开户银行</w:t>
            </w:r>
          </w:p>
        </w:tc>
        <w:tc>
          <w:tcPr>
            <w:tcW w:w="8437" w:type="dxa"/>
            <w:tcBorders>
              <w:right w:val="single" w:color="auto" w:sz="12" w:space="0"/>
            </w:tcBorders>
            <w:vAlign w:val="center"/>
          </w:tcPr>
          <w:p>
            <w:pPr>
              <w:snapToGrid w:val="0"/>
              <w:spacing w:line="380" w:lineRule="exact"/>
              <w:ind w:firstLine="315" w:firstLineChars="150"/>
              <w:jc w:val="center"/>
              <w:rPr>
                <w:rFonts w:ascii="宋体" w:hAnsi="宋体"/>
                <w:szCs w:val="21"/>
              </w:rPr>
            </w:pPr>
            <w:r>
              <w:rPr>
                <w:rFonts w:hint="eastAsia" w:ascii="宋体" w:hAnsi="宋体"/>
                <w:szCs w:val="21"/>
              </w:rPr>
              <w:t>中国民生银行股份有限公司广州华南支行</w:t>
            </w:r>
            <w:r>
              <w:rPr>
                <w:rFonts w:ascii="宋体" w:hAnsi="宋体"/>
                <w:szCs w:val="21"/>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25" w:type="dxa"/>
            <w:tcBorders>
              <w:left w:val="single" w:color="auto" w:sz="12" w:space="0"/>
              <w:bottom w:val="single" w:color="auto" w:sz="12" w:space="0"/>
            </w:tcBorders>
            <w:vAlign w:val="center"/>
          </w:tcPr>
          <w:p>
            <w:pPr>
              <w:jc w:val="center"/>
              <w:rPr>
                <w:rFonts w:ascii="宋体" w:hAnsi="宋体"/>
                <w:szCs w:val="21"/>
              </w:rPr>
            </w:pPr>
            <w:r>
              <w:rPr>
                <w:rFonts w:hint="eastAsia" w:ascii="宋体" w:hAnsi="宋体"/>
                <w:szCs w:val="21"/>
              </w:rPr>
              <w:t>账</w:t>
            </w:r>
            <w:r>
              <w:rPr>
                <w:rFonts w:ascii="宋体" w:hAnsi="宋体"/>
                <w:szCs w:val="21"/>
              </w:rPr>
              <w:t xml:space="preserve">    号</w:t>
            </w:r>
          </w:p>
        </w:tc>
        <w:tc>
          <w:tcPr>
            <w:tcW w:w="8437" w:type="dxa"/>
            <w:tcBorders>
              <w:bottom w:val="single" w:color="auto" w:sz="12" w:space="0"/>
              <w:right w:val="single" w:color="auto" w:sz="12" w:space="0"/>
            </w:tcBorders>
            <w:vAlign w:val="center"/>
          </w:tcPr>
          <w:p>
            <w:pPr>
              <w:jc w:val="center"/>
              <w:rPr>
                <w:rFonts w:ascii="宋体" w:hAnsi="宋体"/>
                <w:szCs w:val="21"/>
              </w:rPr>
            </w:pPr>
            <w:r>
              <w:rPr>
                <w:rFonts w:hint="eastAsia" w:ascii="宋体" w:hAnsi="宋体"/>
                <w:szCs w:val="21"/>
              </w:rPr>
              <w:t>696614971</w:t>
            </w:r>
          </w:p>
        </w:tc>
      </w:tr>
    </w:tbl>
    <w:p>
      <w:pPr>
        <w:spacing w:line="520" w:lineRule="exact"/>
        <w:ind w:left="315"/>
        <w:rPr>
          <w:rFonts w:ascii="宋体" w:hAnsi="宋体"/>
        </w:rPr>
      </w:pPr>
    </w:p>
    <w:p>
      <w:pPr>
        <w:spacing w:line="440" w:lineRule="exact"/>
        <w:ind w:left="567"/>
        <w:rPr>
          <w:rFonts w:ascii="宋体" w:hAnsi="宋体"/>
          <w:b/>
          <w:sz w:val="28"/>
          <w:szCs w:val="28"/>
        </w:rPr>
      </w:pPr>
      <w:r>
        <w:rPr>
          <w:rFonts w:ascii="宋体" w:hAnsi="宋体"/>
        </w:rPr>
        <w:br w:type="page"/>
      </w:r>
    </w:p>
    <w:p>
      <w:pPr>
        <w:numPr>
          <w:ilvl w:val="0"/>
          <w:numId w:val="21"/>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开票资料说明函</w:t>
      </w:r>
    </w:p>
    <w:p>
      <w:pPr>
        <w:adjustRightInd w:val="0"/>
        <w:snapToGrid w:val="0"/>
        <w:spacing w:line="360" w:lineRule="auto"/>
        <w:rPr>
          <w:rFonts w:ascii="宋体" w:hAnsi="宋体"/>
          <w:b/>
        </w:rPr>
      </w:pPr>
      <w:r>
        <w:rPr>
          <w:rFonts w:hint="eastAsia" w:ascii="宋体" w:hAnsi="宋体"/>
          <w:b/>
        </w:rPr>
        <w:t>广州宝诚招标代理咨询有限公司:</w:t>
      </w:r>
    </w:p>
    <w:p>
      <w:pPr>
        <w:adjustRightInd w:val="0"/>
        <w:snapToGrid w:val="0"/>
        <w:spacing w:line="360" w:lineRule="auto"/>
        <w:ind w:firstLine="420" w:firstLineChars="200"/>
        <w:rPr>
          <w:rFonts w:ascii="宋体" w:hAnsi="宋体" w:cs="宋体"/>
          <w:szCs w:val="21"/>
        </w:rPr>
      </w:pPr>
      <w:r>
        <w:rPr>
          <w:rFonts w:hint="eastAsia" w:ascii="宋体" w:hAnsi="宋体"/>
        </w:rPr>
        <w:t>本公司</w:t>
      </w:r>
      <w:r>
        <w:rPr>
          <w:rFonts w:hint="eastAsia" w:ascii="宋体" w:hAnsi="宋体"/>
          <w:u w:val="single"/>
        </w:rPr>
        <w:t xml:space="preserve">       (投标人名称)      </w:t>
      </w:r>
      <w:r>
        <w:rPr>
          <w:rFonts w:hint="eastAsia" w:ascii="宋体" w:hAnsi="宋体"/>
        </w:rPr>
        <w:t>在参加在贵公司举行的</w:t>
      </w:r>
      <w:r>
        <w:rPr>
          <w:rFonts w:hint="eastAsia" w:ascii="宋体" w:hAnsi="宋体"/>
          <w:u w:val="single"/>
        </w:rPr>
        <w:t xml:space="preserve">       (项目名称)      </w:t>
      </w:r>
      <w:r>
        <w:rPr>
          <w:rFonts w:hint="eastAsia" w:ascii="宋体" w:hAnsi="宋体"/>
        </w:rPr>
        <w:t>(项目编号：</w:t>
      </w:r>
      <w:r>
        <w:rPr>
          <w:rFonts w:hint="eastAsia" w:ascii="宋体" w:hAnsi="宋体"/>
          <w:lang w:eastAsia="zh-CN"/>
        </w:rPr>
        <w:t>GZBC21FG06002-2</w:t>
      </w:r>
      <w:r>
        <w:rPr>
          <w:rFonts w:hint="eastAsia" w:ascii="宋体" w:hAnsi="宋体"/>
        </w:rPr>
        <w:t>)的招标中如获中标</w:t>
      </w:r>
      <w:r>
        <w:rPr>
          <w:rFonts w:hint="eastAsia" w:ascii="宋体" w:hAnsi="宋体" w:cs="宋体"/>
          <w:szCs w:val="21"/>
        </w:rPr>
        <w:t>，则开票类型选择</w:t>
      </w:r>
      <w:r>
        <w:rPr>
          <w:rFonts w:hint="eastAsia" w:ascii="宋体" w:hAnsi="宋体"/>
          <w:b/>
          <w:szCs w:val="21"/>
          <w:u w:val="single"/>
        </w:rPr>
        <w:t>□增值税普通发票□增值税专用发票</w:t>
      </w:r>
      <w:r>
        <w:rPr>
          <w:rFonts w:hint="eastAsia" w:ascii="宋体" w:hAnsi="宋体"/>
          <w:szCs w:val="21"/>
        </w:rPr>
        <w:t>（</w:t>
      </w:r>
      <w:r>
        <w:rPr>
          <w:rFonts w:hint="eastAsia" w:ascii="宋体" w:hAnsi="宋体"/>
          <w:b/>
          <w:szCs w:val="21"/>
        </w:rPr>
        <w:t>请在对应的“□”打“√”，且只能选择其中一项）</w:t>
      </w:r>
      <w:r>
        <w:rPr>
          <w:rFonts w:hint="eastAsia" w:ascii="宋体" w:hAnsi="宋体" w:cs="宋体"/>
          <w:szCs w:val="21"/>
        </w:rPr>
        <w:t>，以及我司的开票资料如下：</w:t>
      </w:r>
    </w:p>
    <w:tbl>
      <w:tblPr>
        <w:tblStyle w:val="18"/>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12"/>
        <w:gridCol w:w="4130"/>
        <w:gridCol w:w="1293"/>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单位名称</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szCs w:val="21"/>
              </w:rPr>
              <w:t>纳税人识别号</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地址</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72" w:hRule="atLeast"/>
          <w:jc w:val="center"/>
        </w:trPr>
        <w:tc>
          <w:tcPr>
            <w:tcW w:w="2712" w:type="dxa"/>
            <w:vAlign w:val="center"/>
          </w:tcPr>
          <w:p>
            <w:pPr>
              <w:jc w:val="center"/>
              <w:rPr>
                <w:rFonts w:ascii="宋体" w:hAnsi="宋体"/>
              </w:rPr>
            </w:pPr>
            <w:r>
              <w:rPr>
                <w:rFonts w:hint="eastAsia" w:ascii="宋体" w:hAnsi="宋体"/>
              </w:rPr>
              <w:t>开户银行</w:t>
            </w:r>
            <w:r>
              <w:rPr>
                <w:rFonts w:ascii="宋体" w:hAnsi="宋体"/>
              </w:rPr>
              <w:br w:type="textWrapping"/>
            </w:r>
            <w:r>
              <w:rPr>
                <w:rFonts w:hint="eastAsia" w:ascii="宋体" w:hAnsi="宋体"/>
                <w:sz w:val="20"/>
                <w:szCs w:val="20"/>
              </w:rPr>
              <w:t>（具体到XX银行XX支行）</w:t>
            </w:r>
          </w:p>
        </w:tc>
        <w:tc>
          <w:tcPr>
            <w:tcW w:w="4130" w:type="dxa"/>
            <w:vAlign w:val="center"/>
          </w:tcPr>
          <w:p>
            <w:pPr>
              <w:jc w:val="center"/>
              <w:rPr>
                <w:rFonts w:ascii="宋体" w:hAnsi="宋体"/>
              </w:rPr>
            </w:pPr>
          </w:p>
        </w:tc>
        <w:tc>
          <w:tcPr>
            <w:tcW w:w="1293" w:type="dxa"/>
            <w:vAlign w:val="center"/>
          </w:tcPr>
          <w:p>
            <w:pPr>
              <w:jc w:val="center"/>
              <w:rPr>
                <w:rFonts w:ascii="宋体" w:hAnsi="宋体"/>
              </w:rPr>
            </w:pPr>
            <w:r>
              <w:rPr>
                <w:rFonts w:hint="eastAsia" w:ascii="宋体" w:hAnsi="宋体"/>
              </w:rPr>
              <w:t>联系电话</w:t>
            </w:r>
          </w:p>
        </w:tc>
        <w:tc>
          <w:tcPr>
            <w:tcW w:w="1827"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账    号</w:t>
            </w:r>
          </w:p>
        </w:tc>
        <w:tc>
          <w:tcPr>
            <w:tcW w:w="4130" w:type="dxa"/>
            <w:vAlign w:val="center"/>
          </w:tcPr>
          <w:p>
            <w:pPr>
              <w:jc w:val="center"/>
              <w:rPr>
                <w:rFonts w:ascii="宋体" w:hAnsi="宋体"/>
              </w:rPr>
            </w:pPr>
          </w:p>
        </w:tc>
        <w:tc>
          <w:tcPr>
            <w:tcW w:w="1293" w:type="dxa"/>
            <w:vAlign w:val="center"/>
          </w:tcPr>
          <w:p>
            <w:pPr>
              <w:jc w:val="center"/>
              <w:rPr>
                <w:rFonts w:ascii="宋体" w:hAnsi="宋体"/>
              </w:rPr>
            </w:pPr>
            <w:r>
              <w:rPr>
                <w:rFonts w:hint="eastAsia" w:ascii="宋体" w:hAnsi="宋体"/>
              </w:rPr>
              <w:t>联系人</w:t>
            </w:r>
          </w:p>
        </w:tc>
        <w:tc>
          <w:tcPr>
            <w:tcW w:w="1827"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73" w:hRule="atLeast"/>
          <w:jc w:val="center"/>
        </w:trPr>
        <w:tc>
          <w:tcPr>
            <w:tcW w:w="9962" w:type="dxa"/>
            <w:gridSpan w:val="4"/>
            <w:vAlign w:val="center"/>
          </w:tcPr>
          <w:p>
            <w:pPr>
              <w:rPr>
                <w:rFonts w:ascii="宋体" w:hAnsi="宋体"/>
                <w:b/>
              </w:rPr>
            </w:pPr>
            <w:r>
              <w:rPr>
                <w:rFonts w:hint="eastAsia" w:ascii="宋体" w:hAnsi="宋体"/>
                <w:b/>
              </w:rPr>
              <w:t>附件：</w:t>
            </w:r>
            <w:r>
              <w:rPr>
                <w:rFonts w:hint="eastAsia" w:ascii="宋体" w:hAnsi="宋体"/>
                <w:b/>
                <w:szCs w:val="21"/>
              </w:rPr>
              <w:t>一般纳税人资格认定税务通知书或其他可证明具有该项资格证明文件的复印件。（加盖公章）</w:t>
            </w:r>
          </w:p>
        </w:tc>
      </w:tr>
    </w:tbl>
    <w:p>
      <w:pPr>
        <w:adjustRightInd w:val="0"/>
        <w:snapToGrid w:val="0"/>
        <w:spacing w:line="360" w:lineRule="auto"/>
        <w:ind w:firstLine="420" w:firstLineChars="200"/>
        <w:rPr>
          <w:rFonts w:ascii="宋体" w:hAnsi="宋体"/>
        </w:rPr>
      </w:pPr>
      <w:r>
        <w:rPr>
          <w:rFonts w:hint="eastAsia" w:ascii="宋体" w:hAnsi="宋体"/>
        </w:rPr>
        <w:t>开标当日，如我公司未按该要求填写、未提供有效的开票资料、未确认开具发票类型或确认的发票类型有误，则视为开具增值税普通发票。同意广州宝诚招标代理咨询有限公司不予更换发票类型。并愿承担由此引起的一切后果。</w:t>
      </w:r>
    </w:p>
    <w:p>
      <w:pPr>
        <w:spacing w:line="360" w:lineRule="auto"/>
        <w:ind w:left="4725"/>
        <w:rPr>
          <w:rFonts w:ascii="宋体" w:hAnsi="宋体"/>
        </w:rPr>
      </w:pPr>
    </w:p>
    <w:p>
      <w:pPr>
        <w:spacing w:line="360" w:lineRule="auto"/>
        <w:ind w:left="4725"/>
        <w:rPr>
          <w:rFonts w:ascii="宋体" w:hAnsi="宋体"/>
          <w:szCs w:val="21"/>
        </w:rPr>
      </w:pPr>
      <w:r>
        <w:rPr>
          <w:rFonts w:hint="eastAsia" w:ascii="宋体" w:hAnsi="宋体"/>
          <w:szCs w:val="21"/>
        </w:rPr>
        <w:t>投标人名称（公章）：</w:t>
      </w:r>
      <w:r>
        <w:rPr>
          <w:rFonts w:hint="eastAsia" w:ascii="宋体" w:hAnsi="宋体"/>
          <w:u w:val="single"/>
        </w:rPr>
        <w:t xml:space="preserve">             </w:t>
      </w:r>
    </w:p>
    <w:p>
      <w:pPr>
        <w:spacing w:line="360" w:lineRule="auto"/>
        <w:ind w:left="4725"/>
        <w:rPr>
          <w:rFonts w:ascii="宋体" w:hAnsi="宋体"/>
          <w:szCs w:val="21"/>
        </w:rPr>
      </w:pPr>
      <w:r>
        <w:rPr>
          <w:rFonts w:hint="eastAsia" w:ascii="宋体" w:hAnsi="宋体"/>
          <w:szCs w:val="21"/>
        </w:rPr>
        <w:t>投标人地址：</w:t>
      </w:r>
      <w:r>
        <w:rPr>
          <w:rFonts w:hint="eastAsia" w:ascii="宋体" w:hAnsi="宋体"/>
          <w:u w:val="single"/>
        </w:rPr>
        <w:t xml:space="preserve">              </w:t>
      </w:r>
    </w:p>
    <w:p>
      <w:pPr>
        <w:spacing w:line="440" w:lineRule="exact"/>
        <w:rPr>
          <w:rFonts w:ascii="宋体" w:hAnsi="宋体"/>
          <w:u w:val="single"/>
        </w:rPr>
      </w:pPr>
      <w:r>
        <w:rPr>
          <w:rFonts w:hint="eastAsia" w:ascii="宋体" w:hAnsi="宋体"/>
          <w:szCs w:val="21"/>
        </w:rPr>
        <w:t>法定代表人或投标人授权代表（签署本人姓名或印盖本人姓名章）：</w:t>
      </w:r>
      <w:r>
        <w:rPr>
          <w:rFonts w:hint="eastAsia" w:ascii="宋体" w:hAnsi="宋体"/>
          <w:u w:val="single"/>
        </w:rPr>
        <w:t xml:space="preserve">              </w:t>
      </w:r>
    </w:p>
    <w:p>
      <w:pPr>
        <w:spacing w:line="440" w:lineRule="exact"/>
        <w:rPr>
          <w:rFonts w:ascii="宋体" w:hAnsi="宋体"/>
          <w:b/>
          <w:bCs/>
          <w:sz w:val="28"/>
          <w:szCs w:val="28"/>
        </w:rPr>
      </w:pPr>
      <w:r>
        <w:rPr>
          <w:rFonts w:hint="eastAsia" w:ascii="宋体" w:hAnsi="宋体"/>
          <w:b/>
          <w:bCs/>
          <w:sz w:val="28"/>
          <w:szCs w:val="28"/>
        </w:rPr>
        <w:br w:type="page"/>
      </w:r>
    </w:p>
    <w:p>
      <w:pPr>
        <w:pStyle w:val="17"/>
        <w:rPr>
          <w:u w:val="single"/>
        </w:rPr>
      </w:pPr>
    </w:p>
    <w:p>
      <w:pPr>
        <w:spacing w:beforeLines="50" w:afterLines="50" w:line="360" w:lineRule="auto"/>
        <w:jc w:val="center"/>
        <w:outlineLvl w:val="0"/>
        <w:rPr>
          <w:rFonts w:ascii="宋体" w:hAnsi="宋体"/>
          <w:b/>
          <w:bCs/>
          <w:sz w:val="28"/>
          <w:szCs w:val="28"/>
        </w:rPr>
      </w:pPr>
      <w:bookmarkStart w:id="28" w:name="_Toc438223019"/>
      <w:bookmarkStart w:id="29" w:name="_Toc480529443"/>
      <w:bookmarkStart w:id="30" w:name="_Toc435516649"/>
      <w:bookmarkStart w:id="31" w:name="_Toc435174932"/>
      <w:bookmarkStart w:id="32" w:name="_Toc435542344"/>
      <w:bookmarkStart w:id="33" w:name="_Toc8183"/>
      <w:r>
        <w:rPr>
          <w:rFonts w:hint="eastAsia" w:ascii="宋体" w:hAnsi="宋体"/>
          <w:b/>
          <w:bCs/>
          <w:sz w:val="28"/>
          <w:szCs w:val="28"/>
        </w:rPr>
        <w:t>第七章  投标人须知</w:t>
      </w:r>
      <w:bookmarkEnd w:id="28"/>
      <w:bookmarkEnd w:id="29"/>
      <w:bookmarkEnd w:id="30"/>
      <w:bookmarkEnd w:id="31"/>
      <w:bookmarkEnd w:id="32"/>
      <w:bookmarkStart w:id="34" w:name="_Toc292267790"/>
      <w:bookmarkStart w:id="35" w:name="_Toc435114677"/>
      <w:bookmarkStart w:id="36" w:name="_Toc435516648"/>
      <w:bookmarkStart w:id="37" w:name="_Toc435114676"/>
      <w:bookmarkStart w:id="38" w:name="_Toc435542343"/>
      <w:bookmarkStart w:id="39" w:name="_Toc438223018"/>
      <w:bookmarkStart w:id="40" w:name="_Toc435174931"/>
      <w:r>
        <w:rPr>
          <w:rFonts w:hint="eastAsia" w:ascii="宋体" w:hAnsi="宋体"/>
          <w:b/>
          <w:bCs/>
          <w:sz w:val="28"/>
          <w:szCs w:val="28"/>
        </w:rPr>
        <w:t>（</w:t>
      </w:r>
      <w:bookmarkEnd w:id="34"/>
      <w:r>
        <w:rPr>
          <w:rFonts w:hint="eastAsia" w:ascii="宋体" w:hAnsi="宋体"/>
          <w:b/>
          <w:bCs/>
          <w:sz w:val="28"/>
          <w:szCs w:val="28"/>
        </w:rPr>
        <w:t>通用条款）</w:t>
      </w:r>
      <w:bookmarkEnd w:id="33"/>
      <w:bookmarkEnd w:id="35"/>
      <w:bookmarkEnd w:id="36"/>
      <w:bookmarkEnd w:id="37"/>
      <w:bookmarkEnd w:id="38"/>
      <w:bookmarkEnd w:id="39"/>
      <w:bookmarkEnd w:id="40"/>
    </w:p>
    <w:p>
      <w:pPr>
        <w:numPr>
          <w:ilvl w:val="0"/>
          <w:numId w:val="27"/>
        </w:numPr>
        <w:autoSpaceDE w:val="0"/>
        <w:autoSpaceDN w:val="0"/>
        <w:adjustRightInd w:val="0"/>
        <w:snapToGrid w:val="0"/>
        <w:spacing w:beforeLines="100" w:afterLines="100"/>
        <w:ind w:left="1012" w:hanging="1012" w:hangingChars="360"/>
        <w:jc w:val="center"/>
        <w:outlineLvl w:val="1"/>
        <w:rPr>
          <w:rFonts w:ascii="宋体" w:hAnsi="宋体"/>
          <w:b/>
          <w:sz w:val="28"/>
          <w:szCs w:val="28"/>
        </w:rPr>
      </w:pPr>
      <w:bookmarkStart w:id="41" w:name="_Toc435542345"/>
      <w:bookmarkStart w:id="42" w:name="_Toc438223020"/>
      <w:r>
        <w:rPr>
          <w:rFonts w:ascii="宋体" w:hAnsi="宋体"/>
          <w:b/>
          <w:sz w:val="28"/>
          <w:szCs w:val="28"/>
          <w:lang w:eastAsia="zh-TW"/>
        </w:rPr>
        <w:t>说 明</w:t>
      </w:r>
      <w:bookmarkEnd w:id="41"/>
      <w:bookmarkEnd w:id="42"/>
      <w:bookmarkStart w:id="43" w:name="_Toc292267791"/>
    </w:p>
    <w:bookmarkEnd w:id="43"/>
    <w:p>
      <w:pPr>
        <w:numPr>
          <w:ilvl w:val="0"/>
          <w:numId w:val="28"/>
        </w:numPr>
        <w:autoSpaceDE w:val="0"/>
        <w:autoSpaceDN w:val="0"/>
        <w:adjustRightInd w:val="0"/>
        <w:snapToGrid w:val="0"/>
        <w:spacing w:line="360" w:lineRule="auto"/>
        <w:ind w:left="449" w:hanging="449" w:hangingChars="213"/>
        <w:outlineLvl w:val="2"/>
        <w:rPr>
          <w:rFonts w:ascii="宋体" w:hAnsi="宋体"/>
          <w:b/>
          <w:szCs w:val="21"/>
        </w:rPr>
      </w:pPr>
      <w:bookmarkStart w:id="44" w:name="_Toc237787451"/>
      <w:r>
        <w:rPr>
          <w:rFonts w:hint="eastAsia" w:ascii="宋体" w:hAnsi="宋体"/>
          <w:b/>
          <w:szCs w:val="21"/>
        </w:rPr>
        <w:t>采购项目与采购当事人说明</w:t>
      </w:r>
      <w:bookmarkEnd w:id="44"/>
    </w:p>
    <w:p>
      <w:pPr>
        <w:numPr>
          <w:ilvl w:val="1"/>
          <w:numId w:val="28"/>
        </w:numPr>
        <w:autoSpaceDE w:val="0"/>
        <w:autoSpaceDN w:val="0"/>
        <w:adjustRightInd w:val="0"/>
        <w:snapToGrid w:val="0"/>
        <w:spacing w:line="360" w:lineRule="auto"/>
        <w:jc w:val="left"/>
        <w:rPr>
          <w:rFonts w:ascii="宋体" w:hAnsi="宋体"/>
          <w:szCs w:val="21"/>
        </w:rPr>
      </w:pPr>
      <w:bookmarkStart w:id="45" w:name="_Toc237787452"/>
      <w:r>
        <w:rPr>
          <w:rFonts w:hint="eastAsia" w:ascii="宋体" w:hAnsi="宋体"/>
          <w:szCs w:val="21"/>
        </w:rPr>
        <w:t>采购人指依法进行政府采购的</w:t>
      </w:r>
      <w:r>
        <w:rPr>
          <w:rFonts w:ascii="宋体" w:hAnsi="宋体"/>
          <w:szCs w:val="21"/>
        </w:rPr>
        <w:t>国家机关、事业单位和团体组织</w:t>
      </w:r>
      <w:r>
        <w:rPr>
          <w:rFonts w:hint="eastAsia" w:ascii="宋体" w:hAnsi="宋体"/>
          <w:szCs w:val="21"/>
        </w:rPr>
        <w:t>。本招标文件</w:t>
      </w:r>
      <w:r>
        <w:rPr>
          <w:rFonts w:hint="eastAsia" w:ascii="宋体" w:hAnsi="宋体"/>
          <w:b/>
          <w:szCs w:val="21"/>
        </w:rPr>
        <w:t>投标资料表</w:t>
      </w:r>
      <w:r>
        <w:rPr>
          <w:rFonts w:hint="eastAsia" w:ascii="宋体" w:hAnsi="宋体"/>
          <w:szCs w:val="21"/>
        </w:rPr>
        <w:t>中所述的采购人已拥有一笔财政性资金/贷款。采购人计划将一部分或全部资金/贷款用于支付本次招标后所签订合同项下的款项</w:t>
      </w:r>
      <w:r>
        <w:rPr>
          <w:rFonts w:hint="eastAsia" w:ascii="宋体" w:hAnsi="宋体" w:cs="宋体"/>
          <w:szCs w:val="21"/>
        </w:rPr>
        <w:t>。</w:t>
      </w:r>
    </w:p>
    <w:bookmarkEnd w:id="45"/>
    <w:p>
      <w:pPr>
        <w:numPr>
          <w:ilvl w:val="1"/>
          <w:numId w:val="28"/>
        </w:numPr>
        <w:autoSpaceDE w:val="0"/>
        <w:autoSpaceDN w:val="0"/>
        <w:adjustRightInd w:val="0"/>
        <w:snapToGrid w:val="0"/>
        <w:spacing w:line="360" w:lineRule="auto"/>
        <w:jc w:val="left"/>
        <w:rPr>
          <w:rFonts w:ascii="宋体" w:hAnsi="宋体"/>
          <w:b/>
          <w:szCs w:val="21"/>
        </w:rPr>
      </w:pPr>
      <w:bookmarkStart w:id="46" w:name="_Toc237787453"/>
      <w:r>
        <w:rPr>
          <w:rFonts w:hint="eastAsia" w:ascii="宋体" w:hAnsi="宋体"/>
          <w:szCs w:val="21"/>
        </w:rPr>
        <w:t>本次采购项目的采购代理机构的名称、地址、电话、传真和电子邮箱见</w:t>
      </w:r>
      <w:r>
        <w:rPr>
          <w:rFonts w:hint="eastAsia" w:ascii="宋体" w:hAnsi="宋体"/>
          <w:b/>
          <w:szCs w:val="21"/>
        </w:rPr>
        <w:t>投标资料表。</w:t>
      </w:r>
    </w:p>
    <w:p>
      <w:pPr>
        <w:numPr>
          <w:ilvl w:val="1"/>
          <w:numId w:val="28"/>
        </w:numPr>
        <w:autoSpaceDE w:val="0"/>
        <w:autoSpaceDN w:val="0"/>
        <w:adjustRightInd w:val="0"/>
        <w:snapToGrid w:val="0"/>
        <w:spacing w:line="360" w:lineRule="auto"/>
        <w:jc w:val="left"/>
        <w:rPr>
          <w:rFonts w:ascii="宋体" w:hAnsi="宋体"/>
          <w:b/>
          <w:szCs w:val="21"/>
        </w:rPr>
      </w:pPr>
      <w:r>
        <w:rPr>
          <w:rFonts w:hint="eastAsia" w:ascii="宋体" w:hAnsi="宋体"/>
          <w:szCs w:val="21"/>
        </w:rPr>
        <w:t>本次采购项目资金性质见</w:t>
      </w:r>
      <w:r>
        <w:rPr>
          <w:rFonts w:hint="eastAsia" w:ascii="宋体" w:hAnsi="宋体"/>
          <w:b/>
          <w:szCs w:val="21"/>
        </w:rPr>
        <w:t>投标资料表。</w:t>
      </w:r>
      <w:bookmarkEnd w:id="46"/>
    </w:p>
    <w:p>
      <w:pPr>
        <w:numPr>
          <w:ilvl w:val="0"/>
          <w:numId w:val="28"/>
        </w:numPr>
        <w:autoSpaceDE w:val="0"/>
        <w:autoSpaceDN w:val="0"/>
        <w:adjustRightInd w:val="0"/>
        <w:snapToGrid w:val="0"/>
        <w:spacing w:line="360" w:lineRule="auto"/>
        <w:ind w:left="449" w:hanging="449" w:hangingChars="213"/>
        <w:outlineLvl w:val="2"/>
        <w:rPr>
          <w:rFonts w:ascii="宋体" w:hAnsi="宋体"/>
          <w:b/>
          <w:szCs w:val="21"/>
        </w:rPr>
      </w:pPr>
      <w:bookmarkStart w:id="47" w:name="_Toc237787454"/>
      <w:r>
        <w:rPr>
          <w:rFonts w:hint="eastAsia" w:ascii="宋体" w:hAnsi="宋体"/>
          <w:b/>
          <w:szCs w:val="21"/>
        </w:rPr>
        <w:t>定义及解释</w:t>
      </w:r>
      <w:bookmarkEnd w:id="47"/>
    </w:p>
    <w:p>
      <w:pPr>
        <w:widowControl/>
        <w:numPr>
          <w:ilvl w:val="1"/>
          <w:numId w:val="28"/>
        </w:numPr>
        <w:adjustRightInd w:val="0"/>
        <w:snapToGrid w:val="0"/>
        <w:spacing w:line="360" w:lineRule="auto"/>
        <w:jc w:val="left"/>
        <w:rPr>
          <w:rFonts w:ascii="宋体" w:hAnsi="宋体"/>
          <w:szCs w:val="21"/>
        </w:rPr>
      </w:pPr>
      <w:bookmarkStart w:id="48" w:name="_Toc237787457"/>
      <w:r>
        <w:rPr>
          <w:rFonts w:hint="eastAsia" w:ascii="宋体" w:hAnsi="宋体"/>
          <w:szCs w:val="21"/>
        </w:rPr>
        <w:t>服务：投标人按招标文件规定完成的全部服务内容，其中包括完成服务所需的货物，以及须承担的技术支持、培训和其它伴随服务。</w:t>
      </w:r>
    </w:p>
    <w:p>
      <w:pPr>
        <w:widowControl/>
        <w:numPr>
          <w:ilvl w:val="1"/>
          <w:numId w:val="28"/>
        </w:numPr>
        <w:adjustRightInd w:val="0"/>
        <w:snapToGrid w:val="0"/>
        <w:spacing w:line="360" w:lineRule="auto"/>
        <w:jc w:val="left"/>
        <w:rPr>
          <w:rFonts w:ascii="宋体" w:hAnsi="宋体"/>
          <w:szCs w:val="21"/>
        </w:rPr>
      </w:pPr>
      <w:r>
        <w:rPr>
          <w:rFonts w:hint="eastAsia" w:ascii="宋体" w:hAnsi="宋体"/>
          <w:szCs w:val="21"/>
        </w:rPr>
        <w:t>货物：投标人制造或组织符合招标文件要求的货物等。投标的货物必须是其合法生产、合法来源的符合国家有关标准要求的货物，并满足招标文件规定的规格、参数、质量、价格、有效期、售后服务等要求。</w:t>
      </w:r>
    </w:p>
    <w:bookmarkEnd w:id="48"/>
    <w:p>
      <w:pPr>
        <w:widowControl/>
        <w:numPr>
          <w:ilvl w:val="1"/>
          <w:numId w:val="28"/>
        </w:numPr>
        <w:adjustRightInd w:val="0"/>
        <w:snapToGrid w:val="0"/>
        <w:spacing w:line="360" w:lineRule="auto"/>
        <w:jc w:val="left"/>
        <w:rPr>
          <w:rFonts w:ascii="宋体" w:hAnsi="宋体"/>
          <w:szCs w:val="21"/>
        </w:rPr>
      </w:pPr>
      <w:r>
        <w:rPr>
          <w:rFonts w:hint="eastAsia" w:ascii="宋体" w:hAnsi="宋体"/>
          <w:szCs w:val="21"/>
        </w:rPr>
        <w:t>招标采购单位：采购人和采购代理机构。</w:t>
      </w:r>
    </w:p>
    <w:p>
      <w:pPr>
        <w:numPr>
          <w:ilvl w:val="1"/>
          <w:numId w:val="28"/>
        </w:numPr>
        <w:autoSpaceDE w:val="0"/>
        <w:autoSpaceDN w:val="0"/>
        <w:adjustRightInd w:val="0"/>
        <w:snapToGrid w:val="0"/>
        <w:spacing w:line="360" w:lineRule="auto"/>
        <w:rPr>
          <w:rFonts w:ascii="宋体" w:hAnsi="宋体" w:cs="黑体"/>
          <w:b/>
          <w:bCs/>
          <w:szCs w:val="21"/>
        </w:rPr>
      </w:pPr>
      <w:r>
        <w:rPr>
          <w:rFonts w:hint="eastAsia" w:ascii="宋体" w:hAnsi="宋体"/>
          <w:szCs w:val="21"/>
        </w:rPr>
        <w:t>监管部门：</w:t>
      </w:r>
      <w:r>
        <w:rPr>
          <w:rFonts w:hint="eastAsia" w:ascii="宋体" w:hAnsi="宋体" w:cs="宋体"/>
          <w:szCs w:val="21"/>
          <w:lang w:eastAsia="zh-TW"/>
        </w:rPr>
        <w:t>同级</w:t>
      </w:r>
      <w:r>
        <w:rPr>
          <w:rFonts w:hint="eastAsia" w:ascii="宋体" w:hAnsi="宋体" w:cs="宋体"/>
          <w:szCs w:val="21"/>
        </w:rPr>
        <w:t>或</w:t>
      </w:r>
      <w:r>
        <w:rPr>
          <w:rFonts w:hint="eastAsia" w:ascii="宋体" w:hAnsi="宋体" w:cs="宋体"/>
          <w:szCs w:val="21"/>
          <w:lang w:eastAsia="zh-TW"/>
        </w:rPr>
        <w:t>以上人民政府财政部门</w:t>
      </w:r>
      <w:r>
        <w:rPr>
          <w:rFonts w:hint="eastAsia" w:ascii="宋体" w:hAnsi="宋体" w:cs="宋体"/>
          <w:szCs w:val="21"/>
        </w:rPr>
        <w:t>。</w:t>
      </w:r>
    </w:p>
    <w:p>
      <w:pPr>
        <w:widowControl/>
        <w:numPr>
          <w:ilvl w:val="1"/>
          <w:numId w:val="28"/>
        </w:numPr>
        <w:adjustRightInd w:val="0"/>
        <w:snapToGrid w:val="0"/>
        <w:spacing w:line="360" w:lineRule="auto"/>
        <w:jc w:val="left"/>
        <w:rPr>
          <w:rFonts w:ascii="宋体" w:hAnsi="宋体"/>
          <w:szCs w:val="21"/>
        </w:rPr>
      </w:pPr>
      <w:bookmarkStart w:id="49" w:name="_Toc237787460"/>
      <w:r>
        <w:rPr>
          <w:rFonts w:hint="eastAsia" w:ascii="宋体" w:hAnsi="宋体"/>
          <w:szCs w:val="21"/>
        </w:rPr>
        <w:t>评标委员会：是依法组建的、负责本次采购的评标工作的临时性机构。</w:t>
      </w:r>
      <w:bookmarkEnd w:id="49"/>
    </w:p>
    <w:p>
      <w:pPr>
        <w:widowControl/>
        <w:numPr>
          <w:ilvl w:val="1"/>
          <w:numId w:val="28"/>
        </w:numPr>
        <w:adjustRightInd w:val="0"/>
        <w:snapToGrid w:val="0"/>
        <w:spacing w:line="360" w:lineRule="auto"/>
        <w:jc w:val="left"/>
        <w:rPr>
          <w:rFonts w:ascii="宋体" w:hAnsi="宋体"/>
          <w:szCs w:val="21"/>
        </w:rPr>
      </w:pPr>
      <w:r>
        <w:rPr>
          <w:rFonts w:hint="eastAsia" w:ascii="宋体" w:hAnsi="宋体"/>
          <w:szCs w:val="21"/>
        </w:rPr>
        <w:t>中标人：经法定程序确定并授予合同的投标人。</w:t>
      </w:r>
    </w:p>
    <w:p>
      <w:pPr>
        <w:widowControl/>
        <w:numPr>
          <w:ilvl w:val="1"/>
          <w:numId w:val="28"/>
        </w:numPr>
        <w:adjustRightInd w:val="0"/>
        <w:snapToGrid w:val="0"/>
        <w:spacing w:line="360" w:lineRule="auto"/>
        <w:jc w:val="left"/>
        <w:rPr>
          <w:rFonts w:ascii="宋体" w:hAnsi="宋体"/>
          <w:szCs w:val="21"/>
        </w:rPr>
      </w:pPr>
      <w:bookmarkStart w:id="50" w:name="_Toc237787461"/>
      <w:r>
        <w:rPr>
          <w:rFonts w:hint="eastAsia" w:ascii="宋体" w:hAnsi="宋体"/>
          <w:szCs w:val="21"/>
        </w:rPr>
        <w:t>日期：指公历日。</w:t>
      </w:r>
      <w:bookmarkEnd w:id="50"/>
    </w:p>
    <w:p>
      <w:pPr>
        <w:widowControl/>
        <w:numPr>
          <w:ilvl w:val="1"/>
          <w:numId w:val="28"/>
        </w:numPr>
        <w:adjustRightInd w:val="0"/>
        <w:snapToGrid w:val="0"/>
        <w:spacing w:line="360" w:lineRule="auto"/>
        <w:jc w:val="left"/>
        <w:rPr>
          <w:rFonts w:ascii="宋体" w:hAnsi="宋体"/>
          <w:szCs w:val="21"/>
        </w:rPr>
      </w:pPr>
      <w:bookmarkStart w:id="51" w:name="_Toc237787462"/>
      <w:r>
        <w:rPr>
          <w:rFonts w:hint="eastAsia" w:ascii="宋体" w:hAnsi="宋体"/>
          <w:szCs w:val="21"/>
        </w:rPr>
        <w:t>合同：依据本次货物及服务招标采购结果签订的协议。</w:t>
      </w:r>
      <w:bookmarkEnd w:id="51"/>
    </w:p>
    <w:p>
      <w:pPr>
        <w:widowControl/>
        <w:numPr>
          <w:ilvl w:val="1"/>
          <w:numId w:val="28"/>
        </w:numPr>
        <w:adjustRightInd w:val="0"/>
        <w:snapToGrid w:val="0"/>
        <w:spacing w:line="360" w:lineRule="auto"/>
        <w:jc w:val="left"/>
        <w:rPr>
          <w:rFonts w:ascii="宋体" w:hAnsi="宋体"/>
          <w:szCs w:val="21"/>
        </w:rPr>
      </w:pPr>
      <w:bookmarkStart w:id="52" w:name="_Toc237787463"/>
      <w:r>
        <w:rPr>
          <w:rFonts w:hint="eastAsia" w:ascii="宋体" w:hAnsi="宋体"/>
          <w:szCs w:val="21"/>
        </w:rPr>
        <w:t>招标文件中的标题或题名仅起引导作用，而不应视为对招标文件内容的理解和解释。</w:t>
      </w:r>
      <w:bookmarkEnd w:id="52"/>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合格的投标人</w:t>
      </w:r>
    </w:p>
    <w:p>
      <w:pPr>
        <w:numPr>
          <w:ilvl w:val="1"/>
          <w:numId w:val="2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投标人是响应招标、已在采购代理机构处成功办理报名登记及购买招标文件并参加投标竞争的中华人民共和国境内的法人、其他组织或者自然人。</w:t>
      </w:r>
    </w:p>
    <w:p>
      <w:pPr>
        <w:numPr>
          <w:ilvl w:val="1"/>
          <w:numId w:val="2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符合《中华人民共和国政府采购法》第二十二条规定：</w:t>
      </w:r>
    </w:p>
    <w:p>
      <w:pPr>
        <w:numPr>
          <w:ilvl w:val="2"/>
          <w:numId w:val="28"/>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具有独立承担民事责任的能力。</w:t>
      </w:r>
    </w:p>
    <w:p>
      <w:pPr>
        <w:numPr>
          <w:ilvl w:val="2"/>
          <w:numId w:val="28"/>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具有良好的商业信誉和健全的财务会计制度</w:t>
      </w:r>
      <w:r>
        <w:rPr>
          <w:rFonts w:hint="eastAsia" w:ascii="宋体" w:hAnsi="宋体"/>
          <w:szCs w:val="21"/>
        </w:rPr>
        <w:t>。</w:t>
      </w:r>
    </w:p>
    <w:p>
      <w:pPr>
        <w:numPr>
          <w:ilvl w:val="2"/>
          <w:numId w:val="28"/>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具有履行合同所必需的设备和专业技术能力</w:t>
      </w:r>
      <w:r>
        <w:rPr>
          <w:rFonts w:hint="eastAsia" w:ascii="宋体" w:hAnsi="宋体"/>
          <w:szCs w:val="21"/>
        </w:rPr>
        <w:t>。</w:t>
      </w:r>
    </w:p>
    <w:p>
      <w:pPr>
        <w:numPr>
          <w:ilvl w:val="2"/>
          <w:numId w:val="28"/>
        </w:numPr>
        <w:tabs>
          <w:tab w:val="left" w:pos="851"/>
        </w:tabs>
        <w:autoSpaceDE w:val="0"/>
        <w:autoSpaceDN w:val="0"/>
        <w:adjustRightInd w:val="0"/>
        <w:snapToGrid w:val="0"/>
        <w:spacing w:line="360" w:lineRule="auto"/>
        <w:rPr>
          <w:rFonts w:ascii="宋体" w:hAnsi="宋体"/>
          <w:szCs w:val="21"/>
        </w:rPr>
      </w:pPr>
      <w:r>
        <w:rPr>
          <w:rFonts w:ascii="宋体" w:hAnsi="宋体"/>
          <w:szCs w:val="21"/>
        </w:rPr>
        <w:t>有依法缴纳税收和社会保障资金的良好记录</w:t>
      </w:r>
      <w:r>
        <w:rPr>
          <w:rFonts w:hint="eastAsia" w:ascii="宋体" w:hAnsi="宋体"/>
          <w:szCs w:val="21"/>
        </w:rPr>
        <w:t>。</w:t>
      </w:r>
    </w:p>
    <w:p>
      <w:pPr>
        <w:numPr>
          <w:ilvl w:val="2"/>
          <w:numId w:val="28"/>
        </w:numPr>
        <w:tabs>
          <w:tab w:val="left" w:pos="851"/>
        </w:tabs>
        <w:autoSpaceDE w:val="0"/>
        <w:autoSpaceDN w:val="0"/>
        <w:adjustRightInd w:val="0"/>
        <w:snapToGrid w:val="0"/>
        <w:spacing w:line="360" w:lineRule="auto"/>
        <w:rPr>
          <w:rFonts w:ascii="宋体" w:hAnsi="宋体"/>
          <w:szCs w:val="21"/>
        </w:rPr>
      </w:pPr>
      <w:r>
        <w:rPr>
          <w:rFonts w:ascii="宋体" w:hAnsi="宋体"/>
          <w:szCs w:val="21"/>
        </w:rPr>
        <w:t>参加政府采购活动前三年内，在经营活动中没有重大违法记录</w:t>
      </w:r>
      <w:r>
        <w:rPr>
          <w:rFonts w:hint="eastAsia" w:ascii="宋体" w:hAnsi="宋体"/>
          <w:szCs w:val="21"/>
        </w:rPr>
        <w:t>。</w:t>
      </w:r>
    </w:p>
    <w:p>
      <w:pPr>
        <w:numPr>
          <w:ilvl w:val="2"/>
          <w:numId w:val="28"/>
        </w:numPr>
        <w:tabs>
          <w:tab w:val="left" w:pos="851"/>
        </w:tabs>
        <w:autoSpaceDE w:val="0"/>
        <w:autoSpaceDN w:val="0"/>
        <w:adjustRightInd w:val="0"/>
        <w:snapToGrid w:val="0"/>
        <w:spacing w:line="360" w:lineRule="auto"/>
        <w:rPr>
          <w:rFonts w:ascii="宋体" w:hAnsi="宋体"/>
          <w:szCs w:val="21"/>
        </w:rPr>
      </w:pPr>
      <w:r>
        <w:rPr>
          <w:rFonts w:ascii="宋体" w:hAnsi="宋体"/>
          <w:szCs w:val="21"/>
        </w:rPr>
        <w:t>法律、行政法规规定的其他条件</w:t>
      </w:r>
      <w:r>
        <w:rPr>
          <w:rFonts w:hint="eastAsia" w:ascii="宋体" w:hAnsi="宋体"/>
          <w:szCs w:val="21"/>
        </w:rPr>
        <w:t>。</w:t>
      </w:r>
    </w:p>
    <w:p>
      <w:pPr>
        <w:spacing w:line="440" w:lineRule="exact"/>
        <w:rPr>
          <w:rFonts w:ascii="宋体" w:hAnsi="宋体"/>
          <w:u w:val="single"/>
        </w:rPr>
      </w:pPr>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szCs w:val="21"/>
        </w:rPr>
        <w:t>只有在法律上和财务上独立、合法运作并独立于采购人和采购代理机构的供货商才能参加投标。</w:t>
      </w:r>
    </w:p>
    <w:p>
      <w:pPr>
        <w:numPr>
          <w:ilvl w:val="1"/>
          <w:numId w:val="28"/>
        </w:numPr>
        <w:autoSpaceDE w:val="0"/>
        <w:autoSpaceDN w:val="0"/>
        <w:adjustRightInd w:val="0"/>
        <w:snapToGrid w:val="0"/>
        <w:spacing w:line="360" w:lineRule="auto"/>
        <w:rPr>
          <w:rFonts w:ascii="宋体" w:hAnsi="宋体"/>
          <w:b/>
        </w:rPr>
      </w:pPr>
      <w:r>
        <w:rPr>
          <w:rFonts w:hint="eastAsia" w:ascii="宋体" w:hAnsi="宋体"/>
        </w:rPr>
        <w:t>法定代表人或单位负责人为同一人或者存在直接控股、管理关系的不同单位，不得同时参与同一采购项目包组投标，共同组成联合体投标的除外。</w:t>
      </w:r>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szCs w:val="21"/>
        </w:rPr>
        <w:t>符合</w:t>
      </w:r>
      <w:r>
        <w:rPr>
          <w:rFonts w:hint="eastAsia" w:ascii="宋体" w:hAnsi="宋体" w:cs="黑体"/>
          <w:szCs w:val="21"/>
        </w:rPr>
        <w:t>第一章投标邀请函“供应商资格”</w:t>
      </w:r>
      <w:r>
        <w:rPr>
          <w:rFonts w:hint="eastAsia" w:ascii="宋体" w:hAnsi="宋体"/>
          <w:szCs w:val="21"/>
        </w:rPr>
        <w:t>的特殊条款</w:t>
      </w:r>
      <w:r>
        <w:rPr>
          <w:rFonts w:hint="eastAsia" w:ascii="宋体" w:hAnsi="宋体" w:cs="黑体"/>
          <w:szCs w:val="21"/>
        </w:rPr>
        <w:t>。</w:t>
      </w:r>
    </w:p>
    <w:p>
      <w:pPr>
        <w:numPr>
          <w:ilvl w:val="1"/>
          <w:numId w:val="28"/>
        </w:numPr>
        <w:autoSpaceDE w:val="0"/>
        <w:autoSpaceDN w:val="0"/>
        <w:adjustRightInd w:val="0"/>
        <w:snapToGrid w:val="0"/>
        <w:spacing w:line="360" w:lineRule="auto"/>
        <w:rPr>
          <w:rFonts w:ascii="宋体" w:hAnsi="宋体"/>
        </w:rPr>
      </w:pPr>
      <w:r>
        <w:rPr>
          <w:rFonts w:hint="eastAsia" w:ascii="宋体" w:hAnsi="宋体"/>
        </w:rPr>
        <w:t>若分公司投标：供应商为非独立法人(即由合法法人依法建立的分公司）</w:t>
      </w:r>
      <w:r>
        <w:rPr>
          <w:rFonts w:ascii="宋体" w:hAnsi="宋体"/>
        </w:rPr>
        <w:t>，须</w:t>
      </w:r>
      <w:r>
        <w:rPr>
          <w:rFonts w:hint="eastAsia" w:ascii="宋体" w:hAnsi="宋体"/>
        </w:rPr>
        <w:t>同时</w:t>
      </w:r>
      <w:r>
        <w:rPr>
          <w:rFonts w:ascii="宋体" w:hAnsi="宋体"/>
        </w:rPr>
        <w:t>提供总公司的营业执照副本复印件及总公司</w:t>
      </w:r>
      <w:r>
        <w:rPr>
          <w:rFonts w:hint="eastAsia" w:ascii="宋体" w:hAnsi="宋体"/>
        </w:rPr>
        <w:t>对分公司出具的有效</w:t>
      </w:r>
      <w:r>
        <w:rPr>
          <w:rFonts w:ascii="宋体" w:hAnsi="宋体"/>
        </w:rPr>
        <w:t>授权书原件。</w:t>
      </w:r>
      <w:r>
        <w:rPr>
          <w:rFonts w:hint="eastAsia" w:ascii="宋体" w:hAnsi="宋体"/>
        </w:rPr>
        <w:t>分公司已获得总公司有效授权的，总公司取得的相关资质证书对分公司有效。若法律法规或招标文件另有规定的从其规定。</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合格的服务和货物</w:t>
      </w:r>
    </w:p>
    <w:p>
      <w:pPr>
        <w:numPr>
          <w:ilvl w:val="1"/>
          <w:numId w:val="28"/>
        </w:numPr>
        <w:autoSpaceDE w:val="0"/>
        <w:autoSpaceDN w:val="0"/>
        <w:adjustRightInd w:val="0"/>
        <w:snapToGrid w:val="0"/>
        <w:spacing w:line="360" w:lineRule="auto"/>
        <w:rPr>
          <w:rFonts w:ascii="宋体" w:hAnsi="宋体"/>
          <w:szCs w:val="21"/>
        </w:rPr>
      </w:pPr>
      <w:bookmarkStart w:id="53" w:name="_Toc237787468"/>
      <w:r>
        <w:rPr>
          <w:rFonts w:hint="eastAsia" w:ascii="宋体" w:hAnsi="宋体"/>
          <w:szCs w:val="21"/>
        </w:rPr>
        <w:t>合同中提供的货物及相关服务，其质量、技术等特征必须符合国家相关标准、行业标准、地方标准或者其他标准、规范和《中华人民共和国政府采购法》的有关规定及用户需求。</w:t>
      </w:r>
      <w:bookmarkEnd w:id="53"/>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szCs w:val="21"/>
        </w:rPr>
        <w:t>政府采购应当采购本国产品，确需采购进口产品的，</w:t>
      </w:r>
      <w:bookmarkStart w:id="54" w:name="_Toc211763038"/>
      <w:r>
        <w:rPr>
          <w:rFonts w:hint="eastAsia" w:ascii="宋体" w:hAnsi="宋体"/>
          <w:szCs w:val="21"/>
        </w:rPr>
        <w:t>依据《政府采购进口产品管理办法</w:t>
      </w:r>
      <w:bookmarkEnd w:id="54"/>
      <w:r>
        <w:rPr>
          <w:rFonts w:hint="eastAsia" w:ascii="宋体" w:hAnsi="宋体"/>
          <w:szCs w:val="21"/>
        </w:rPr>
        <w:t>》执行。</w:t>
      </w:r>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szCs w:val="21"/>
        </w:rPr>
        <w:t>本文件所称进口产品是指通过中国海关报关验放进入中国境内且产自关境外的产品。</w:t>
      </w:r>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szCs w:val="21"/>
        </w:rPr>
        <w:t>采购人采购进口产品时，应当坚持有利于本国企业自主创新或消化吸收核心技术的原则，优先购买向我方转让技术、提供培训服务及其他补偿贸易措施的产品。</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bookmarkStart w:id="55" w:name="_Toc237787469"/>
      <w:r>
        <w:rPr>
          <w:rFonts w:hint="eastAsia" w:ascii="宋体" w:hAnsi="宋体"/>
          <w:b/>
          <w:bCs/>
          <w:szCs w:val="21"/>
        </w:rPr>
        <w:t>禁止事项</w:t>
      </w:r>
      <w:bookmarkEnd w:id="55"/>
    </w:p>
    <w:p>
      <w:pPr>
        <w:numPr>
          <w:ilvl w:val="1"/>
          <w:numId w:val="28"/>
        </w:numPr>
        <w:autoSpaceDE w:val="0"/>
        <w:autoSpaceDN w:val="0"/>
        <w:adjustRightInd w:val="0"/>
        <w:snapToGrid w:val="0"/>
        <w:spacing w:line="360" w:lineRule="auto"/>
        <w:rPr>
          <w:rFonts w:ascii="宋体" w:hAnsi="宋体"/>
          <w:szCs w:val="21"/>
        </w:rPr>
      </w:pPr>
      <w:bookmarkStart w:id="56" w:name="_Toc237787470"/>
      <w:r>
        <w:rPr>
          <w:rFonts w:hint="eastAsia" w:ascii="宋体" w:hAnsi="宋体"/>
          <w:szCs w:val="21"/>
        </w:rPr>
        <w:t>采购人、投标人和采购代理机构不得相互串通损害国家利益、社会公共利益和其他当</w:t>
      </w:r>
      <w:bookmarkEnd w:id="56"/>
      <w:bookmarkStart w:id="57" w:name="_Toc237787471"/>
      <w:r>
        <w:rPr>
          <w:rFonts w:hint="eastAsia" w:ascii="宋体" w:hAnsi="宋体"/>
          <w:szCs w:val="21"/>
        </w:rPr>
        <w:t>事人的合法权益；不得以任何手段排斥其他投标人参与竞争。</w:t>
      </w:r>
      <w:bookmarkEnd w:id="57"/>
      <w:r>
        <w:rPr>
          <w:rFonts w:hint="eastAsia" w:ascii="宋体" w:hAnsi="宋体"/>
          <w:szCs w:val="21"/>
        </w:rPr>
        <w:t>否则投标无效。</w:t>
      </w:r>
    </w:p>
    <w:p>
      <w:pPr>
        <w:numPr>
          <w:ilvl w:val="1"/>
          <w:numId w:val="28"/>
        </w:numPr>
        <w:autoSpaceDE w:val="0"/>
        <w:autoSpaceDN w:val="0"/>
        <w:adjustRightInd w:val="0"/>
        <w:snapToGrid w:val="0"/>
        <w:spacing w:line="360" w:lineRule="auto"/>
        <w:rPr>
          <w:rFonts w:ascii="宋体" w:hAnsi="宋体"/>
          <w:szCs w:val="21"/>
        </w:rPr>
      </w:pPr>
      <w:bookmarkStart w:id="58" w:name="_Toc237787472"/>
      <w:r>
        <w:rPr>
          <w:rFonts w:hint="eastAsia" w:ascii="宋体" w:hAnsi="宋体"/>
          <w:szCs w:val="21"/>
        </w:rPr>
        <w:t>投标人不得向采购人、采购代理机构、评标委员会的组成人员行贿或者采取其他不正当手段谋取中标。</w:t>
      </w:r>
      <w:bookmarkEnd w:id="58"/>
      <w:r>
        <w:rPr>
          <w:rFonts w:hint="eastAsia" w:ascii="宋体" w:hAnsi="宋体"/>
          <w:szCs w:val="21"/>
        </w:rPr>
        <w:t>否则投标无效。</w:t>
      </w:r>
    </w:p>
    <w:p>
      <w:pPr>
        <w:numPr>
          <w:ilvl w:val="1"/>
          <w:numId w:val="28"/>
        </w:numPr>
        <w:autoSpaceDE w:val="0"/>
        <w:autoSpaceDN w:val="0"/>
        <w:adjustRightInd w:val="0"/>
        <w:snapToGrid w:val="0"/>
        <w:spacing w:line="360" w:lineRule="auto"/>
        <w:rPr>
          <w:rFonts w:ascii="宋体" w:hAnsi="宋体"/>
          <w:szCs w:val="21"/>
        </w:rPr>
      </w:pPr>
      <w:bookmarkStart w:id="59" w:name="_Toc237787473"/>
      <w:r>
        <w:rPr>
          <w:rFonts w:hint="eastAsia" w:ascii="宋体" w:hAnsi="宋体"/>
          <w:szCs w:val="21"/>
        </w:rPr>
        <w:t>除投标人被要求对投标文件进行澄清外，从开标之时起至授予合同止，投标人不得就与其投标文件有关的事项主动与评标委员会、采购人以及采购代理机构接触。</w:t>
      </w:r>
      <w:bookmarkEnd w:id="59"/>
      <w:r>
        <w:rPr>
          <w:rFonts w:hint="eastAsia" w:ascii="宋体" w:hAnsi="宋体"/>
          <w:szCs w:val="21"/>
        </w:rPr>
        <w:t>否则投标无效。</w:t>
      </w:r>
    </w:p>
    <w:p>
      <w:pPr>
        <w:numPr>
          <w:ilvl w:val="1"/>
          <w:numId w:val="28"/>
        </w:numPr>
        <w:autoSpaceDE w:val="0"/>
        <w:autoSpaceDN w:val="0"/>
        <w:adjustRightInd w:val="0"/>
        <w:snapToGrid w:val="0"/>
        <w:spacing w:line="360" w:lineRule="auto"/>
        <w:rPr>
          <w:rFonts w:ascii="宋体" w:hAnsi="宋体"/>
          <w:szCs w:val="21"/>
        </w:rPr>
      </w:pPr>
      <w:bookmarkStart w:id="60" w:name="_Toc237787474"/>
      <w:r>
        <w:rPr>
          <w:rFonts w:hint="eastAsia" w:ascii="宋体" w:hAnsi="宋体"/>
          <w:szCs w:val="21"/>
        </w:rPr>
        <w:t>《中华人民共和国政府采购法》、《中华人民共和国政府采购法实施条例》及相关法规规定的其他禁止行为。</w:t>
      </w:r>
      <w:bookmarkEnd w:id="60"/>
      <w:r>
        <w:rPr>
          <w:rFonts w:hint="eastAsia" w:ascii="宋体" w:hAnsi="宋体"/>
          <w:szCs w:val="21"/>
        </w:rPr>
        <w:t>否则投标无效。</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bookmarkStart w:id="61" w:name="_Toc237787475"/>
      <w:r>
        <w:rPr>
          <w:rFonts w:hint="eastAsia" w:ascii="宋体" w:hAnsi="宋体"/>
          <w:b/>
          <w:bCs/>
          <w:szCs w:val="21"/>
        </w:rPr>
        <w:t>保密事项</w:t>
      </w:r>
      <w:bookmarkEnd w:id="61"/>
    </w:p>
    <w:p>
      <w:pPr>
        <w:numPr>
          <w:ilvl w:val="1"/>
          <w:numId w:val="28"/>
        </w:numPr>
        <w:autoSpaceDE w:val="0"/>
        <w:autoSpaceDN w:val="0"/>
        <w:adjustRightInd w:val="0"/>
        <w:snapToGrid w:val="0"/>
        <w:spacing w:line="360" w:lineRule="auto"/>
        <w:rPr>
          <w:rFonts w:ascii="宋体" w:hAnsi="宋体"/>
          <w:szCs w:val="21"/>
        </w:rPr>
      </w:pPr>
      <w:bookmarkStart w:id="62" w:name="_Toc237787476"/>
      <w:r>
        <w:rPr>
          <w:rFonts w:hint="eastAsia" w:ascii="宋体" w:hAnsi="宋体"/>
          <w:szCs w:val="21"/>
        </w:rPr>
        <w:t>由采购人向投标人提供的用户需求书等所有资料，投标人获得后，应对其保密。除非采购人同意，投标人不得向第三方透露或将其用于本次投标以外的任何用途。开标后，应采购人要求，投标人须归还采购人认为需保密的文件和资料，并销毁所有需保密的备份文件和资料。</w:t>
      </w:r>
      <w:bookmarkEnd w:id="62"/>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投标费用</w:t>
      </w:r>
    </w:p>
    <w:p>
      <w:pPr>
        <w:numPr>
          <w:ilvl w:val="1"/>
          <w:numId w:val="28"/>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投标人应承担所有与准备和参加投标有关的费用。不论投标的结果如何</w:t>
      </w:r>
      <w:r>
        <w:rPr>
          <w:rFonts w:hint="eastAsia" w:ascii="宋体" w:hAnsi="宋体" w:cs="宋体"/>
          <w:szCs w:val="21"/>
        </w:rPr>
        <w:t>，</w:t>
      </w:r>
      <w:r>
        <w:rPr>
          <w:rFonts w:hint="eastAsia" w:ascii="宋体" w:hAnsi="宋体" w:cs="宋体"/>
          <w:szCs w:val="21"/>
          <w:lang w:eastAsia="zh-TW"/>
        </w:rPr>
        <w:t>招标采购单位均无义务和责任承担这些费用</w:t>
      </w:r>
      <w:r>
        <w:rPr>
          <w:rFonts w:hint="eastAsia" w:ascii="宋体" w:hAnsi="宋体" w:cs="宋体"/>
          <w:szCs w:val="21"/>
        </w:rPr>
        <w:t>。</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bookmarkStart w:id="63" w:name="_Toc381027666"/>
      <w:r>
        <w:rPr>
          <w:rFonts w:hint="eastAsia" w:ascii="宋体" w:hAnsi="宋体"/>
          <w:b/>
          <w:bCs/>
          <w:szCs w:val="21"/>
        </w:rPr>
        <w:t>政府采购信用担保</w:t>
      </w:r>
      <w:bookmarkEnd w:id="63"/>
    </w:p>
    <w:p>
      <w:pPr>
        <w:numPr>
          <w:ilvl w:val="1"/>
          <w:numId w:val="28"/>
        </w:numPr>
        <w:autoSpaceDE w:val="0"/>
        <w:autoSpaceDN w:val="0"/>
        <w:adjustRightInd w:val="0"/>
        <w:snapToGrid w:val="0"/>
        <w:spacing w:line="360" w:lineRule="auto"/>
        <w:rPr>
          <w:rFonts w:ascii="宋体" w:hAnsi="宋体"/>
          <w:szCs w:val="21"/>
        </w:rPr>
      </w:pPr>
      <w:bookmarkStart w:id="64" w:name="_Toc315793298"/>
      <w:r>
        <w:rPr>
          <w:rFonts w:hint="eastAsia" w:ascii="宋体" w:hAnsi="宋体"/>
          <w:szCs w:val="21"/>
        </w:rPr>
        <w:t>根据广东省政府采购信用担保试点实施方案粤财采购〔</w:t>
      </w:r>
      <w:r>
        <w:rPr>
          <w:rFonts w:ascii="宋体" w:hAnsi="宋体"/>
          <w:szCs w:val="21"/>
        </w:rPr>
        <w:t>2011</w:t>
      </w:r>
      <w:r>
        <w:rPr>
          <w:rFonts w:hint="eastAsia" w:ascii="宋体" w:hAnsi="宋体"/>
          <w:szCs w:val="21"/>
        </w:rPr>
        <w:t>〕</w:t>
      </w:r>
      <w:r>
        <w:rPr>
          <w:rFonts w:ascii="宋体" w:hAnsi="宋体"/>
          <w:szCs w:val="21"/>
        </w:rPr>
        <w:t>15</w:t>
      </w:r>
      <w:r>
        <w:rPr>
          <w:rFonts w:hint="eastAsia" w:ascii="宋体" w:hAnsi="宋体"/>
          <w:szCs w:val="21"/>
        </w:rPr>
        <w:t>号的有关精神和要求，除非</w:t>
      </w:r>
      <w:r>
        <w:rPr>
          <w:rFonts w:hint="eastAsia" w:ascii="宋体" w:hAnsi="宋体"/>
          <w:b/>
          <w:szCs w:val="21"/>
        </w:rPr>
        <w:t>投标资料表</w:t>
      </w:r>
      <w:r>
        <w:rPr>
          <w:rFonts w:hint="eastAsia" w:ascii="宋体" w:hAnsi="宋体"/>
          <w:szCs w:val="21"/>
        </w:rPr>
        <w:t>中另有规定，本项目实施政府采购信用担保。</w:t>
      </w:r>
    </w:p>
    <w:bookmarkEnd w:id="64"/>
    <w:p>
      <w:pPr>
        <w:numPr>
          <w:ilvl w:val="1"/>
          <w:numId w:val="28"/>
        </w:numPr>
        <w:autoSpaceDE w:val="0"/>
        <w:autoSpaceDN w:val="0"/>
        <w:adjustRightInd w:val="0"/>
        <w:snapToGrid w:val="0"/>
        <w:spacing w:line="360" w:lineRule="auto"/>
        <w:rPr>
          <w:rFonts w:ascii="宋体" w:hAnsi="宋体"/>
          <w:b/>
          <w:bCs/>
          <w:szCs w:val="21"/>
        </w:rPr>
      </w:pPr>
      <w:bookmarkStart w:id="65" w:name="_Toc315793299"/>
      <w:r>
        <w:rPr>
          <w:rFonts w:hint="eastAsia" w:ascii="宋体" w:hAnsi="宋体"/>
          <w:szCs w:val="21"/>
        </w:rPr>
        <w:t>履约担保，是指由专业担保机构为投标人支付履约保证金的义务向采购人提供的保证担保。中标人未按政府采购合同履行约定义务而应实际支付保证金的，由专业担保机构按照担保函约定履行担保责任。投标人可以自行选择是否采取履约担保函的形式缴纳履约保证金。</w:t>
      </w:r>
      <w:bookmarkEnd w:id="65"/>
    </w:p>
    <w:p>
      <w:pPr>
        <w:numPr>
          <w:ilvl w:val="1"/>
          <w:numId w:val="28"/>
        </w:numPr>
        <w:autoSpaceDE w:val="0"/>
        <w:autoSpaceDN w:val="0"/>
        <w:adjustRightInd w:val="0"/>
        <w:snapToGrid w:val="0"/>
        <w:spacing w:line="360" w:lineRule="auto"/>
        <w:rPr>
          <w:rFonts w:ascii="宋体" w:hAnsi="宋体"/>
          <w:szCs w:val="21"/>
        </w:rPr>
      </w:pPr>
      <w:bookmarkStart w:id="66" w:name="_Toc315793300"/>
      <w:r>
        <w:rPr>
          <w:rFonts w:hint="eastAsia" w:ascii="宋体" w:hAnsi="宋体"/>
          <w:szCs w:val="21"/>
        </w:rPr>
        <w:t>融资担保，是指由专业担保机构为投标人向银行融资提供的保证担保。投标人可以自愿选择是否采取融资担保的形式为政府采购履约进行融资。</w:t>
      </w:r>
      <w:bookmarkEnd w:id="66"/>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szCs w:val="21"/>
        </w:rPr>
        <w:t>专业担保机构的选择，推荐担保机构及联系方式详见《投标资料表》。</w:t>
      </w:r>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szCs w:val="21"/>
        </w:rPr>
        <w:t>投标人可以以履约担保函的形式缴纳履约保证金。</w:t>
      </w:r>
    </w:p>
    <w:p>
      <w:pPr>
        <w:numPr>
          <w:ilvl w:val="0"/>
          <w:numId w:val="28"/>
        </w:numPr>
        <w:autoSpaceDE w:val="0"/>
        <w:autoSpaceDN w:val="0"/>
        <w:adjustRightInd w:val="0"/>
        <w:snapToGrid w:val="0"/>
        <w:spacing w:line="360" w:lineRule="auto"/>
        <w:ind w:left="449" w:hanging="449" w:hangingChars="213"/>
        <w:outlineLvl w:val="2"/>
        <w:rPr>
          <w:rFonts w:ascii="宋体" w:hAnsi="宋体"/>
          <w:b/>
          <w:szCs w:val="21"/>
        </w:rPr>
      </w:pPr>
      <w:bookmarkStart w:id="67" w:name="_Toc438223021"/>
      <w:bookmarkStart w:id="68" w:name="_Toc435542346"/>
      <w:r>
        <w:rPr>
          <w:rFonts w:hint="eastAsia" w:ascii="宋体" w:hAnsi="宋体"/>
          <w:b/>
          <w:bCs/>
          <w:szCs w:val="21"/>
        </w:rPr>
        <w:t>知识产权</w:t>
      </w:r>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szCs w:val="21"/>
        </w:rPr>
        <w:t>投标人必须保证，采购人在中华人民共和国境内使用响应货物、资料、技术、服务或其任何一部分时，享有不受限制的无偿使用权，如有第三方向采购人提出侵犯其专利权、商标权或其它知识产权的主张，该责任应由投标人承担。</w:t>
      </w:r>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szCs w:val="21"/>
        </w:rPr>
        <w:t>投标报价应包含所有应向所有权人支付的专利权、商标权或其它知识产权的一切相关费用。</w:t>
      </w:r>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szCs w:val="21"/>
        </w:rPr>
        <w:t>系统软件、通用软件必须是具有在中国境内的合法使用权或版权的正版软件，涉及到第三方提出侵权或知识产权的起诉及支付版税等费用由投标人承担所有责任及费用。</w:t>
      </w:r>
    </w:p>
    <w:p>
      <w:pPr>
        <w:numPr>
          <w:ilvl w:val="0"/>
          <w:numId w:val="28"/>
        </w:numPr>
        <w:autoSpaceDE w:val="0"/>
        <w:autoSpaceDN w:val="0"/>
        <w:adjustRightInd w:val="0"/>
        <w:snapToGrid w:val="0"/>
        <w:spacing w:line="360" w:lineRule="auto"/>
        <w:outlineLvl w:val="2"/>
        <w:rPr>
          <w:rFonts w:ascii="宋体" w:hAnsi="宋体"/>
          <w:szCs w:val="21"/>
        </w:rPr>
      </w:pPr>
      <w:r>
        <w:rPr>
          <w:rFonts w:hint="eastAsia" w:ascii="宋体" w:hAnsi="宋体"/>
          <w:b/>
          <w:bCs/>
          <w:szCs w:val="21"/>
        </w:rPr>
        <w:t>其它</w:t>
      </w:r>
      <w:r>
        <w:rPr>
          <w:rFonts w:hint="eastAsia" w:ascii="宋体" w:hAnsi="宋体"/>
          <w:b/>
          <w:szCs w:val="21"/>
        </w:rPr>
        <w:t xml:space="preserve"> </w:t>
      </w:r>
      <w:r>
        <w:rPr>
          <w:rFonts w:ascii="宋体" w:hAnsi="宋体"/>
          <w:szCs w:val="21"/>
        </w:rPr>
        <w:t xml:space="preserve"> </w:t>
      </w:r>
    </w:p>
    <w:p>
      <w:pPr>
        <w:numPr>
          <w:ilvl w:val="1"/>
          <w:numId w:val="2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所有时间均为24小时制北京时间，所有货币单位均为人民币元，所使用的计量单位均以《中华人民共和国法定计量单位》为准（特别注明除外）</w:t>
      </w:r>
      <w:r>
        <w:rPr>
          <w:rFonts w:hint="eastAsia" w:ascii="宋体" w:hAnsi="宋体" w:cs="宋体"/>
          <w:szCs w:val="21"/>
        </w:rPr>
        <w:t>。</w:t>
      </w:r>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szCs w:val="21"/>
        </w:rPr>
        <w:t>供应商（投标人）向我司咨询的有关项目事项，一切以法律法规的规定和本公司书面答复为准，其他一切形式均为个人意见，不代表本公司的意见。</w:t>
      </w:r>
    </w:p>
    <w:p>
      <w:pPr>
        <w:numPr>
          <w:ilvl w:val="0"/>
          <w:numId w:val="27"/>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r>
        <w:rPr>
          <w:rFonts w:hint="eastAsia" w:ascii="宋体" w:hAnsi="宋体"/>
          <w:b/>
          <w:sz w:val="28"/>
          <w:szCs w:val="28"/>
          <w:lang w:eastAsia="zh-TW"/>
        </w:rPr>
        <w:t>招标文件</w:t>
      </w:r>
      <w:bookmarkEnd w:id="67"/>
      <w:bookmarkEnd w:id="68"/>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招标文件的编制依据与构成</w:t>
      </w:r>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szCs w:val="21"/>
        </w:rPr>
        <w:t>本招标文件的编制依据是《中华人民共和国政府采购法》、《中华人民共和国政府采购法实施条例》等相关法规及配套的政策性规定。</w:t>
      </w:r>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要求提供的</w:t>
      </w:r>
      <w:r>
        <w:rPr>
          <w:rFonts w:hint="eastAsia" w:ascii="宋体" w:hAnsi="宋体" w:cs="宋体"/>
          <w:szCs w:val="21"/>
        </w:rPr>
        <w:t>服务</w:t>
      </w:r>
      <w:r>
        <w:rPr>
          <w:rFonts w:hint="eastAsia" w:ascii="宋体" w:hAnsi="宋体" w:cs="宋体"/>
          <w:szCs w:val="21"/>
          <w:lang w:eastAsia="zh-TW"/>
        </w:rPr>
        <w:t>、</w:t>
      </w:r>
      <w:r>
        <w:rPr>
          <w:rFonts w:hint="eastAsia" w:ascii="宋体" w:hAnsi="宋体" w:cs="宋体"/>
          <w:szCs w:val="21"/>
        </w:rPr>
        <w:t>采购</w:t>
      </w:r>
      <w:r>
        <w:rPr>
          <w:rFonts w:hint="eastAsia" w:ascii="宋体" w:hAnsi="宋体" w:cs="宋体"/>
          <w:szCs w:val="21"/>
          <w:lang w:eastAsia="zh-TW"/>
        </w:rPr>
        <w:t>过程和合同条件在招标文件中均有说明。招标文件以中文文字编写。</w:t>
      </w:r>
      <w:r>
        <w:rPr>
          <w:rFonts w:hint="eastAsia" w:ascii="宋体" w:hAnsi="宋体"/>
          <w:szCs w:val="21"/>
        </w:rPr>
        <w:t>否则投标无效。</w:t>
      </w:r>
    </w:p>
    <w:p>
      <w:pPr>
        <w:numPr>
          <w:ilvl w:val="1"/>
          <w:numId w:val="28"/>
        </w:numPr>
        <w:autoSpaceDE w:val="0"/>
        <w:autoSpaceDN w:val="0"/>
        <w:adjustRightInd w:val="0"/>
        <w:snapToGrid w:val="0"/>
        <w:spacing w:line="360" w:lineRule="auto"/>
        <w:rPr>
          <w:rFonts w:ascii="宋体" w:hAnsi="宋体" w:cs="宋体"/>
          <w:szCs w:val="21"/>
        </w:rPr>
      </w:pPr>
      <w:r>
        <w:rPr>
          <w:rFonts w:hint="eastAsia" w:ascii="宋体" w:hAnsi="宋体" w:cs="宋体"/>
          <w:szCs w:val="21"/>
        </w:rPr>
        <w:t>招标文件共七章。由下列文件以及在招标过程中发出的澄清、修改和补充文件组成，内容如下：</w:t>
      </w:r>
    </w:p>
    <w:p>
      <w:pPr>
        <w:snapToGrid w:val="0"/>
        <w:spacing w:line="360" w:lineRule="auto"/>
        <w:ind w:left="445" w:leftChars="212" w:firstLine="105" w:firstLineChars="50"/>
        <w:rPr>
          <w:rFonts w:ascii="宋体" w:hAnsi="宋体"/>
          <w:b/>
          <w:szCs w:val="21"/>
        </w:rPr>
      </w:pPr>
      <w:r>
        <w:rPr>
          <w:rFonts w:hint="eastAsia" w:ascii="宋体" w:hAnsi="宋体" w:cs="隶书"/>
          <w:b/>
          <w:szCs w:val="21"/>
        </w:rPr>
        <w:t>专用条款</w:t>
      </w:r>
    </w:p>
    <w:p>
      <w:pPr>
        <w:snapToGrid w:val="0"/>
        <w:spacing w:line="360" w:lineRule="auto"/>
        <w:ind w:left="546"/>
        <w:rPr>
          <w:rFonts w:ascii="宋体" w:hAnsi="宋体"/>
          <w:b/>
          <w:szCs w:val="21"/>
        </w:rPr>
      </w:pPr>
      <w:r>
        <w:rPr>
          <w:rFonts w:hint="eastAsia" w:ascii="宋体" w:hAnsi="宋体" w:cs="宋体"/>
          <w:b/>
          <w:szCs w:val="21"/>
          <w:lang w:eastAsia="zh-TW"/>
        </w:rPr>
        <w:t>第一章</w:t>
      </w:r>
      <w:r>
        <w:rPr>
          <w:rFonts w:hint="eastAsia" w:ascii="宋体" w:hAnsi="宋体" w:cs="宋体"/>
          <w:b/>
          <w:szCs w:val="21"/>
        </w:rPr>
        <w:t>　</w:t>
      </w:r>
      <w:r>
        <w:rPr>
          <w:rFonts w:hint="eastAsia" w:ascii="宋体" w:hAnsi="宋体" w:cs="宋体"/>
          <w:b/>
          <w:szCs w:val="21"/>
          <w:lang w:eastAsia="zh-TW"/>
        </w:rPr>
        <w:t>投标邀请函</w:t>
      </w:r>
    </w:p>
    <w:p>
      <w:pPr>
        <w:snapToGrid w:val="0"/>
        <w:spacing w:line="360" w:lineRule="auto"/>
        <w:ind w:left="546"/>
        <w:rPr>
          <w:rFonts w:ascii="宋体" w:hAnsi="宋体"/>
          <w:b/>
          <w:szCs w:val="21"/>
        </w:rPr>
      </w:pPr>
      <w:r>
        <w:rPr>
          <w:rFonts w:hint="eastAsia" w:ascii="宋体" w:hAnsi="宋体" w:cs="宋体"/>
          <w:b/>
          <w:szCs w:val="21"/>
          <w:lang w:eastAsia="zh-TW"/>
        </w:rPr>
        <w:t>第二章</w:t>
      </w:r>
      <w:r>
        <w:rPr>
          <w:rFonts w:hint="eastAsia" w:ascii="宋体" w:hAnsi="宋体" w:cs="宋体"/>
          <w:b/>
          <w:szCs w:val="21"/>
        </w:rPr>
        <w:t>　</w:t>
      </w:r>
      <w:r>
        <w:rPr>
          <w:rFonts w:hint="eastAsia" w:ascii="宋体" w:hAnsi="宋体" w:cs="宋体"/>
          <w:b/>
          <w:szCs w:val="21"/>
          <w:lang w:eastAsia="zh-TW"/>
        </w:rPr>
        <w:t>投标资料表</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三</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评分</w:t>
      </w:r>
      <w:r>
        <w:rPr>
          <w:rFonts w:hint="eastAsia" w:ascii="宋体" w:hAnsi="宋体" w:cs="宋体"/>
          <w:b/>
          <w:szCs w:val="21"/>
        </w:rPr>
        <w:t>体系</w:t>
      </w:r>
      <w:r>
        <w:rPr>
          <w:rFonts w:hint="eastAsia" w:ascii="宋体" w:hAnsi="宋体" w:cs="宋体"/>
          <w:b/>
          <w:szCs w:val="21"/>
          <w:lang w:eastAsia="zh-TW"/>
        </w:rPr>
        <w:t>和标准</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四</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用户需求书</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五</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合同</w:t>
      </w:r>
      <w:r>
        <w:rPr>
          <w:rFonts w:hint="eastAsia" w:ascii="宋体" w:hAnsi="宋体" w:cs="宋体"/>
          <w:b/>
          <w:szCs w:val="21"/>
        </w:rPr>
        <w:t>通用</w:t>
      </w:r>
      <w:r>
        <w:rPr>
          <w:rFonts w:hint="eastAsia" w:ascii="宋体" w:hAnsi="宋体" w:cs="宋体"/>
          <w:b/>
          <w:szCs w:val="21"/>
          <w:lang w:eastAsia="zh-TW"/>
        </w:rPr>
        <w:t>条款</w:t>
      </w:r>
    </w:p>
    <w:p>
      <w:pPr>
        <w:snapToGrid w:val="0"/>
        <w:spacing w:line="360" w:lineRule="auto"/>
        <w:ind w:left="546"/>
        <w:rPr>
          <w:rFonts w:ascii="宋体" w:hAnsi="宋体" w:cs="宋体"/>
          <w:b/>
          <w:szCs w:val="21"/>
        </w:rPr>
      </w:pPr>
      <w:r>
        <w:rPr>
          <w:rFonts w:hint="eastAsia" w:ascii="宋体" w:hAnsi="宋体" w:cs="宋体"/>
          <w:b/>
          <w:szCs w:val="21"/>
          <w:lang w:eastAsia="zh-TW"/>
        </w:rPr>
        <w:t>第</w:t>
      </w:r>
      <w:r>
        <w:rPr>
          <w:rFonts w:hint="eastAsia" w:ascii="宋体" w:hAnsi="宋体" w:cs="宋体"/>
          <w:b/>
          <w:szCs w:val="21"/>
        </w:rPr>
        <w:t>六</w:t>
      </w:r>
      <w:r>
        <w:rPr>
          <w:rFonts w:hint="eastAsia" w:ascii="宋体" w:hAnsi="宋体" w:cs="宋体"/>
          <w:b/>
          <w:szCs w:val="21"/>
          <w:lang w:eastAsia="zh-TW"/>
        </w:rPr>
        <w:t>章</w:t>
      </w:r>
      <w:r>
        <w:rPr>
          <w:rFonts w:hint="eastAsia" w:ascii="宋体" w:hAnsi="宋体" w:cs="宋体"/>
          <w:b/>
          <w:szCs w:val="21"/>
        </w:rPr>
        <w:t>　投标文件格式</w:t>
      </w:r>
    </w:p>
    <w:p>
      <w:pPr>
        <w:snapToGrid w:val="0"/>
        <w:spacing w:line="360" w:lineRule="auto"/>
        <w:ind w:left="445" w:leftChars="212" w:firstLine="105" w:firstLineChars="50"/>
        <w:rPr>
          <w:rFonts w:ascii="宋体" w:hAnsi="宋体" w:cs="隶书"/>
          <w:b/>
          <w:szCs w:val="21"/>
        </w:rPr>
      </w:pPr>
      <w:r>
        <w:rPr>
          <w:rFonts w:hint="eastAsia" w:ascii="宋体" w:hAnsi="宋体" w:cs="隶书"/>
          <w:b/>
          <w:szCs w:val="21"/>
        </w:rPr>
        <w:t>通用条款</w:t>
      </w:r>
    </w:p>
    <w:p>
      <w:pPr>
        <w:snapToGrid w:val="0"/>
        <w:spacing w:line="360" w:lineRule="auto"/>
        <w:ind w:left="546"/>
        <w:rPr>
          <w:rFonts w:ascii="宋体" w:hAnsi="宋体"/>
          <w:b/>
          <w:szCs w:val="21"/>
        </w:rPr>
      </w:pPr>
      <w:r>
        <w:rPr>
          <w:rFonts w:hint="eastAsia" w:ascii="宋体" w:hAnsi="宋体" w:cs="宋体"/>
          <w:b/>
          <w:szCs w:val="21"/>
        </w:rPr>
        <w:t>第七章　</w:t>
      </w:r>
      <w:r>
        <w:rPr>
          <w:rFonts w:hint="eastAsia" w:ascii="宋体" w:hAnsi="宋体" w:cs="宋体"/>
          <w:b/>
          <w:szCs w:val="21"/>
          <w:lang w:eastAsia="zh-TW"/>
        </w:rPr>
        <w:t>投标人须知</w:t>
      </w:r>
    </w:p>
    <w:p>
      <w:pPr>
        <w:numPr>
          <w:ilvl w:val="1"/>
          <w:numId w:val="2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投标人应认真阅读、并充分理解招标文件的全部内容（包括所有的补充、修改内容重要事项、格式、条款和</w:t>
      </w:r>
      <w:r>
        <w:rPr>
          <w:rFonts w:hint="eastAsia" w:ascii="宋体" w:hAnsi="宋体" w:cs="宋体"/>
          <w:szCs w:val="21"/>
        </w:rPr>
        <w:t>服务</w:t>
      </w:r>
      <w:r>
        <w:rPr>
          <w:rFonts w:hint="eastAsia" w:ascii="宋体" w:hAnsi="宋体" w:cs="宋体"/>
          <w:szCs w:val="21"/>
          <w:lang w:eastAsia="zh-TW"/>
        </w:rPr>
        <w:t>要求等）。投标人没有按照招标文件要求提交全部资料，或者投标</w:t>
      </w:r>
      <w:r>
        <w:rPr>
          <w:rFonts w:hint="eastAsia" w:ascii="宋体" w:hAnsi="宋体" w:cs="宋体"/>
          <w:szCs w:val="21"/>
        </w:rPr>
        <w:t>文件</w:t>
      </w:r>
      <w:r>
        <w:rPr>
          <w:rFonts w:hint="eastAsia" w:ascii="宋体" w:hAnsi="宋体" w:cs="宋体"/>
          <w:szCs w:val="21"/>
          <w:lang w:eastAsia="zh-TW"/>
        </w:rPr>
        <w:t>没有对招标文件在各方面都</w:t>
      </w:r>
      <w:r>
        <w:rPr>
          <w:rFonts w:hint="eastAsia" w:ascii="宋体" w:hAnsi="宋体" w:cs="宋体"/>
          <w:szCs w:val="21"/>
        </w:rPr>
        <w:t>作</w:t>
      </w:r>
      <w:r>
        <w:rPr>
          <w:rFonts w:hint="eastAsia" w:ascii="宋体" w:hAnsi="宋体" w:cs="宋体"/>
          <w:szCs w:val="21"/>
          <w:lang w:eastAsia="zh-TW"/>
        </w:rPr>
        <w:t>出实质性响应是投标人的风险，有可能导致其投标被拒绝，或被认定为无效投标或被确定为投标无效。</w:t>
      </w:r>
    </w:p>
    <w:p>
      <w:pPr>
        <w:numPr>
          <w:ilvl w:val="1"/>
          <w:numId w:val="28"/>
        </w:numPr>
        <w:autoSpaceDE w:val="0"/>
        <w:autoSpaceDN w:val="0"/>
        <w:adjustRightInd w:val="0"/>
        <w:snapToGrid w:val="0"/>
        <w:spacing w:line="360" w:lineRule="auto"/>
        <w:jc w:val="left"/>
        <w:rPr>
          <w:rFonts w:ascii="宋体" w:hAnsi="宋体" w:cs="宋体"/>
          <w:szCs w:val="21"/>
          <w:lang w:eastAsia="zh-TW"/>
        </w:rPr>
      </w:pPr>
      <w:r>
        <w:rPr>
          <w:rFonts w:hint="eastAsia" w:ascii="宋体" w:hAnsi="宋体" w:cs="宋体"/>
          <w:szCs w:val="21"/>
        </w:rPr>
        <w:t>本</w:t>
      </w:r>
      <w:r>
        <w:rPr>
          <w:rFonts w:hint="eastAsia" w:ascii="宋体" w:hAnsi="宋体" w:cs="宋体"/>
          <w:szCs w:val="21"/>
          <w:lang w:eastAsia="zh-TW"/>
        </w:rPr>
        <w:t>招标文件的解释权归“</w:t>
      </w:r>
      <w:r>
        <w:rPr>
          <w:rFonts w:hint="eastAsia" w:ascii="宋体" w:hAnsi="宋体" w:cs="宋体"/>
          <w:szCs w:val="21"/>
        </w:rPr>
        <w:t>广州宝诚招标代理咨询有限公司</w:t>
      </w:r>
      <w:r>
        <w:rPr>
          <w:rFonts w:hint="eastAsia" w:ascii="宋体" w:hAnsi="宋体" w:cs="宋体"/>
          <w:szCs w:val="21"/>
          <w:lang w:eastAsia="zh-TW"/>
        </w:rPr>
        <w:t>”所有。</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招标文件的澄清或修改</w:t>
      </w:r>
    </w:p>
    <w:p>
      <w:pPr>
        <w:numPr>
          <w:ilvl w:val="1"/>
          <w:numId w:val="28"/>
        </w:numPr>
        <w:autoSpaceDE w:val="0"/>
        <w:autoSpaceDN w:val="0"/>
        <w:adjustRightInd w:val="0"/>
        <w:snapToGrid w:val="0"/>
        <w:spacing w:line="360" w:lineRule="auto"/>
        <w:jc w:val="left"/>
        <w:rPr>
          <w:rFonts w:ascii="宋体" w:hAnsi="宋体"/>
          <w:szCs w:val="21"/>
        </w:rPr>
      </w:pPr>
      <w:bookmarkStart w:id="69" w:name="_Toc237787490"/>
      <w:r>
        <w:rPr>
          <w:rFonts w:hint="eastAsia" w:ascii="宋体" w:hAnsi="宋体"/>
          <w:szCs w:val="21"/>
        </w:rPr>
        <w:t>在投标截止时间前，无论出于何种原因，采购人或者采购代理机构可主动的或在解答潜在供应商提出的澄清问题时对已发出的招标文件进行修改。</w:t>
      </w:r>
    </w:p>
    <w:p>
      <w:pPr>
        <w:widowControl/>
        <w:numPr>
          <w:ilvl w:val="1"/>
          <w:numId w:val="28"/>
        </w:numPr>
        <w:adjustRightInd w:val="0"/>
        <w:snapToGrid w:val="0"/>
        <w:spacing w:line="360" w:lineRule="auto"/>
        <w:jc w:val="left"/>
        <w:rPr>
          <w:rFonts w:ascii="宋体" w:hAnsi="宋体"/>
          <w:b/>
          <w:bCs/>
          <w:szCs w:val="21"/>
        </w:rPr>
      </w:pPr>
      <w:r>
        <w:rPr>
          <w:rFonts w:hint="eastAsia" w:ascii="宋体" w:hAnsi="宋体"/>
          <w:szCs w:val="21"/>
        </w:rPr>
        <w:t>招标文件的修改内容是招标文件的组成部分。澄清或者修改的内容可能影响投标文件编制的，采购人或者采购代理机构应当在投标截止时间至少15日前，以书面形式通知所有获取招标文件的潜在投标人，并对潜在投标人具有约束力。潜在投标人在收到上述通知后，应立即以书面形式向采购人或采购代理机构确认。不足15日的，采购人或者采购代理机构应当顺延提交投标文件的截止时间。</w:t>
      </w:r>
    </w:p>
    <w:bookmarkEnd w:id="69"/>
    <w:p>
      <w:pPr>
        <w:numPr>
          <w:ilvl w:val="1"/>
          <w:numId w:val="28"/>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对招标文件中描述有歧意或前后不一致的地方，评标委员会有权进行评判</w:t>
      </w:r>
      <w:r>
        <w:rPr>
          <w:rFonts w:hint="eastAsia" w:ascii="宋体" w:hAnsi="宋体" w:cs="宋体"/>
          <w:szCs w:val="21"/>
        </w:rPr>
        <w:t>，</w:t>
      </w:r>
      <w:r>
        <w:rPr>
          <w:rFonts w:hint="eastAsia" w:ascii="宋体" w:hAnsi="宋体" w:cs="宋体"/>
          <w:szCs w:val="21"/>
          <w:lang w:eastAsia="zh-TW"/>
        </w:rPr>
        <w:t>但对同一条款的评判应适用于每个投标人。</w:t>
      </w:r>
    </w:p>
    <w:p>
      <w:pPr>
        <w:numPr>
          <w:ilvl w:val="0"/>
          <w:numId w:val="28"/>
        </w:numPr>
        <w:autoSpaceDE w:val="0"/>
        <w:autoSpaceDN w:val="0"/>
        <w:adjustRightInd w:val="0"/>
        <w:snapToGrid w:val="0"/>
        <w:spacing w:line="360" w:lineRule="auto"/>
        <w:ind w:left="449" w:hanging="449" w:hangingChars="213"/>
        <w:outlineLvl w:val="2"/>
        <w:rPr>
          <w:rFonts w:ascii="宋体" w:hAnsi="宋体" w:cs="宋体"/>
          <w:szCs w:val="21"/>
          <w:lang w:eastAsia="zh-TW"/>
        </w:rPr>
      </w:pPr>
      <w:r>
        <w:rPr>
          <w:rFonts w:hint="eastAsia" w:ascii="宋体" w:hAnsi="宋体"/>
          <w:b/>
          <w:bCs/>
          <w:szCs w:val="21"/>
        </w:rPr>
        <w:t>招标文件的答疑或现场考察</w:t>
      </w:r>
    </w:p>
    <w:p>
      <w:pPr>
        <w:widowControl/>
        <w:numPr>
          <w:ilvl w:val="1"/>
          <w:numId w:val="28"/>
        </w:numPr>
        <w:adjustRightInd w:val="0"/>
        <w:snapToGrid w:val="0"/>
        <w:spacing w:line="360" w:lineRule="auto"/>
        <w:jc w:val="left"/>
        <w:rPr>
          <w:rFonts w:ascii="宋体" w:hAnsi="宋体"/>
          <w:szCs w:val="21"/>
        </w:rPr>
      </w:pPr>
      <w:r>
        <w:rPr>
          <w:rFonts w:hint="eastAsia" w:ascii="宋体" w:hAnsi="宋体"/>
          <w:bCs/>
          <w:szCs w:val="21"/>
        </w:rPr>
        <w:t>除非</w:t>
      </w:r>
      <w:r>
        <w:rPr>
          <w:rFonts w:hint="eastAsia" w:ascii="宋体" w:hAnsi="宋体"/>
          <w:b/>
          <w:bCs/>
          <w:szCs w:val="21"/>
        </w:rPr>
        <w:t>投标资料表</w:t>
      </w:r>
      <w:r>
        <w:rPr>
          <w:rFonts w:hint="eastAsia" w:ascii="宋体" w:hAnsi="宋体"/>
          <w:bCs/>
          <w:szCs w:val="21"/>
        </w:rPr>
        <w:t>中另有规定，本项目不举行集中答疑会或现场考察。如有必要，投标人可以自行考察现场情况、周围环境及交通等状况。如举行集中答疑会或现场考察，则按以下规定</w:t>
      </w:r>
      <w:r>
        <w:rPr>
          <w:rFonts w:hint="eastAsia" w:ascii="宋体" w:hAnsi="宋体" w:cs="宋体"/>
          <w:szCs w:val="21"/>
        </w:rPr>
        <w:t>：</w:t>
      </w:r>
    </w:p>
    <w:p>
      <w:pPr>
        <w:numPr>
          <w:ilvl w:val="2"/>
          <w:numId w:val="28"/>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在</w:t>
      </w:r>
      <w:r>
        <w:rPr>
          <w:rFonts w:hint="eastAsia" w:ascii="宋体" w:hAnsi="宋体" w:cs="黑体"/>
          <w:b/>
          <w:szCs w:val="21"/>
          <w:lang w:eastAsia="zh-TW"/>
        </w:rPr>
        <w:t>投标资料表</w:t>
      </w:r>
      <w:r>
        <w:rPr>
          <w:rFonts w:hint="eastAsia" w:ascii="宋体" w:hAnsi="宋体" w:cs="宋体"/>
          <w:szCs w:val="21"/>
        </w:rPr>
        <w:t>中规定的日期、时间和地点组织公开答疑会或现场考察；</w:t>
      </w:r>
    </w:p>
    <w:p>
      <w:pPr>
        <w:numPr>
          <w:ilvl w:val="2"/>
          <w:numId w:val="28"/>
        </w:numPr>
        <w:tabs>
          <w:tab w:val="left" w:pos="851"/>
          <w:tab w:val="clear" w:pos="567"/>
        </w:tabs>
        <w:autoSpaceDE w:val="0"/>
        <w:autoSpaceDN w:val="0"/>
        <w:adjustRightInd w:val="0"/>
        <w:snapToGrid w:val="0"/>
        <w:spacing w:line="360" w:lineRule="auto"/>
        <w:ind w:left="851" w:hanging="851"/>
        <w:rPr>
          <w:rFonts w:ascii="宋体" w:hAnsi="宋体" w:cs="宋体"/>
          <w:szCs w:val="21"/>
          <w:lang w:eastAsia="zh-TW"/>
        </w:rPr>
      </w:pPr>
      <w:r>
        <w:rPr>
          <w:rFonts w:hint="eastAsia" w:ascii="宋体" w:hAnsi="宋体" w:cs="宋体"/>
          <w:szCs w:val="21"/>
        </w:rPr>
        <w:t>潜在</w:t>
      </w:r>
      <w:r>
        <w:rPr>
          <w:rFonts w:hint="eastAsia" w:ascii="宋体" w:hAnsi="宋体" w:cs="宋体"/>
          <w:szCs w:val="21"/>
          <w:lang w:eastAsia="zh-TW"/>
        </w:rPr>
        <w:t>投标人对本项目提出的疑问，需在答疑会</w:t>
      </w:r>
      <w:r>
        <w:rPr>
          <w:rFonts w:hint="eastAsia" w:ascii="宋体" w:hAnsi="宋体" w:cs="宋体"/>
          <w:szCs w:val="21"/>
        </w:rPr>
        <w:t>或现场考察</w:t>
      </w:r>
      <w:r>
        <w:rPr>
          <w:rFonts w:hint="eastAsia" w:ascii="宋体" w:hAnsi="宋体" w:cs="宋体"/>
          <w:szCs w:val="21"/>
          <w:lang w:eastAsia="zh-TW"/>
        </w:rPr>
        <w:t>召开日前至少一个工作日将问题清单以书面形式（加盖公章）提交至采购代理机构，</w:t>
      </w:r>
      <w:r>
        <w:rPr>
          <w:rFonts w:hint="eastAsia" w:ascii="宋体" w:hAnsi="宋体" w:cs="宋体"/>
          <w:szCs w:val="21"/>
        </w:rPr>
        <w:t>潜在</w:t>
      </w:r>
      <w:r>
        <w:rPr>
          <w:rFonts w:hint="eastAsia" w:ascii="宋体" w:hAnsi="宋体" w:cs="宋体"/>
          <w:szCs w:val="21"/>
          <w:lang w:eastAsia="zh-TW"/>
        </w:rPr>
        <w:t>投标人代表于上述的时间和地点出席答疑会</w:t>
      </w:r>
      <w:r>
        <w:rPr>
          <w:rFonts w:hint="eastAsia" w:ascii="宋体" w:hAnsi="宋体" w:cs="宋体"/>
          <w:szCs w:val="21"/>
        </w:rPr>
        <w:t>或现场考察</w:t>
      </w:r>
      <w:r>
        <w:rPr>
          <w:rFonts w:hint="eastAsia" w:ascii="宋体" w:hAnsi="宋体" w:cs="宋体"/>
          <w:szCs w:val="21"/>
          <w:lang w:eastAsia="zh-TW"/>
        </w:rPr>
        <w:t>。</w:t>
      </w:r>
    </w:p>
    <w:p>
      <w:pPr>
        <w:numPr>
          <w:ilvl w:val="1"/>
          <w:numId w:val="28"/>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已购买</w:t>
      </w:r>
      <w:r>
        <w:rPr>
          <w:rFonts w:hint="eastAsia" w:ascii="宋体" w:hAnsi="宋体" w:cs="宋体"/>
          <w:szCs w:val="21"/>
        </w:rPr>
        <w:t>招标</w:t>
      </w:r>
      <w:r>
        <w:rPr>
          <w:rFonts w:hint="eastAsia" w:ascii="宋体" w:hAnsi="宋体" w:cs="宋体"/>
          <w:szCs w:val="21"/>
          <w:lang w:eastAsia="zh-TW"/>
        </w:rPr>
        <w:t>文件的投标人如不出席答疑会</w:t>
      </w:r>
      <w:r>
        <w:rPr>
          <w:rFonts w:hint="eastAsia" w:ascii="宋体" w:hAnsi="宋体" w:cs="宋体"/>
          <w:szCs w:val="21"/>
        </w:rPr>
        <w:t>或现场考察</w:t>
      </w:r>
      <w:r>
        <w:rPr>
          <w:rFonts w:hint="eastAsia" w:ascii="宋体" w:hAnsi="宋体" w:cs="宋体"/>
          <w:szCs w:val="21"/>
          <w:lang w:eastAsia="zh-TW"/>
        </w:rPr>
        <w:t>视为对招标文件所有内容无任何异议。</w:t>
      </w:r>
    </w:p>
    <w:p>
      <w:pPr>
        <w:numPr>
          <w:ilvl w:val="0"/>
          <w:numId w:val="27"/>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70" w:name="_Toc438223022"/>
      <w:bookmarkStart w:id="71" w:name="_Toc435542347"/>
      <w:r>
        <w:rPr>
          <w:rFonts w:hint="eastAsia" w:ascii="宋体" w:hAnsi="宋体"/>
          <w:b/>
          <w:sz w:val="28"/>
          <w:szCs w:val="28"/>
          <w:lang w:eastAsia="zh-TW"/>
        </w:rPr>
        <w:t>投标文件的编制</w:t>
      </w:r>
      <w:bookmarkEnd w:id="70"/>
      <w:bookmarkEnd w:id="71"/>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bookmarkStart w:id="72" w:name="_Toc237787500"/>
      <w:r>
        <w:rPr>
          <w:rFonts w:hint="eastAsia" w:ascii="宋体" w:hAnsi="宋体"/>
          <w:b/>
          <w:bCs/>
          <w:szCs w:val="21"/>
        </w:rPr>
        <w:t>投标的语言</w:t>
      </w:r>
      <w:bookmarkEnd w:id="72"/>
      <w:r>
        <w:rPr>
          <w:rFonts w:hint="eastAsia" w:ascii="宋体" w:hAnsi="宋体"/>
          <w:b/>
          <w:bCs/>
          <w:szCs w:val="21"/>
        </w:rPr>
        <w:t>及度量衡单位</w:t>
      </w:r>
    </w:p>
    <w:p>
      <w:pPr>
        <w:numPr>
          <w:ilvl w:val="1"/>
          <w:numId w:val="28"/>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投标人提交的投标文件以及投标人与招标采购单位就有关投标的所有来往函电均应使用中文书写</w:t>
      </w:r>
      <w:r>
        <w:rPr>
          <w:rFonts w:hint="eastAsia" w:ascii="宋体" w:hAnsi="宋体" w:cs="宋体"/>
          <w:szCs w:val="21"/>
        </w:rPr>
        <w:t>。投</w:t>
      </w:r>
      <w:r>
        <w:rPr>
          <w:rFonts w:hint="eastAsia" w:ascii="宋体" w:hAnsi="宋体" w:cs="宋体"/>
          <w:szCs w:val="21"/>
          <w:lang w:eastAsia="zh-TW"/>
        </w:rPr>
        <w:t>标人提交的支持资料和</w:t>
      </w:r>
      <w:r>
        <w:rPr>
          <w:rFonts w:hint="eastAsia" w:ascii="宋体" w:hAnsi="宋体" w:cs="宋体"/>
          <w:szCs w:val="21"/>
        </w:rPr>
        <w:t>已</w:t>
      </w:r>
      <w:r>
        <w:rPr>
          <w:rFonts w:hint="eastAsia" w:ascii="宋体" w:hAnsi="宋体" w:cs="宋体"/>
          <w:szCs w:val="21"/>
          <w:lang w:eastAsia="zh-TW"/>
        </w:rPr>
        <w:t>印刷的文献可以用另一种语言</w:t>
      </w:r>
      <w:r>
        <w:rPr>
          <w:rFonts w:hint="eastAsia" w:ascii="宋体" w:hAnsi="宋体" w:cs="宋体"/>
          <w:szCs w:val="21"/>
        </w:rPr>
        <w:t>，</w:t>
      </w:r>
      <w:r>
        <w:rPr>
          <w:rFonts w:hint="eastAsia" w:ascii="宋体" w:hAnsi="宋体" w:cs="宋体"/>
          <w:szCs w:val="21"/>
          <w:lang w:eastAsia="zh-TW"/>
        </w:rPr>
        <w:t>但相应内容应附有中文翻译本</w:t>
      </w:r>
      <w:r>
        <w:rPr>
          <w:rFonts w:hint="eastAsia" w:ascii="宋体" w:hAnsi="宋体" w:cs="宋体"/>
          <w:szCs w:val="21"/>
        </w:rPr>
        <w:t>，</w:t>
      </w:r>
      <w:r>
        <w:rPr>
          <w:rFonts w:hint="eastAsia" w:ascii="宋体" w:hAnsi="宋体" w:cs="宋体"/>
          <w:szCs w:val="21"/>
          <w:lang w:eastAsia="zh-TW"/>
        </w:rPr>
        <w:t>在解释投标文件的修改内容时以中文翻译本为准。对中文翻译有异议的</w:t>
      </w:r>
      <w:r>
        <w:rPr>
          <w:rFonts w:hint="eastAsia" w:ascii="宋体" w:hAnsi="宋体" w:cs="宋体"/>
          <w:szCs w:val="21"/>
        </w:rPr>
        <w:t>，</w:t>
      </w:r>
      <w:r>
        <w:rPr>
          <w:rFonts w:hint="eastAsia" w:ascii="宋体" w:hAnsi="宋体" w:cs="宋体"/>
          <w:szCs w:val="21"/>
          <w:lang w:eastAsia="zh-TW"/>
        </w:rPr>
        <w:t>以权威机构的译本为准。</w:t>
      </w:r>
    </w:p>
    <w:p>
      <w:pPr>
        <w:numPr>
          <w:ilvl w:val="1"/>
          <w:numId w:val="28"/>
        </w:numPr>
        <w:tabs>
          <w:tab w:val="left" w:pos="851"/>
        </w:tabs>
        <w:autoSpaceDE w:val="0"/>
        <w:autoSpaceDN w:val="0"/>
        <w:adjustRightInd w:val="0"/>
        <w:snapToGrid w:val="0"/>
        <w:spacing w:line="360" w:lineRule="auto"/>
        <w:rPr>
          <w:rFonts w:ascii="宋体" w:hAnsi="宋体" w:cs="宋体"/>
          <w:szCs w:val="21"/>
        </w:rPr>
      </w:pPr>
      <w:bookmarkStart w:id="73" w:name="_Toc237787502"/>
      <w:r>
        <w:rPr>
          <w:rFonts w:hint="eastAsia" w:ascii="宋体" w:hAnsi="宋体" w:cs="宋体"/>
          <w:szCs w:val="21"/>
        </w:rPr>
        <w:t>除非招标文件的</w:t>
      </w:r>
      <w:r>
        <w:rPr>
          <w:rFonts w:hint="eastAsia" w:ascii="宋体" w:hAnsi="宋体" w:cs="宋体"/>
          <w:b/>
          <w:szCs w:val="21"/>
        </w:rPr>
        <w:t>技术规格</w:t>
      </w:r>
      <w:r>
        <w:rPr>
          <w:rFonts w:hint="eastAsia" w:ascii="宋体" w:hAnsi="宋体" w:cs="宋体"/>
          <w:szCs w:val="21"/>
        </w:rPr>
        <w:t>中另有规定，投标人在投标文件中及其与采购人和采购代理机构的所有往来文件中的度量衡单位均应采用中华人民共和国法定计量单位</w:t>
      </w:r>
      <w:bookmarkEnd w:id="73"/>
      <w:r>
        <w:rPr>
          <w:rFonts w:hint="eastAsia" w:ascii="宋体" w:hAnsi="宋体" w:cs="宋体"/>
          <w:szCs w:val="21"/>
          <w:lang w:eastAsia="zh-TW"/>
        </w:rPr>
        <w:t>。</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投标文件的构成</w:t>
      </w:r>
    </w:p>
    <w:p>
      <w:pPr>
        <w:numPr>
          <w:ilvl w:val="1"/>
          <w:numId w:val="2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投标人编写的投标文件应包括</w:t>
      </w:r>
      <w:r>
        <w:rPr>
          <w:rFonts w:hint="eastAsia" w:ascii="宋体" w:hAnsi="宋体" w:cs="宋体"/>
          <w:szCs w:val="21"/>
        </w:rPr>
        <w:t>初审文件、技术文件、商务文件</w:t>
      </w:r>
      <w:r>
        <w:rPr>
          <w:rFonts w:hint="eastAsia" w:ascii="宋体" w:hAnsi="宋体" w:cs="宋体"/>
          <w:szCs w:val="21"/>
          <w:lang w:eastAsia="zh-TW"/>
        </w:rPr>
        <w:t>，编排顺序参见投标文件格式</w:t>
      </w:r>
      <w:r>
        <w:rPr>
          <w:rFonts w:hint="eastAsia" w:ascii="宋体" w:hAnsi="宋体" w:cs="宋体"/>
          <w:szCs w:val="21"/>
        </w:rPr>
        <w:t>。</w:t>
      </w:r>
    </w:p>
    <w:p>
      <w:pPr>
        <w:numPr>
          <w:ilvl w:val="1"/>
          <w:numId w:val="2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投标文件的构成应符合法律法规及招标文件的要求。</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投标文件的编写</w:t>
      </w:r>
    </w:p>
    <w:p>
      <w:pPr>
        <w:numPr>
          <w:ilvl w:val="1"/>
          <w:numId w:val="28"/>
        </w:numPr>
        <w:autoSpaceDE w:val="0"/>
        <w:autoSpaceDN w:val="0"/>
        <w:adjustRightInd w:val="0"/>
        <w:snapToGrid w:val="0"/>
        <w:spacing w:line="360" w:lineRule="auto"/>
        <w:rPr>
          <w:rFonts w:ascii="宋体" w:hAnsi="宋体" w:cs="宋体"/>
          <w:szCs w:val="21"/>
        </w:rPr>
      </w:pPr>
      <w:r>
        <w:rPr>
          <w:rFonts w:hint="eastAsia" w:ascii="宋体" w:hAnsi="宋体"/>
          <w:szCs w:val="21"/>
        </w:rPr>
        <w:t>投标人应按照招标文件</w:t>
      </w:r>
      <w:r>
        <w:rPr>
          <w:rFonts w:hint="eastAsia" w:ascii="宋体" w:hAnsi="宋体"/>
          <w:b/>
          <w:szCs w:val="21"/>
        </w:rPr>
        <w:t>第六章投标文件格式</w:t>
      </w:r>
      <w:r>
        <w:rPr>
          <w:rFonts w:hint="eastAsia" w:ascii="宋体" w:hAnsi="宋体"/>
          <w:szCs w:val="21"/>
        </w:rPr>
        <w:t>完整地填</w:t>
      </w:r>
      <w:r>
        <w:rPr>
          <w:rFonts w:hint="eastAsia" w:ascii="宋体" w:hAnsi="宋体" w:cs="宋体"/>
          <w:szCs w:val="21"/>
          <w:lang w:eastAsia="zh-TW"/>
        </w:rPr>
        <w:t>写投标函、开标一览表(报价表)、投标分项报价表（如适用）以及招标文件中规定的其它</w:t>
      </w:r>
      <w:r>
        <w:rPr>
          <w:rFonts w:hint="eastAsia" w:ascii="宋体" w:hAnsi="宋体" w:cs="宋体"/>
          <w:szCs w:val="21"/>
        </w:rPr>
        <w:t>所有</w:t>
      </w:r>
      <w:r>
        <w:rPr>
          <w:rFonts w:hint="eastAsia" w:ascii="宋体" w:hAnsi="宋体" w:cs="宋体"/>
          <w:szCs w:val="21"/>
          <w:lang w:eastAsia="zh-TW"/>
        </w:rPr>
        <w:t>内容。</w:t>
      </w:r>
    </w:p>
    <w:p>
      <w:pPr>
        <w:numPr>
          <w:ilvl w:val="1"/>
          <w:numId w:val="28"/>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投标人对招标文件中多个包组进行投标的</w:t>
      </w:r>
      <w:r>
        <w:rPr>
          <w:rFonts w:hint="eastAsia" w:ascii="宋体" w:hAnsi="宋体" w:cs="宋体"/>
          <w:szCs w:val="21"/>
        </w:rPr>
        <w:t>，</w:t>
      </w:r>
      <w:r>
        <w:rPr>
          <w:rFonts w:hint="eastAsia" w:ascii="宋体" w:hAnsi="宋体" w:cs="宋体"/>
          <w:szCs w:val="21"/>
          <w:lang w:eastAsia="zh-TW"/>
        </w:rPr>
        <w:t>其投标文件的编制</w:t>
      </w:r>
      <w:r>
        <w:rPr>
          <w:rFonts w:hint="eastAsia" w:ascii="宋体" w:hAnsi="宋体" w:cs="宋体"/>
          <w:szCs w:val="21"/>
        </w:rPr>
        <w:t>可按</w:t>
      </w:r>
      <w:r>
        <w:rPr>
          <w:rFonts w:hint="eastAsia" w:ascii="宋体" w:hAnsi="宋体" w:cs="宋体"/>
          <w:szCs w:val="21"/>
          <w:lang w:eastAsia="zh-TW"/>
        </w:rPr>
        <w:t>每个包组的要求分别装订和封装。投标人应当对投标文件进行装订，对未经装订的投标文件可能发生的文件散落或缺损，由此造成的后果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1"/>
          <w:numId w:val="28"/>
        </w:numPr>
        <w:tabs>
          <w:tab w:val="left" w:pos="709"/>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投标人必须对投标文件所提供的全部资料的真实性承担法律责任，并无条件接受招标采购单位及监管部门等对其中任何资料进行核实的要求。</w:t>
      </w:r>
    </w:p>
    <w:p>
      <w:pPr>
        <w:numPr>
          <w:ilvl w:val="1"/>
          <w:numId w:val="28"/>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如果因为投标人</w:t>
      </w:r>
      <w:r>
        <w:rPr>
          <w:rFonts w:hint="eastAsia" w:ascii="宋体" w:hAnsi="宋体" w:cs="宋体"/>
          <w:szCs w:val="21"/>
        </w:rPr>
        <w:t>的</w:t>
      </w:r>
      <w:r>
        <w:rPr>
          <w:rFonts w:hint="eastAsia" w:ascii="宋体" w:hAnsi="宋体" w:cs="宋体"/>
          <w:szCs w:val="21"/>
          <w:lang w:eastAsia="zh-TW"/>
        </w:rPr>
        <w:t>投标文件只填写和提供了本</w:t>
      </w:r>
      <w:r>
        <w:rPr>
          <w:rFonts w:hint="eastAsia" w:ascii="宋体" w:hAnsi="宋体" w:cs="宋体"/>
          <w:szCs w:val="21"/>
        </w:rPr>
        <w:t>招标</w:t>
      </w:r>
      <w:r>
        <w:rPr>
          <w:rFonts w:hint="eastAsia" w:ascii="宋体" w:hAnsi="宋体" w:cs="宋体"/>
          <w:szCs w:val="21"/>
          <w:lang w:eastAsia="zh-TW"/>
        </w:rPr>
        <w:t>文件要求的部分内容和附件，或没有提供招标文件中所要求的全部资料及数据，由此造成的后果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投标报价</w:t>
      </w:r>
    </w:p>
    <w:p>
      <w:pPr>
        <w:numPr>
          <w:ilvl w:val="1"/>
          <w:numId w:val="28"/>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投标人应按照“第</w:t>
      </w:r>
      <w:r>
        <w:rPr>
          <w:rFonts w:hint="eastAsia" w:ascii="宋体" w:hAnsi="宋体" w:cs="宋体"/>
          <w:szCs w:val="21"/>
        </w:rPr>
        <w:t>四</w:t>
      </w:r>
      <w:r>
        <w:rPr>
          <w:rFonts w:hint="eastAsia" w:ascii="宋体" w:hAnsi="宋体" w:cs="宋体"/>
          <w:szCs w:val="21"/>
          <w:lang w:eastAsia="zh-TW"/>
        </w:rPr>
        <w:t>章　用户需求书”</w:t>
      </w:r>
      <w:r>
        <w:rPr>
          <w:rFonts w:hint="eastAsia" w:ascii="宋体" w:hAnsi="宋体" w:cs="宋体"/>
          <w:szCs w:val="21"/>
        </w:rPr>
        <w:t>中</w:t>
      </w:r>
      <w:r>
        <w:rPr>
          <w:rFonts w:hint="eastAsia" w:ascii="宋体" w:hAnsi="宋体" w:cs="宋体"/>
          <w:szCs w:val="21"/>
          <w:lang w:eastAsia="zh-TW"/>
        </w:rPr>
        <w:t>采购项目</w:t>
      </w:r>
      <w:r>
        <w:rPr>
          <w:rFonts w:hint="eastAsia" w:ascii="宋体" w:hAnsi="宋体" w:cs="宋体"/>
          <w:szCs w:val="21"/>
        </w:rPr>
        <w:t>服务</w:t>
      </w:r>
      <w:r>
        <w:rPr>
          <w:rFonts w:hint="eastAsia" w:ascii="宋体" w:hAnsi="宋体" w:cs="宋体"/>
          <w:szCs w:val="21"/>
          <w:lang w:eastAsia="zh-TW"/>
        </w:rPr>
        <w:t>要求规定的内容、责任范围进行报价。并按《</w:t>
      </w:r>
      <w:r>
        <w:rPr>
          <w:rFonts w:hint="eastAsia" w:ascii="宋体" w:hAnsi="宋体" w:cs="宋体"/>
          <w:szCs w:val="21"/>
        </w:rPr>
        <w:t>开标一览表(报价表)</w:t>
      </w:r>
      <w:r>
        <w:rPr>
          <w:rFonts w:hint="eastAsia" w:ascii="宋体" w:hAnsi="宋体" w:cs="宋体"/>
          <w:szCs w:val="21"/>
          <w:lang w:eastAsia="zh-TW"/>
        </w:rPr>
        <w:t>》</w:t>
      </w:r>
      <w:r>
        <w:rPr>
          <w:rFonts w:hint="eastAsia" w:ascii="宋体" w:hAnsi="宋体" w:cs="宋体"/>
          <w:szCs w:val="21"/>
        </w:rPr>
        <w:t>及</w:t>
      </w:r>
      <w:r>
        <w:rPr>
          <w:rFonts w:hint="eastAsia" w:ascii="宋体" w:hAnsi="宋体" w:cs="宋体"/>
          <w:szCs w:val="21"/>
          <w:lang w:eastAsia="zh-TW"/>
        </w:rPr>
        <w:t>《投标分项报价表》（如适用）的</w:t>
      </w:r>
      <w:r>
        <w:rPr>
          <w:rFonts w:hint="eastAsia" w:ascii="宋体" w:hAnsi="宋体" w:cs="宋体"/>
          <w:szCs w:val="21"/>
        </w:rPr>
        <w:t>要求</w:t>
      </w:r>
      <w:r>
        <w:rPr>
          <w:rFonts w:hint="eastAsia" w:ascii="宋体" w:hAnsi="宋体" w:cs="宋体"/>
          <w:szCs w:val="21"/>
          <w:lang w:eastAsia="zh-TW"/>
        </w:rPr>
        <w:t>报出总价和分项价格。投标总价中不得包含招标文件要求以外的内容，否则，在评标时不予核减。</w:t>
      </w:r>
    </w:p>
    <w:p>
      <w:pPr>
        <w:numPr>
          <w:ilvl w:val="1"/>
          <w:numId w:val="28"/>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投标总价中也不得缺漏招标文件所要求的内容，否则，被视为</w:t>
      </w:r>
      <w:r>
        <w:rPr>
          <w:rFonts w:hint="eastAsia" w:ascii="宋体" w:hAnsi="宋体" w:cs="宋体"/>
          <w:szCs w:val="21"/>
        </w:rPr>
        <w:t>包含在投标报价中</w:t>
      </w:r>
      <w:r>
        <w:rPr>
          <w:rFonts w:hint="eastAsia" w:ascii="宋体" w:hAnsi="宋体" w:cs="宋体"/>
          <w:szCs w:val="21"/>
          <w:lang w:eastAsia="zh-TW"/>
        </w:rPr>
        <w:t>。</w:t>
      </w:r>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投标分项报价表</w:t>
      </w:r>
      <w:r>
        <w:rPr>
          <w:rFonts w:hint="eastAsia" w:ascii="宋体" w:hAnsi="宋体" w:cs="宋体"/>
          <w:szCs w:val="21"/>
        </w:rPr>
        <w:t>内容应包含：</w:t>
      </w:r>
    </w:p>
    <w:p>
      <w:pPr>
        <w:numPr>
          <w:ilvl w:val="2"/>
          <w:numId w:val="28"/>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招标文件要求全部服务所需的费用；</w:t>
      </w:r>
    </w:p>
    <w:p>
      <w:pPr>
        <w:numPr>
          <w:ilvl w:val="2"/>
          <w:numId w:val="28"/>
        </w:numPr>
        <w:tabs>
          <w:tab w:val="left" w:pos="709"/>
          <w:tab w:val="left" w:pos="851"/>
          <w:tab w:val="clear" w:pos="567"/>
        </w:tabs>
        <w:autoSpaceDE w:val="0"/>
        <w:autoSpaceDN w:val="0"/>
        <w:adjustRightInd w:val="0"/>
        <w:snapToGrid w:val="0"/>
        <w:spacing w:line="360" w:lineRule="auto"/>
        <w:ind w:left="709" w:hanging="709"/>
        <w:jc w:val="left"/>
        <w:rPr>
          <w:rFonts w:ascii="宋体" w:hAnsi="宋体"/>
          <w:szCs w:val="21"/>
        </w:rPr>
      </w:pPr>
      <w:r>
        <w:rPr>
          <w:rFonts w:hint="eastAsia" w:ascii="宋体" w:hAnsi="宋体" w:cs="宋体"/>
          <w:szCs w:val="21"/>
        </w:rPr>
        <w:t>投标报价包含履行合同所有相关服务所需的费用；</w:t>
      </w:r>
    </w:p>
    <w:p>
      <w:pPr>
        <w:numPr>
          <w:ilvl w:val="2"/>
          <w:numId w:val="28"/>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投标报价均应包含所有的税费；</w:t>
      </w:r>
    </w:p>
    <w:p>
      <w:pPr>
        <w:numPr>
          <w:ilvl w:val="2"/>
          <w:numId w:val="28"/>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其他一切隐含及不可预见的费用；</w:t>
      </w:r>
    </w:p>
    <w:p>
      <w:pPr>
        <w:numPr>
          <w:ilvl w:val="1"/>
          <w:numId w:val="28"/>
        </w:numPr>
        <w:autoSpaceDE w:val="0"/>
        <w:autoSpaceDN w:val="0"/>
        <w:adjustRightInd w:val="0"/>
        <w:snapToGrid w:val="0"/>
        <w:spacing w:line="360" w:lineRule="auto"/>
        <w:jc w:val="left"/>
        <w:rPr>
          <w:rFonts w:ascii="宋体" w:hAnsi="宋体" w:cs="宋体"/>
          <w:szCs w:val="21"/>
          <w:lang w:eastAsia="zh-TW"/>
        </w:rPr>
      </w:pPr>
      <w:r>
        <w:rPr>
          <w:rFonts w:hint="eastAsia" w:ascii="宋体" w:hAnsi="宋体" w:cs="宋体"/>
          <w:szCs w:val="21"/>
        </w:rPr>
        <w:t>投标报价为本次招标内容的总价包干，投标报价即为合同价，不得在中标后提出任何增加费用要求，投标人在投标时应充分考虑相关风险性因素。投标人在中标并签署合同后，服务期限内出现的任何遗漏，均由中标人负责，采购人将不再支付任何费用。</w:t>
      </w:r>
    </w:p>
    <w:p>
      <w:pPr>
        <w:numPr>
          <w:ilvl w:val="1"/>
          <w:numId w:val="2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对于报价免费的</w:t>
      </w:r>
      <w:r>
        <w:rPr>
          <w:rFonts w:hint="eastAsia" w:ascii="宋体" w:hAnsi="宋体" w:cs="宋体"/>
          <w:szCs w:val="21"/>
        </w:rPr>
        <w:t>内容</w:t>
      </w:r>
      <w:r>
        <w:rPr>
          <w:rFonts w:hint="eastAsia" w:ascii="宋体" w:hAnsi="宋体" w:cs="宋体"/>
          <w:szCs w:val="21"/>
          <w:lang w:eastAsia="zh-TW"/>
        </w:rPr>
        <w:t>须标明“免费”。</w:t>
      </w:r>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投标人根据本须知</w:t>
      </w:r>
      <w:r>
        <w:rPr>
          <w:rFonts w:hint="eastAsia" w:ascii="宋体" w:hAnsi="宋体" w:cs="宋体"/>
          <w:szCs w:val="21"/>
        </w:rPr>
        <w:t>第17.3条</w:t>
      </w:r>
      <w:r>
        <w:rPr>
          <w:rFonts w:hint="eastAsia" w:ascii="宋体" w:hAnsi="宋体" w:cs="宋体"/>
          <w:szCs w:val="21"/>
          <w:lang w:eastAsia="zh-TW"/>
        </w:rPr>
        <w:t>的规定将投标</w:t>
      </w:r>
      <w:r>
        <w:rPr>
          <w:rFonts w:hint="eastAsia" w:ascii="宋体" w:hAnsi="宋体" w:cs="宋体"/>
          <w:szCs w:val="21"/>
        </w:rPr>
        <w:t>报</w:t>
      </w:r>
      <w:r>
        <w:rPr>
          <w:rFonts w:hint="eastAsia" w:ascii="宋体" w:hAnsi="宋体" w:cs="宋体"/>
          <w:szCs w:val="21"/>
          <w:lang w:eastAsia="zh-TW"/>
        </w:rPr>
        <w:t>价分成几部分</w:t>
      </w:r>
      <w:r>
        <w:rPr>
          <w:rFonts w:hint="eastAsia" w:ascii="宋体" w:hAnsi="宋体" w:cs="宋体"/>
          <w:szCs w:val="21"/>
        </w:rPr>
        <w:t>，</w:t>
      </w:r>
      <w:r>
        <w:rPr>
          <w:rFonts w:hint="eastAsia" w:ascii="宋体" w:hAnsi="宋体" w:cs="宋体"/>
          <w:szCs w:val="21"/>
          <w:lang w:eastAsia="zh-TW"/>
        </w:rPr>
        <w:t>只是为了方便对</w:t>
      </w:r>
      <w:r>
        <w:rPr>
          <w:rFonts w:hint="eastAsia" w:ascii="宋体" w:hAnsi="宋体" w:cs="宋体"/>
          <w:szCs w:val="21"/>
        </w:rPr>
        <w:t>投标文件进行比较，</w:t>
      </w:r>
      <w:r>
        <w:rPr>
          <w:rFonts w:hint="eastAsia" w:ascii="宋体" w:hAnsi="宋体" w:cs="宋体"/>
          <w:szCs w:val="21"/>
          <w:lang w:eastAsia="zh-TW"/>
        </w:rPr>
        <w:t>并不限制采购人以上述任何条件订立合同的权力。</w:t>
      </w:r>
    </w:p>
    <w:p>
      <w:pPr>
        <w:numPr>
          <w:ilvl w:val="1"/>
          <w:numId w:val="28"/>
        </w:numPr>
        <w:autoSpaceDE w:val="0"/>
        <w:autoSpaceDN w:val="0"/>
        <w:adjustRightInd w:val="0"/>
        <w:snapToGrid w:val="0"/>
        <w:spacing w:line="360" w:lineRule="auto"/>
        <w:rPr>
          <w:rFonts w:ascii="宋体" w:hAnsi="宋体" w:cs="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中另有规定，</w:t>
      </w:r>
      <w:r>
        <w:rPr>
          <w:rFonts w:hint="eastAsia" w:ascii="宋体" w:hAnsi="宋体" w:cs="宋体"/>
          <w:szCs w:val="21"/>
          <w:lang w:eastAsia="zh-TW"/>
        </w:rPr>
        <w:t>投标人所报的投标价在合同执行过程中是固定不变的</w:t>
      </w:r>
      <w:r>
        <w:rPr>
          <w:rFonts w:hint="eastAsia" w:ascii="宋体" w:hAnsi="宋体" w:cs="宋体"/>
          <w:szCs w:val="21"/>
        </w:rPr>
        <w:t>，</w:t>
      </w:r>
      <w:r>
        <w:rPr>
          <w:rFonts w:hint="eastAsia" w:ascii="宋体" w:hAnsi="宋体" w:cs="宋体"/>
          <w:szCs w:val="21"/>
          <w:lang w:eastAsia="zh-TW"/>
        </w:rPr>
        <w:t>不得以任何理由予以变更。任何包含价格调整要求的投标被认为是非实质性响应投标而予以拒绝。</w:t>
      </w:r>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中允许有备选方案外，本次招标不接受选择性报价，</w:t>
      </w:r>
      <w:r>
        <w:rPr>
          <w:rFonts w:hint="eastAsia" w:ascii="宋体" w:hAnsi="宋体" w:cs="宋体"/>
          <w:szCs w:val="21"/>
        </w:rPr>
        <w:t>否则将被视为无效投标。</w:t>
      </w:r>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szCs w:val="21"/>
        </w:rPr>
        <w:t>除</w:t>
      </w:r>
      <w:r>
        <w:rPr>
          <w:rFonts w:hint="eastAsia" w:ascii="宋体" w:hAnsi="宋体"/>
          <w:b/>
          <w:szCs w:val="21"/>
        </w:rPr>
        <w:t>投标资料表</w:t>
      </w:r>
      <w:r>
        <w:rPr>
          <w:rFonts w:hint="eastAsia" w:ascii="宋体" w:hAnsi="宋体" w:cs="宋体"/>
          <w:szCs w:val="21"/>
        </w:rPr>
        <w:t>另</w:t>
      </w:r>
      <w:r>
        <w:rPr>
          <w:rFonts w:hint="eastAsia" w:ascii="宋体" w:hAnsi="宋体"/>
          <w:szCs w:val="21"/>
        </w:rPr>
        <w:t>有规定外，本次招标不接受具有附加条件的报价，</w:t>
      </w:r>
      <w:r>
        <w:rPr>
          <w:rFonts w:hint="eastAsia" w:ascii="宋体" w:hAnsi="宋体" w:cs="宋体"/>
          <w:szCs w:val="21"/>
        </w:rPr>
        <w:t>否则将被视为无效投标。</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投标货币</w:t>
      </w:r>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szCs w:val="21"/>
        </w:rPr>
        <w:t>投标人提供的货物及服务在投标时必须用人民币报价。否则，将导致其投标无效。</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联合体投标</w:t>
      </w:r>
    </w:p>
    <w:p>
      <w:pPr>
        <w:numPr>
          <w:ilvl w:val="1"/>
          <w:numId w:val="28"/>
        </w:numPr>
        <w:autoSpaceDE w:val="0"/>
        <w:autoSpaceDN w:val="0"/>
        <w:adjustRightInd w:val="0"/>
        <w:snapToGrid w:val="0"/>
        <w:spacing w:line="360" w:lineRule="auto"/>
        <w:rPr>
          <w:rFonts w:ascii="宋体" w:hAnsi="宋体" w:cs="黑体"/>
          <w:b/>
          <w:bCs/>
          <w:szCs w:val="21"/>
        </w:rPr>
      </w:pPr>
      <w:r>
        <w:rPr>
          <w:rFonts w:hint="eastAsia" w:ascii="宋体" w:hAnsi="宋体"/>
          <w:szCs w:val="21"/>
        </w:rPr>
        <w:t>除非投标邀请函中另有规定，不接受联合体投标。如果投标邀请函中规定允许联合体投标的，则必须满足：</w:t>
      </w:r>
    </w:p>
    <w:p>
      <w:pPr>
        <w:numPr>
          <w:ilvl w:val="2"/>
          <w:numId w:val="28"/>
        </w:numPr>
        <w:tabs>
          <w:tab w:val="left" w:pos="840"/>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 xml:space="preserve">以联合体形式参加投标的，联合体各方均必须符合本须知“合格的投标人”的一般规定，并至少有一方符合“供应商资格”的特殊条款要求； </w:t>
      </w:r>
    </w:p>
    <w:p>
      <w:pPr>
        <w:numPr>
          <w:ilvl w:val="2"/>
          <w:numId w:val="28"/>
        </w:numPr>
        <w:tabs>
          <w:tab w:val="left" w:pos="840"/>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联合体投标的，必须提供各方签订的共同投标协议，明确约定各方承担的工作和相应的责任。联合体各方签订共同投标协议后，不得再以自己名义单独在同一采购项目包组中投标，也不得组成新的联合体参加同一采购项目包组投标。联合体中有同类资质的供应商按照联合体分工承担相同工作的，应当按照资质等级较低的供应商确定资质等级。</w:t>
      </w:r>
    </w:p>
    <w:p>
      <w:pPr>
        <w:numPr>
          <w:ilvl w:val="2"/>
          <w:numId w:val="28"/>
        </w:numPr>
        <w:tabs>
          <w:tab w:val="left" w:pos="851"/>
        </w:tabs>
        <w:autoSpaceDE w:val="0"/>
        <w:autoSpaceDN w:val="0"/>
        <w:adjustRightInd w:val="0"/>
        <w:snapToGrid w:val="0"/>
        <w:spacing w:line="360" w:lineRule="auto"/>
        <w:rPr>
          <w:rFonts w:ascii="宋体" w:hAnsi="宋体"/>
          <w:szCs w:val="21"/>
        </w:rPr>
      </w:pPr>
      <w:r>
        <w:rPr>
          <w:rFonts w:ascii="宋体" w:hAnsi="宋体"/>
          <w:szCs w:val="21"/>
        </w:rPr>
        <w:t>联合体中标的，联合体各方应当共同与</w:t>
      </w:r>
      <w:r>
        <w:rPr>
          <w:rFonts w:hint="eastAsia" w:ascii="宋体" w:hAnsi="宋体"/>
          <w:szCs w:val="21"/>
        </w:rPr>
        <w:t>采购</w:t>
      </w:r>
      <w:r>
        <w:rPr>
          <w:rFonts w:ascii="宋体" w:hAnsi="宋体"/>
          <w:szCs w:val="21"/>
        </w:rPr>
        <w:t>人签订合同。</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证明投标人合格和资格的文件</w:t>
      </w:r>
    </w:p>
    <w:p>
      <w:pPr>
        <w:numPr>
          <w:ilvl w:val="1"/>
          <w:numId w:val="28"/>
        </w:numPr>
        <w:autoSpaceDE w:val="0"/>
        <w:autoSpaceDN w:val="0"/>
        <w:adjustRightInd w:val="0"/>
        <w:snapToGrid w:val="0"/>
        <w:spacing w:line="360" w:lineRule="auto"/>
        <w:rPr>
          <w:rFonts w:ascii="宋体" w:hAnsi="宋体" w:cs="黑体"/>
          <w:b/>
          <w:bCs/>
          <w:szCs w:val="21"/>
        </w:rPr>
      </w:pPr>
      <w:bookmarkStart w:id="74" w:name="_Toc237787518"/>
      <w:r>
        <w:rPr>
          <w:rFonts w:hint="eastAsia" w:ascii="宋体" w:hAnsi="宋体"/>
          <w:szCs w:val="21"/>
        </w:rPr>
        <w:t>投标人应提交证明其有资格参加投标和中标后有能力履行合同的文件，并作为其投标文件的一部分。</w:t>
      </w:r>
      <w:bookmarkEnd w:id="74"/>
      <w:r>
        <w:rPr>
          <w:rFonts w:hint="eastAsia" w:ascii="宋体" w:hAnsi="宋体"/>
          <w:szCs w:val="21"/>
        </w:rPr>
        <w:t>本次招标是否允许联合体投标见投标邀请函，</w:t>
      </w:r>
      <w:r>
        <w:rPr>
          <w:rFonts w:hint="eastAsia" w:ascii="宋体" w:hAnsi="宋体" w:cs="宋体"/>
          <w:szCs w:val="21"/>
          <w:lang w:eastAsia="zh-TW"/>
        </w:rPr>
        <w:t>如果</w:t>
      </w:r>
      <w:r>
        <w:rPr>
          <w:rFonts w:hint="eastAsia" w:ascii="宋体" w:hAnsi="宋体" w:cs="宋体"/>
          <w:szCs w:val="21"/>
        </w:rPr>
        <w:t>允许联合体投标，应</w:t>
      </w:r>
      <w:r>
        <w:rPr>
          <w:rFonts w:hint="eastAsia" w:ascii="宋体" w:hAnsi="宋体" w:cs="宋体"/>
          <w:szCs w:val="21"/>
          <w:lang w:eastAsia="zh-TW"/>
        </w:rPr>
        <w:t>提交联合体各方的资格证明文件、</w:t>
      </w:r>
      <w:r>
        <w:rPr>
          <w:rFonts w:hint="eastAsia" w:ascii="宋体" w:hAnsi="宋体" w:cs="宋体"/>
          <w:szCs w:val="21"/>
        </w:rPr>
        <w:t>共同投标协议</w:t>
      </w:r>
      <w:r>
        <w:rPr>
          <w:rFonts w:hint="eastAsia" w:ascii="宋体" w:hAnsi="宋体" w:cs="宋体"/>
          <w:szCs w:val="21"/>
          <w:lang w:eastAsia="zh-TW"/>
        </w:rPr>
        <w:t>并注明主体方</w:t>
      </w:r>
      <w:r>
        <w:rPr>
          <w:rFonts w:hint="eastAsia" w:ascii="宋体" w:hAnsi="宋体" w:cs="宋体"/>
          <w:szCs w:val="21"/>
        </w:rPr>
        <w:t>及各方拟承担的工作和责任，并承诺一旦中标联合体各方将向采购人承担连带责任。</w:t>
      </w:r>
      <w:r>
        <w:rPr>
          <w:rFonts w:hint="eastAsia" w:ascii="宋体" w:hAnsi="宋体" w:cs="宋体"/>
          <w:szCs w:val="21"/>
          <w:lang w:eastAsia="zh-TW"/>
        </w:rPr>
        <w:t>否则</w:t>
      </w:r>
      <w:r>
        <w:rPr>
          <w:rFonts w:hint="eastAsia" w:ascii="宋体" w:hAnsi="宋体" w:cs="宋体"/>
          <w:szCs w:val="21"/>
        </w:rPr>
        <w:t>，</w:t>
      </w:r>
      <w:r>
        <w:rPr>
          <w:rFonts w:hint="eastAsia" w:ascii="宋体" w:hAnsi="宋体" w:cs="宋体"/>
          <w:szCs w:val="21"/>
          <w:lang w:eastAsia="zh-TW"/>
        </w:rPr>
        <w:t>将导致其投标</w:t>
      </w:r>
      <w:r>
        <w:rPr>
          <w:rFonts w:hint="eastAsia" w:ascii="宋体" w:hAnsi="宋体" w:cs="宋体"/>
          <w:szCs w:val="21"/>
        </w:rPr>
        <w:t>无效。</w:t>
      </w:r>
    </w:p>
    <w:p>
      <w:pPr>
        <w:numPr>
          <w:ilvl w:val="1"/>
          <w:numId w:val="2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投标人提交的资格证明文件应证明其</w:t>
      </w:r>
      <w:r>
        <w:rPr>
          <w:rFonts w:hint="eastAsia" w:ascii="宋体" w:hAnsi="宋体" w:cs="宋体"/>
          <w:szCs w:val="21"/>
        </w:rPr>
        <w:t>满足</w:t>
      </w:r>
      <w:r>
        <w:rPr>
          <w:rFonts w:hint="eastAsia" w:ascii="宋体" w:hAnsi="宋体" w:cs="宋体"/>
          <w:szCs w:val="21"/>
          <w:lang w:eastAsia="zh-TW"/>
        </w:rPr>
        <w:t>本须知定义的合格投标人。</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证明服务的合格性和符合招标文件规定的文件</w:t>
      </w:r>
    </w:p>
    <w:p>
      <w:pPr>
        <w:numPr>
          <w:ilvl w:val="1"/>
          <w:numId w:val="2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投标人应提交证明文件，证明其拟投标的服务的合格性符合招标文件规定。该证明文件作为投标文件的一部分。</w:t>
      </w:r>
    </w:p>
    <w:p>
      <w:pPr>
        <w:numPr>
          <w:ilvl w:val="1"/>
          <w:numId w:val="2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证明服务与招标文件的要求相一致的文件，可以是文字资料、图纸和数据，它包括：</w:t>
      </w:r>
    </w:p>
    <w:p>
      <w:pPr>
        <w:numPr>
          <w:ilvl w:val="2"/>
          <w:numId w:val="28"/>
        </w:numPr>
        <w:tabs>
          <w:tab w:val="left" w:pos="784"/>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服务主要内容、方案、质量、标准指标等的详细说明；</w:t>
      </w:r>
    </w:p>
    <w:p>
      <w:pPr>
        <w:numPr>
          <w:ilvl w:val="2"/>
          <w:numId w:val="28"/>
        </w:numPr>
        <w:tabs>
          <w:tab w:val="left" w:pos="770"/>
          <w:tab w:val="clear" w:pos="567"/>
        </w:tabs>
        <w:autoSpaceDE w:val="0"/>
        <w:autoSpaceDN w:val="0"/>
        <w:adjustRightInd w:val="0"/>
        <w:snapToGrid w:val="0"/>
        <w:spacing w:line="360" w:lineRule="auto"/>
        <w:ind w:left="770" w:hanging="770"/>
        <w:rPr>
          <w:rFonts w:ascii="宋体" w:hAnsi="宋体" w:cs="宋体"/>
          <w:szCs w:val="21"/>
        </w:rPr>
      </w:pPr>
      <w:r>
        <w:rPr>
          <w:rFonts w:hint="eastAsia" w:ascii="宋体" w:hAnsi="宋体" w:cs="宋体"/>
          <w:szCs w:val="21"/>
          <w:lang w:eastAsia="zh-TW"/>
        </w:rPr>
        <w:t>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投标有效期</w:t>
      </w:r>
    </w:p>
    <w:p>
      <w:pPr>
        <w:numPr>
          <w:ilvl w:val="1"/>
          <w:numId w:val="28"/>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投标应自</w:t>
      </w:r>
      <w:r>
        <w:rPr>
          <w:rFonts w:hint="eastAsia" w:ascii="宋体" w:hAnsi="宋体" w:cs="宋体"/>
          <w:b/>
          <w:szCs w:val="21"/>
          <w:lang w:eastAsia="zh-TW"/>
        </w:rPr>
        <w:t>投标资料表</w:t>
      </w:r>
      <w:r>
        <w:rPr>
          <w:rFonts w:hint="eastAsia" w:ascii="宋体" w:hAnsi="宋体" w:cs="宋体"/>
          <w:szCs w:val="21"/>
          <w:lang w:eastAsia="zh-TW"/>
        </w:rPr>
        <w:t>中规定的</w:t>
      </w:r>
      <w:r>
        <w:rPr>
          <w:rFonts w:hint="eastAsia" w:ascii="宋体" w:hAnsi="宋体" w:cs="宋体"/>
          <w:szCs w:val="21"/>
        </w:rPr>
        <w:t>投标文件递交截止时间</w:t>
      </w:r>
      <w:r>
        <w:rPr>
          <w:rFonts w:hint="eastAsia" w:ascii="宋体" w:hAnsi="宋体" w:cs="宋体"/>
          <w:szCs w:val="21"/>
          <w:lang w:eastAsia="zh-TW"/>
        </w:rPr>
        <w:t>起</w:t>
      </w:r>
      <w:r>
        <w:rPr>
          <w:rFonts w:hint="eastAsia" w:ascii="宋体" w:hAnsi="宋体" w:cs="宋体"/>
          <w:szCs w:val="21"/>
        </w:rPr>
        <w:t>，</w:t>
      </w:r>
      <w:r>
        <w:rPr>
          <w:rFonts w:hint="eastAsia" w:ascii="宋体" w:hAnsi="宋体" w:cs="宋体"/>
          <w:szCs w:val="21"/>
          <w:lang w:eastAsia="zh-TW"/>
        </w:rPr>
        <w:t>并在</w:t>
      </w:r>
      <w:r>
        <w:rPr>
          <w:rFonts w:hint="eastAsia" w:ascii="宋体" w:hAnsi="宋体" w:cs="宋体"/>
          <w:b/>
          <w:szCs w:val="21"/>
          <w:lang w:eastAsia="zh-TW"/>
        </w:rPr>
        <w:t>投标资料表</w:t>
      </w:r>
      <w:r>
        <w:rPr>
          <w:rFonts w:hint="eastAsia" w:ascii="宋体" w:hAnsi="宋体" w:cs="宋体"/>
          <w:szCs w:val="21"/>
          <w:lang w:eastAsia="zh-TW"/>
        </w:rPr>
        <w:t>中所述期限内保持有效。投标有效期不足的投标将被视为非实质性响应</w:t>
      </w:r>
      <w:r>
        <w:rPr>
          <w:rFonts w:hint="eastAsia" w:ascii="宋体" w:hAnsi="宋体"/>
          <w:szCs w:val="21"/>
        </w:rPr>
        <w:t>，</w:t>
      </w:r>
      <w:r>
        <w:rPr>
          <w:rFonts w:hint="eastAsia" w:ascii="宋体" w:hAnsi="宋体" w:cs="宋体"/>
          <w:szCs w:val="21"/>
        </w:rPr>
        <w:t>视为无效投标</w:t>
      </w:r>
      <w:r>
        <w:rPr>
          <w:rFonts w:hint="eastAsia" w:ascii="宋体" w:hAnsi="宋体" w:cs="宋体"/>
          <w:szCs w:val="21"/>
          <w:lang w:eastAsia="zh-TW"/>
        </w:rPr>
        <w:t>。</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投标文件的式样和签署</w:t>
      </w:r>
    </w:p>
    <w:p>
      <w:pPr>
        <w:widowControl/>
        <w:numPr>
          <w:ilvl w:val="1"/>
          <w:numId w:val="28"/>
        </w:numPr>
        <w:adjustRightInd w:val="0"/>
        <w:snapToGrid w:val="0"/>
        <w:spacing w:line="360" w:lineRule="auto"/>
        <w:jc w:val="left"/>
        <w:rPr>
          <w:rFonts w:ascii="宋体" w:hAnsi="宋体"/>
          <w:szCs w:val="21"/>
        </w:rPr>
      </w:pPr>
      <w:r>
        <w:rPr>
          <w:rFonts w:hint="eastAsia" w:ascii="宋体" w:hAnsi="宋体"/>
          <w:szCs w:val="21"/>
        </w:rPr>
        <w:t>投标人应准备一份投标文件正本和</w:t>
      </w:r>
      <w:r>
        <w:rPr>
          <w:rFonts w:hint="eastAsia" w:ascii="宋体" w:hAnsi="宋体"/>
          <w:b/>
          <w:szCs w:val="21"/>
        </w:rPr>
        <w:t>投标资料表</w:t>
      </w:r>
      <w:r>
        <w:rPr>
          <w:rFonts w:hint="eastAsia" w:ascii="宋体" w:hAnsi="宋体"/>
          <w:szCs w:val="21"/>
        </w:rPr>
        <w:t>中规定数目的副本，投标文件原则上采用A4纸制做。每套投标文件须清楚地标明“正本”或“副本”。若正本和副本不符，以正本为准。</w:t>
      </w:r>
      <w:bookmarkStart w:id="75" w:name="_Toc237787559"/>
      <w:r>
        <w:rPr>
          <w:rFonts w:hint="eastAsia" w:ascii="宋体" w:hAnsi="宋体"/>
          <w:szCs w:val="21"/>
        </w:rPr>
        <w:t>投标人应按</w:t>
      </w:r>
      <w:r>
        <w:rPr>
          <w:rFonts w:hint="eastAsia" w:ascii="宋体" w:hAnsi="宋体"/>
          <w:b/>
          <w:szCs w:val="21"/>
        </w:rPr>
        <w:t>投标资料表</w:t>
      </w:r>
      <w:r>
        <w:rPr>
          <w:rFonts w:hint="eastAsia" w:ascii="宋体" w:hAnsi="宋体"/>
          <w:szCs w:val="21"/>
        </w:rPr>
        <w:t>的规定，同时提交电子介质的投标文件。</w:t>
      </w:r>
      <w:bookmarkEnd w:id="75"/>
      <w:r>
        <w:rPr>
          <w:rFonts w:hint="eastAsia" w:ascii="宋体" w:hAnsi="宋体"/>
          <w:szCs w:val="21"/>
        </w:rPr>
        <w:t>电子介质的投标文件与纸质投标文件具有同等的法律效力。除非</w:t>
      </w:r>
      <w:r>
        <w:rPr>
          <w:rFonts w:hint="eastAsia" w:ascii="宋体" w:hAnsi="宋体"/>
          <w:b/>
          <w:szCs w:val="21"/>
        </w:rPr>
        <w:t>投标资料表</w:t>
      </w:r>
      <w:r>
        <w:rPr>
          <w:rFonts w:hint="eastAsia" w:ascii="宋体" w:hAnsi="宋体"/>
          <w:szCs w:val="21"/>
        </w:rPr>
        <w:t>中另有规定，电子介质的投标文件与纸质投标文件不一致时，以纸质投标文件为准。</w:t>
      </w:r>
    </w:p>
    <w:p>
      <w:pPr>
        <w:widowControl/>
        <w:numPr>
          <w:ilvl w:val="1"/>
          <w:numId w:val="28"/>
        </w:numPr>
        <w:adjustRightInd w:val="0"/>
        <w:snapToGrid w:val="0"/>
        <w:spacing w:line="360" w:lineRule="auto"/>
        <w:jc w:val="left"/>
        <w:rPr>
          <w:rFonts w:ascii="宋体" w:hAnsi="宋体"/>
          <w:szCs w:val="21"/>
        </w:rPr>
      </w:pPr>
      <w:bookmarkStart w:id="76" w:name="_Toc237787560"/>
      <w:r>
        <w:rPr>
          <w:rFonts w:hint="eastAsia" w:ascii="宋体" w:hAnsi="宋体"/>
          <w:szCs w:val="21"/>
        </w:rPr>
        <w:t>投标文件正本须用不褪色墨水书写或打印，由投标人的法定代表人或经其正式授权</w:t>
      </w:r>
      <w:bookmarkEnd w:id="76"/>
      <w:bookmarkStart w:id="77" w:name="_Toc237787561"/>
      <w:r>
        <w:rPr>
          <w:rFonts w:hint="eastAsia" w:ascii="宋体" w:hAnsi="宋体"/>
          <w:szCs w:val="21"/>
        </w:rPr>
        <w:t>的代表签署本人姓名或印盖本人姓名章，不得加盖合同专用章、投标人专用章等各种形式的专用章。授权代表须将以书面形式出具的</w:t>
      </w:r>
      <w:r>
        <w:rPr>
          <w:rFonts w:hint="eastAsia" w:ascii="宋体" w:hAnsi="宋体" w:cs="宋体"/>
          <w:szCs w:val="21"/>
        </w:rPr>
        <w:t>《法定代表人授权委托书》</w:t>
      </w:r>
      <w:r>
        <w:rPr>
          <w:rFonts w:hint="eastAsia" w:ascii="宋体" w:hAnsi="宋体"/>
          <w:szCs w:val="21"/>
        </w:rPr>
        <w:t>附在投标文件中。</w:t>
      </w:r>
      <w:bookmarkEnd w:id="77"/>
    </w:p>
    <w:p>
      <w:pPr>
        <w:widowControl/>
        <w:numPr>
          <w:ilvl w:val="1"/>
          <w:numId w:val="28"/>
        </w:numPr>
        <w:adjustRightInd w:val="0"/>
        <w:snapToGrid w:val="0"/>
        <w:spacing w:line="360" w:lineRule="auto"/>
        <w:jc w:val="left"/>
        <w:rPr>
          <w:rFonts w:ascii="宋体" w:hAnsi="宋体"/>
          <w:szCs w:val="21"/>
        </w:rPr>
      </w:pPr>
      <w:r>
        <w:rPr>
          <w:rFonts w:hint="eastAsia" w:ascii="宋体" w:hAnsi="宋体" w:cs="宋体"/>
          <w:szCs w:val="21"/>
          <w:lang w:eastAsia="zh-TW"/>
        </w:rPr>
        <w:t>投标文件中的任何重要的插字、涂改和增删，必须由法定代表人或经其正式授权的代表在旁边签署本人姓名或印盖本人姓名章才有效。</w:t>
      </w:r>
    </w:p>
    <w:p>
      <w:pPr>
        <w:widowControl/>
        <w:numPr>
          <w:ilvl w:val="1"/>
          <w:numId w:val="28"/>
        </w:numPr>
        <w:adjustRightInd w:val="0"/>
        <w:snapToGrid w:val="0"/>
        <w:spacing w:line="360" w:lineRule="auto"/>
        <w:jc w:val="left"/>
        <w:rPr>
          <w:rFonts w:ascii="宋体" w:hAnsi="宋体"/>
          <w:b/>
          <w:bCs/>
          <w:szCs w:val="21"/>
        </w:rPr>
      </w:pPr>
      <w:bookmarkStart w:id="78" w:name="_Toc237787563"/>
      <w:r>
        <w:rPr>
          <w:rFonts w:hint="eastAsia" w:ascii="宋体" w:hAnsi="宋体"/>
          <w:b/>
          <w:bCs/>
          <w:szCs w:val="21"/>
        </w:rPr>
        <w:t>投标文件的正本，招标文件中已明示需盖章签名处，均须由投标人加盖投标人公章，并经投标人法定代表人或其正式授权的代表</w:t>
      </w:r>
      <w:bookmarkEnd w:id="78"/>
      <w:bookmarkStart w:id="79" w:name="_Toc237787564"/>
      <w:r>
        <w:rPr>
          <w:rFonts w:hint="eastAsia" w:ascii="宋体" w:hAnsi="宋体"/>
          <w:b/>
          <w:bCs/>
          <w:szCs w:val="21"/>
        </w:rPr>
        <w:t>签署本人姓名或印盖本人姓名章。投标文件副本</w:t>
      </w:r>
      <w:bookmarkEnd w:id="79"/>
      <w:r>
        <w:rPr>
          <w:rFonts w:hint="eastAsia" w:ascii="宋体" w:hAnsi="宋体"/>
          <w:b/>
          <w:bCs/>
          <w:szCs w:val="21"/>
        </w:rPr>
        <w:t>应为正本的复印件。</w:t>
      </w:r>
    </w:p>
    <w:p>
      <w:pPr>
        <w:numPr>
          <w:ilvl w:val="0"/>
          <w:numId w:val="27"/>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80" w:name="_Toc438223023"/>
      <w:bookmarkStart w:id="81" w:name="_Toc435542348"/>
      <w:r>
        <w:rPr>
          <w:rFonts w:hint="eastAsia" w:ascii="宋体" w:hAnsi="宋体"/>
          <w:b/>
          <w:sz w:val="28"/>
          <w:szCs w:val="28"/>
          <w:lang w:eastAsia="zh-TW"/>
        </w:rPr>
        <w:t>投标文件的递交</w:t>
      </w:r>
      <w:bookmarkEnd w:id="80"/>
      <w:bookmarkEnd w:id="81"/>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投标文件的密封和标记</w:t>
      </w:r>
    </w:p>
    <w:p>
      <w:pPr>
        <w:widowControl/>
        <w:numPr>
          <w:ilvl w:val="1"/>
          <w:numId w:val="28"/>
        </w:numPr>
        <w:adjustRightInd w:val="0"/>
        <w:snapToGrid w:val="0"/>
        <w:spacing w:line="360" w:lineRule="auto"/>
        <w:jc w:val="left"/>
        <w:rPr>
          <w:rFonts w:ascii="宋体" w:hAnsi="宋体" w:cs="黑体"/>
          <w:bCs/>
          <w:szCs w:val="21"/>
        </w:rPr>
      </w:pPr>
      <w:r>
        <w:rPr>
          <w:rFonts w:hint="eastAsia" w:ascii="宋体" w:hAnsi="宋体"/>
          <w:szCs w:val="21"/>
        </w:rPr>
        <w:t>为方便开标时唱标，投标人应将投标文件正本和所有的副本分开密封装在单独的信封中，且在信封上标明</w:t>
      </w:r>
      <w:r>
        <w:rPr>
          <w:rFonts w:hint="eastAsia" w:ascii="宋体" w:hAnsi="宋体"/>
          <w:b/>
          <w:szCs w:val="21"/>
        </w:rPr>
        <w:t>“正本”、“副本”</w:t>
      </w:r>
      <w:r>
        <w:rPr>
          <w:rFonts w:hint="eastAsia" w:ascii="宋体" w:hAnsi="宋体"/>
          <w:szCs w:val="21"/>
        </w:rPr>
        <w:t>字样。</w:t>
      </w:r>
    </w:p>
    <w:p>
      <w:pPr>
        <w:widowControl/>
        <w:numPr>
          <w:ilvl w:val="1"/>
          <w:numId w:val="28"/>
        </w:numPr>
        <w:adjustRightInd w:val="0"/>
        <w:snapToGrid w:val="0"/>
        <w:spacing w:line="360" w:lineRule="auto"/>
        <w:jc w:val="left"/>
        <w:rPr>
          <w:rFonts w:ascii="宋体" w:hAnsi="宋体"/>
          <w:szCs w:val="21"/>
        </w:rPr>
      </w:pPr>
      <w:bookmarkStart w:id="82" w:name="_Toc237787569"/>
      <w:r>
        <w:rPr>
          <w:rFonts w:hint="eastAsia" w:ascii="宋体" w:hAnsi="宋体"/>
          <w:szCs w:val="21"/>
        </w:rPr>
        <w:t>内外层信封均应</w:t>
      </w:r>
      <w:bookmarkEnd w:id="82"/>
      <w:r>
        <w:rPr>
          <w:rFonts w:hint="eastAsia" w:ascii="宋体" w:hAnsi="宋体" w:cs="宋体"/>
          <w:szCs w:val="21"/>
        </w:rPr>
        <w:t>：</w:t>
      </w:r>
    </w:p>
    <w:p>
      <w:pPr>
        <w:widowControl/>
        <w:numPr>
          <w:ilvl w:val="2"/>
          <w:numId w:val="28"/>
        </w:numPr>
        <w:adjustRightInd w:val="0"/>
        <w:snapToGrid w:val="0"/>
        <w:spacing w:line="360" w:lineRule="auto"/>
        <w:jc w:val="left"/>
        <w:rPr>
          <w:rFonts w:ascii="宋体" w:hAnsi="宋体"/>
          <w:szCs w:val="21"/>
        </w:rPr>
      </w:pPr>
      <w:r>
        <w:rPr>
          <w:rFonts w:hint="eastAsia" w:ascii="宋体" w:hAnsi="宋体"/>
          <w:szCs w:val="21"/>
        </w:rPr>
        <w:t>清楚注明递交至投标邀请函中指明的地址；</w:t>
      </w:r>
    </w:p>
    <w:p>
      <w:pPr>
        <w:widowControl/>
        <w:numPr>
          <w:ilvl w:val="2"/>
          <w:numId w:val="28"/>
        </w:numPr>
        <w:tabs>
          <w:tab w:val="clear" w:pos="567"/>
        </w:tabs>
        <w:adjustRightInd w:val="0"/>
        <w:snapToGrid w:val="0"/>
        <w:spacing w:line="360" w:lineRule="auto"/>
        <w:ind w:left="851" w:hanging="851"/>
        <w:jc w:val="left"/>
        <w:rPr>
          <w:rFonts w:ascii="宋体" w:hAnsi="宋体"/>
          <w:szCs w:val="21"/>
        </w:rPr>
      </w:pPr>
      <w:bookmarkStart w:id="83" w:name="_Toc237787571"/>
      <w:r>
        <w:rPr>
          <w:rFonts w:hint="eastAsia" w:ascii="宋体" w:hAnsi="宋体"/>
          <w:szCs w:val="21"/>
        </w:rPr>
        <w:t>注明投标邀请函中指明的采购项目名称、项目编号和在（</w:t>
      </w:r>
      <w:r>
        <w:rPr>
          <w:rFonts w:hint="eastAsia" w:ascii="宋体" w:hAnsi="宋体"/>
          <w:i/>
          <w:szCs w:val="21"/>
          <w:u w:val="single"/>
        </w:rPr>
        <w:t>开标日期和时间</w:t>
      </w:r>
      <w:r>
        <w:rPr>
          <w:rFonts w:hint="eastAsia" w:ascii="宋体" w:hAnsi="宋体"/>
          <w:szCs w:val="21"/>
        </w:rPr>
        <w:t>）之前不得启封”</w:t>
      </w:r>
      <w:bookmarkEnd w:id="83"/>
      <w:bookmarkStart w:id="84" w:name="_Toc237787572"/>
      <w:r>
        <w:rPr>
          <w:rFonts w:hint="eastAsia" w:ascii="宋体" w:hAnsi="宋体"/>
          <w:szCs w:val="21"/>
        </w:rPr>
        <w:t>的字样，并填入投标邀请函中规定的开标日期和时间</w:t>
      </w:r>
      <w:bookmarkEnd w:id="84"/>
      <w:r>
        <w:rPr>
          <w:rFonts w:hint="eastAsia" w:ascii="宋体" w:hAnsi="宋体"/>
          <w:szCs w:val="21"/>
        </w:rPr>
        <w:t>；</w:t>
      </w:r>
    </w:p>
    <w:p>
      <w:pPr>
        <w:widowControl/>
        <w:numPr>
          <w:ilvl w:val="2"/>
          <w:numId w:val="28"/>
        </w:numPr>
        <w:tabs>
          <w:tab w:val="clear" w:pos="567"/>
        </w:tabs>
        <w:adjustRightInd w:val="0"/>
        <w:snapToGrid w:val="0"/>
        <w:spacing w:line="360" w:lineRule="auto"/>
        <w:ind w:left="851" w:hanging="851"/>
        <w:jc w:val="left"/>
        <w:rPr>
          <w:rFonts w:ascii="宋体" w:hAnsi="宋体"/>
          <w:szCs w:val="21"/>
        </w:rPr>
      </w:pPr>
      <w:bookmarkStart w:id="85" w:name="_Toc237787573"/>
      <w:r>
        <w:rPr>
          <w:rFonts w:hint="eastAsia" w:ascii="宋体" w:hAnsi="宋体"/>
          <w:szCs w:val="21"/>
        </w:rPr>
        <w:t>内层信封应写明投标人名称和地址，以便将迟交的投标文件能原封</w:t>
      </w:r>
      <w:bookmarkEnd w:id="85"/>
      <w:bookmarkStart w:id="86" w:name="_Toc237787574"/>
      <w:r>
        <w:rPr>
          <w:rFonts w:hint="eastAsia" w:ascii="宋体" w:hAnsi="宋体"/>
          <w:szCs w:val="21"/>
        </w:rPr>
        <w:t>退回。</w:t>
      </w:r>
      <w:bookmarkEnd w:id="86"/>
    </w:p>
    <w:p>
      <w:pPr>
        <w:widowControl/>
        <w:numPr>
          <w:ilvl w:val="2"/>
          <w:numId w:val="28"/>
        </w:numPr>
        <w:tabs>
          <w:tab w:val="clear" w:pos="567"/>
        </w:tabs>
        <w:adjustRightInd w:val="0"/>
        <w:snapToGrid w:val="0"/>
        <w:spacing w:line="360" w:lineRule="auto"/>
        <w:ind w:left="851" w:hanging="851"/>
        <w:jc w:val="left"/>
        <w:rPr>
          <w:rFonts w:ascii="宋体" w:hAnsi="宋体"/>
          <w:szCs w:val="21"/>
        </w:rPr>
      </w:pPr>
      <w:bookmarkStart w:id="87" w:name="_Toc237787575"/>
      <w:r>
        <w:rPr>
          <w:rFonts w:hint="eastAsia" w:ascii="宋体" w:hAnsi="宋体"/>
          <w:szCs w:val="21"/>
        </w:rPr>
        <w:t>如果外层信封未按本须知的要求加写标记，采购人和采购代理机构</w:t>
      </w:r>
      <w:bookmarkEnd w:id="87"/>
      <w:bookmarkStart w:id="88" w:name="_Toc237787576"/>
      <w:r>
        <w:rPr>
          <w:rFonts w:hint="eastAsia" w:ascii="宋体" w:hAnsi="宋体"/>
          <w:szCs w:val="21"/>
        </w:rPr>
        <w:t>对误投或提前启封概不负责</w:t>
      </w:r>
      <w:bookmarkEnd w:id="88"/>
      <w:r>
        <w:rPr>
          <w:rFonts w:hint="eastAsia" w:ascii="宋体" w:hAnsi="宋体" w:cs="宋体"/>
          <w:szCs w:val="21"/>
        </w:rPr>
        <w:t>。</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投标截止期</w:t>
      </w:r>
    </w:p>
    <w:p>
      <w:pPr>
        <w:numPr>
          <w:ilvl w:val="1"/>
          <w:numId w:val="28"/>
        </w:numPr>
        <w:autoSpaceDE w:val="0"/>
        <w:autoSpaceDN w:val="0"/>
        <w:adjustRightInd w:val="0"/>
        <w:snapToGrid w:val="0"/>
        <w:spacing w:line="360" w:lineRule="auto"/>
        <w:rPr>
          <w:rFonts w:ascii="宋体" w:hAnsi="宋体" w:cs="黑体"/>
          <w:bCs/>
          <w:szCs w:val="21"/>
        </w:rPr>
      </w:pPr>
      <w:r>
        <w:rPr>
          <w:rFonts w:hint="eastAsia" w:ascii="宋体" w:hAnsi="宋体" w:cs="宋体"/>
          <w:szCs w:val="21"/>
          <w:lang w:eastAsia="zh-TW"/>
        </w:rPr>
        <w:t>投标人应在不迟于</w:t>
      </w:r>
      <w:r>
        <w:rPr>
          <w:rFonts w:hint="eastAsia" w:ascii="宋体" w:hAnsi="宋体" w:cs="宋体"/>
          <w:szCs w:val="21"/>
        </w:rPr>
        <w:t>投标邀请函</w:t>
      </w:r>
      <w:r>
        <w:rPr>
          <w:rFonts w:hint="eastAsia" w:ascii="宋体" w:hAnsi="宋体" w:cs="宋体"/>
          <w:szCs w:val="21"/>
          <w:lang w:eastAsia="zh-TW"/>
        </w:rPr>
        <w:t>中规定的截止日期和时间将投标文件递交至采购代理机构</w:t>
      </w:r>
      <w:r>
        <w:rPr>
          <w:rFonts w:hint="eastAsia" w:ascii="宋体" w:hAnsi="宋体" w:cs="宋体"/>
          <w:szCs w:val="21"/>
        </w:rPr>
        <w:t>，</w:t>
      </w:r>
      <w:r>
        <w:rPr>
          <w:rFonts w:hint="eastAsia" w:ascii="宋体" w:hAnsi="宋体" w:cs="宋体"/>
          <w:szCs w:val="21"/>
          <w:lang w:eastAsia="zh-TW"/>
        </w:rPr>
        <w:t>递交地点应是</w:t>
      </w:r>
      <w:r>
        <w:rPr>
          <w:rFonts w:hint="eastAsia" w:ascii="宋体" w:hAnsi="宋体" w:cs="宋体"/>
          <w:szCs w:val="21"/>
        </w:rPr>
        <w:t>投标邀请函</w:t>
      </w:r>
      <w:r>
        <w:rPr>
          <w:rFonts w:hint="eastAsia" w:ascii="宋体" w:hAnsi="宋体" w:cs="宋体"/>
          <w:szCs w:val="21"/>
          <w:lang w:eastAsia="zh-TW"/>
        </w:rPr>
        <w:t>中指明的地址。</w:t>
      </w:r>
    </w:p>
    <w:p>
      <w:pPr>
        <w:numPr>
          <w:ilvl w:val="1"/>
          <w:numId w:val="2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为使投标人准备投标时有充分时间对招标文件的修改部分进行研究，招标采购单位可适当推迟投标截止期，但应发布公告并书面通知所有购买招标文件的潜在投标人。在此情况下</w:t>
      </w:r>
      <w:r>
        <w:rPr>
          <w:rFonts w:hint="eastAsia" w:ascii="宋体" w:hAnsi="宋体" w:cs="宋体"/>
          <w:szCs w:val="21"/>
        </w:rPr>
        <w:t>，</w:t>
      </w:r>
      <w:r>
        <w:rPr>
          <w:rFonts w:hint="eastAsia" w:ascii="宋体" w:hAnsi="宋体" w:cs="宋体"/>
          <w:szCs w:val="21"/>
          <w:lang w:eastAsia="zh-TW"/>
        </w:rPr>
        <w:t>招标采购单位和投标人受投标截止期制约的所有权利和义务均应延长至新的截止期。</w:t>
      </w:r>
    </w:p>
    <w:p>
      <w:pPr>
        <w:numPr>
          <w:ilvl w:val="1"/>
          <w:numId w:val="28"/>
        </w:numPr>
        <w:autoSpaceDE w:val="0"/>
        <w:autoSpaceDN w:val="0"/>
        <w:adjustRightInd w:val="0"/>
        <w:snapToGrid w:val="0"/>
        <w:spacing w:line="360" w:lineRule="auto"/>
        <w:rPr>
          <w:rFonts w:ascii="宋体" w:hAnsi="宋体" w:cs="黑体"/>
          <w:b/>
          <w:bCs/>
          <w:szCs w:val="21"/>
        </w:rPr>
      </w:pPr>
      <w:r>
        <w:rPr>
          <w:rFonts w:hint="eastAsia" w:ascii="宋体" w:hAnsi="宋体" w:cs="宋体"/>
          <w:szCs w:val="21"/>
        </w:rPr>
        <w:t>采购代理机构</w:t>
      </w:r>
      <w:r>
        <w:rPr>
          <w:rFonts w:hint="eastAsia" w:ascii="宋体" w:hAnsi="宋体" w:cs="宋体"/>
          <w:szCs w:val="21"/>
          <w:lang w:eastAsia="zh-TW"/>
        </w:rPr>
        <w:t>将</w:t>
      </w:r>
      <w:r>
        <w:rPr>
          <w:rFonts w:hint="eastAsia" w:ascii="宋体" w:hAnsi="宋体" w:cs="宋体"/>
          <w:szCs w:val="21"/>
        </w:rPr>
        <w:t>拒收</w:t>
      </w:r>
      <w:r>
        <w:rPr>
          <w:rFonts w:hint="eastAsia" w:ascii="宋体" w:hAnsi="宋体" w:cs="宋体"/>
          <w:szCs w:val="21"/>
          <w:lang w:eastAsia="zh-TW"/>
        </w:rPr>
        <w:t>在</w:t>
      </w:r>
      <w:r>
        <w:rPr>
          <w:rFonts w:hint="eastAsia" w:ascii="宋体" w:hAnsi="宋体" w:cs="宋体"/>
          <w:szCs w:val="21"/>
        </w:rPr>
        <w:t>招标文件</w:t>
      </w:r>
      <w:r>
        <w:rPr>
          <w:rFonts w:hint="eastAsia" w:ascii="宋体" w:hAnsi="宋体" w:cs="宋体"/>
          <w:szCs w:val="21"/>
          <w:lang w:eastAsia="zh-TW"/>
        </w:rPr>
        <w:t>规定的</w:t>
      </w:r>
      <w:r>
        <w:rPr>
          <w:rFonts w:hint="eastAsia" w:ascii="宋体" w:hAnsi="宋体" w:cs="宋体"/>
          <w:szCs w:val="21"/>
        </w:rPr>
        <w:t>投标</w:t>
      </w:r>
      <w:r>
        <w:rPr>
          <w:rFonts w:hint="eastAsia" w:ascii="宋体" w:hAnsi="宋体" w:cs="宋体"/>
          <w:szCs w:val="21"/>
          <w:lang w:eastAsia="zh-TW"/>
        </w:rPr>
        <w:t>截止时间</w:t>
      </w:r>
      <w:r>
        <w:rPr>
          <w:rFonts w:hint="eastAsia" w:ascii="宋体" w:hAnsi="宋体" w:cs="宋体"/>
          <w:szCs w:val="21"/>
        </w:rPr>
        <w:t>之</w:t>
      </w:r>
      <w:r>
        <w:rPr>
          <w:rFonts w:hint="eastAsia" w:ascii="宋体" w:hAnsi="宋体" w:cs="宋体"/>
          <w:szCs w:val="21"/>
          <w:lang w:eastAsia="zh-TW"/>
        </w:rPr>
        <w:t>后</w:t>
      </w:r>
      <w:r>
        <w:rPr>
          <w:rFonts w:hint="eastAsia" w:ascii="宋体" w:hAnsi="宋体" w:cs="宋体"/>
          <w:szCs w:val="21"/>
        </w:rPr>
        <w:t>送达的投标文件。</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投标文件的修改和撤回、撤销</w:t>
      </w:r>
    </w:p>
    <w:p>
      <w:pPr>
        <w:numPr>
          <w:ilvl w:val="1"/>
          <w:numId w:val="28"/>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投标人在投标截止时间前，可以对所递交的投标文件进行补充、修改或者撤回，并书面通知招标采购单位。</w:t>
      </w:r>
    </w:p>
    <w:p>
      <w:pPr>
        <w:numPr>
          <w:ilvl w:val="1"/>
          <w:numId w:val="2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投标人补充、修改或撤回通知应按招标文件要求编制、签署、密封、标记、盖章和递交，并作为投标文件的组成部分。</w:t>
      </w:r>
    </w:p>
    <w:p>
      <w:pPr>
        <w:numPr>
          <w:ilvl w:val="1"/>
          <w:numId w:val="2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在投标截止时间之后，投标人不得对其投标文件做任何修改和补充。</w:t>
      </w:r>
    </w:p>
    <w:p>
      <w:pPr>
        <w:numPr>
          <w:ilvl w:val="1"/>
          <w:numId w:val="28"/>
        </w:numPr>
        <w:autoSpaceDE w:val="0"/>
        <w:autoSpaceDN w:val="0"/>
        <w:adjustRightInd w:val="0"/>
        <w:snapToGrid w:val="0"/>
        <w:spacing w:line="360" w:lineRule="auto"/>
        <w:rPr>
          <w:rFonts w:ascii="宋体" w:hAnsi="宋体" w:cs="宋体"/>
          <w:szCs w:val="21"/>
          <w:lang w:eastAsia="zh-TW"/>
        </w:rPr>
      </w:pPr>
      <w:bookmarkStart w:id="89" w:name="_Toc237787597"/>
      <w:r>
        <w:rPr>
          <w:rFonts w:hint="eastAsia" w:ascii="宋体" w:hAnsi="宋体" w:cs="宋体"/>
          <w:szCs w:val="21"/>
          <w:lang w:eastAsia="zh-TW"/>
        </w:rPr>
        <w:t>从投标截止时间至投标人在投标文件中确定的投标有效期期满这段时间内，投标人不</w:t>
      </w:r>
      <w:bookmarkEnd w:id="89"/>
      <w:bookmarkStart w:id="90" w:name="_Toc237787598"/>
      <w:r>
        <w:rPr>
          <w:rFonts w:hint="eastAsia" w:ascii="宋体" w:hAnsi="宋体" w:cs="宋体"/>
          <w:szCs w:val="21"/>
          <w:lang w:eastAsia="zh-TW"/>
        </w:rPr>
        <w:t>得撤销其投标</w:t>
      </w:r>
      <w:r>
        <w:rPr>
          <w:rFonts w:hint="eastAsia" w:ascii="宋体" w:hAnsi="宋体" w:cs="宋体"/>
          <w:szCs w:val="21"/>
        </w:rPr>
        <w:t>文件</w:t>
      </w:r>
      <w:bookmarkEnd w:id="90"/>
      <w:r>
        <w:rPr>
          <w:rFonts w:hint="eastAsia" w:ascii="宋体" w:hAnsi="宋体" w:cs="宋体"/>
          <w:szCs w:val="21"/>
        </w:rPr>
        <w:t>。</w:t>
      </w:r>
    </w:p>
    <w:p>
      <w:pPr>
        <w:numPr>
          <w:ilvl w:val="0"/>
          <w:numId w:val="27"/>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91" w:name="_Toc438223024"/>
      <w:bookmarkStart w:id="92" w:name="_Toc435542349"/>
      <w:r>
        <w:rPr>
          <w:rFonts w:hint="eastAsia" w:ascii="宋体" w:hAnsi="宋体"/>
          <w:b/>
          <w:sz w:val="28"/>
          <w:szCs w:val="28"/>
          <w:lang w:eastAsia="zh-TW"/>
        </w:rPr>
        <w:t>开标与评标</w:t>
      </w:r>
      <w:bookmarkEnd w:id="91"/>
      <w:bookmarkEnd w:id="92"/>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开标</w:t>
      </w:r>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采购代理机构在投标邀请函中规定的日期、时</w:t>
      </w:r>
      <w:r>
        <w:rPr>
          <w:rFonts w:hint="eastAsia" w:ascii="宋体" w:hAnsi="宋体" w:cs="宋体"/>
          <w:szCs w:val="21"/>
        </w:rPr>
        <w:t>间</w:t>
      </w:r>
      <w:r>
        <w:rPr>
          <w:rFonts w:hint="eastAsia" w:ascii="宋体" w:hAnsi="宋体" w:cs="宋体"/>
          <w:szCs w:val="21"/>
          <w:lang w:eastAsia="zh-TW"/>
        </w:rPr>
        <w:t>和地点组织公开开标。参加开标的代表应签名报到以证明其出席。开标时</w:t>
      </w:r>
      <w:r>
        <w:rPr>
          <w:rFonts w:hint="eastAsia" w:ascii="宋体" w:hAnsi="宋体" w:cs="宋体"/>
          <w:szCs w:val="21"/>
        </w:rPr>
        <w:t>，</w:t>
      </w:r>
      <w:r>
        <w:rPr>
          <w:rFonts w:hint="eastAsia" w:ascii="宋体" w:hAnsi="宋体" w:cs="宋体"/>
          <w:szCs w:val="21"/>
          <w:lang w:eastAsia="zh-TW"/>
        </w:rPr>
        <w:t>由按签到顺序递交投标文件的前三名投标人代表作为全体投标人推选的代表</w:t>
      </w:r>
      <w:r>
        <w:rPr>
          <w:rFonts w:hint="eastAsia" w:ascii="宋体" w:hAnsi="宋体" w:cs="宋体"/>
          <w:szCs w:val="21"/>
        </w:rPr>
        <w:t>就所有</w:t>
      </w:r>
      <w:r>
        <w:rPr>
          <w:rFonts w:hint="eastAsia" w:ascii="宋体" w:hAnsi="宋体" w:cs="宋体"/>
          <w:szCs w:val="21"/>
          <w:lang w:eastAsia="zh-TW"/>
        </w:rPr>
        <w:t>投标文件的密封情况</w:t>
      </w:r>
      <w:r>
        <w:rPr>
          <w:rFonts w:hint="eastAsia" w:ascii="宋体" w:hAnsi="宋体" w:cs="宋体"/>
          <w:szCs w:val="21"/>
        </w:rPr>
        <w:t>进行检查，</w:t>
      </w:r>
      <w:r>
        <w:rPr>
          <w:rFonts w:hint="eastAsia" w:ascii="宋体" w:hAnsi="宋体" w:cs="宋体"/>
          <w:szCs w:val="21"/>
          <w:lang w:eastAsia="zh-TW"/>
        </w:rPr>
        <w:t>也可以由</w:t>
      </w:r>
      <w:r>
        <w:rPr>
          <w:rFonts w:hint="eastAsia" w:ascii="宋体" w:hAnsi="宋体" w:cs="宋体"/>
          <w:szCs w:val="21"/>
        </w:rPr>
        <w:t>招标</w:t>
      </w:r>
      <w:r>
        <w:rPr>
          <w:rFonts w:hint="eastAsia" w:ascii="宋体" w:hAnsi="宋体" w:cs="宋体"/>
          <w:szCs w:val="21"/>
          <w:lang w:eastAsia="zh-TW"/>
        </w:rPr>
        <w:t>采购</w:t>
      </w:r>
      <w:r>
        <w:rPr>
          <w:rFonts w:hint="eastAsia" w:ascii="宋体" w:hAnsi="宋体" w:cs="宋体"/>
          <w:szCs w:val="21"/>
        </w:rPr>
        <w:t>单位</w:t>
      </w:r>
      <w:r>
        <w:rPr>
          <w:rFonts w:hint="eastAsia" w:ascii="宋体" w:hAnsi="宋体" w:cs="宋体"/>
          <w:szCs w:val="21"/>
          <w:lang w:eastAsia="zh-TW"/>
        </w:rPr>
        <w:t>委托的机构检查并见证，经确认无误后由招标工作人员当众拆封，宣读投标人名称、投标价格、价格折扣、投标文件的其他主要内容和招标文件允许提供的备选投标方案</w:t>
      </w:r>
      <w:r>
        <w:rPr>
          <w:rFonts w:hint="eastAsia" w:ascii="宋体" w:hAnsi="宋体" w:cs="宋体"/>
          <w:szCs w:val="21"/>
        </w:rPr>
        <w:t>，</w:t>
      </w:r>
      <w:r>
        <w:rPr>
          <w:rFonts w:hint="eastAsia" w:ascii="宋体" w:hAnsi="宋体" w:cs="宋体"/>
          <w:szCs w:val="21"/>
          <w:lang w:eastAsia="zh-TW"/>
        </w:rPr>
        <w:t>现场记录人员将做开标记录，并打印出纸质文件给各投标人法定代表人或授权代表及相关与会代表签名确认（各投标人法定代表人或授权代表应对唱标内容及记录结果当场进行校核，如有疑问或者质疑应当场提出，否则视为同意）。</w:t>
      </w:r>
    </w:p>
    <w:p>
      <w:pPr>
        <w:numPr>
          <w:ilvl w:val="1"/>
          <w:numId w:val="28"/>
        </w:numPr>
        <w:autoSpaceDE w:val="0"/>
        <w:autoSpaceDN w:val="0"/>
        <w:adjustRightInd w:val="0"/>
        <w:snapToGrid w:val="0"/>
        <w:spacing w:line="360" w:lineRule="auto"/>
        <w:rPr>
          <w:rFonts w:ascii="宋体" w:hAnsi="宋体" w:cs="宋体"/>
          <w:szCs w:val="21"/>
        </w:rPr>
      </w:pPr>
      <w:r>
        <w:rPr>
          <w:rFonts w:hint="eastAsia" w:ascii="宋体" w:hAnsi="宋体" w:cs="宋体"/>
          <w:szCs w:val="21"/>
        </w:rPr>
        <w:t>未宣读的投标价格、价格折扣和招标文件允许提供的备选投标方案等实质内容，</w:t>
      </w:r>
      <w:r>
        <w:rPr>
          <w:rFonts w:hint="eastAsia" w:ascii="宋体" w:hAnsi="宋体" w:cs="宋体"/>
          <w:szCs w:val="21"/>
          <w:lang w:eastAsia="zh-TW"/>
        </w:rPr>
        <w:t>评标时不予</w:t>
      </w:r>
      <w:r>
        <w:rPr>
          <w:rFonts w:hint="eastAsia" w:ascii="宋体" w:hAnsi="宋体" w:cs="宋体"/>
          <w:szCs w:val="21"/>
        </w:rPr>
        <w:t>承认</w:t>
      </w:r>
      <w:r>
        <w:rPr>
          <w:rFonts w:hint="eastAsia" w:ascii="宋体" w:hAnsi="宋体" w:cs="宋体"/>
          <w:szCs w:val="21"/>
          <w:lang w:eastAsia="zh-TW"/>
        </w:rPr>
        <w:t>。</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评标委员会</w:t>
      </w:r>
    </w:p>
    <w:p>
      <w:pPr>
        <w:numPr>
          <w:ilvl w:val="1"/>
          <w:numId w:val="28"/>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评标由依照政府采购法律、法规、规章、政策的规定，组建的评标委员会负责。评标委员会成员按政府采购规定由采购人代表和</w:t>
      </w:r>
      <w:r>
        <w:rPr>
          <w:rFonts w:hint="eastAsia" w:ascii="宋体" w:hAnsi="宋体" w:cs="宋体"/>
          <w:szCs w:val="21"/>
        </w:rPr>
        <w:t>有关</w:t>
      </w:r>
      <w:r>
        <w:rPr>
          <w:rFonts w:hint="eastAsia" w:ascii="宋体" w:hAnsi="宋体" w:cs="宋体"/>
          <w:szCs w:val="21"/>
          <w:lang w:eastAsia="zh-TW"/>
        </w:rPr>
        <w:t>技术、经济等方面的专家组成，采购人代表人数、专家人数构成将按照</w:t>
      </w:r>
      <w:r>
        <w:rPr>
          <w:rFonts w:hint="eastAsia" w:ascii="宋体" w:hAnsi="宋体" w:cs="宋体"/>
          <w:b/>
          <w:szCs w:val="21"/>
          <w:lang w:eastAsia="zh-TW"/>
        </w:rPr>
        <w:t>投标资料表</w:t>
      </w:r>
      <w:r>
        <w:rPr>
          <w:rFonts w:hint="eastAsia" w:ascii="宋体" w:hAnsi="宋体" w:cs="宋体"/>
          <w:szCs w:val="21"/>
          <w:lang w:eastAsia="zh-TW"/>
        </w:rPr>
        <w:t>中确定。评标委员会成员依法从政府采购专家库中随机抽取。</w:t>
      </w:r>
    </w:p>
    <w:p>
      <w:pPr>
        <w:numPr>
          <w:ilvl w:val="1"/>
          <w:numId w:val="2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评标委员会名单在</w:t>
      </w:r>
      <w:r>
        <w:rPr>
          <w:rFonts w:hint="eastAsia" w:ascii="宋体" w:hAnsi="宋体" w:cs="宋体"/>
          <w:szCs w:val="21"/>
        </w:rPr>
        <w:t>评审</w:t>
      </w:r>
      <w:r>
        <w:rPr>
          <w:rFonts w:hint="eastAsia" w:ascii="宋体" w:hAnsi="宋体" w:cs="宋体"/>
          <w:szCs w:val="21"/>
          <w:lang w:eastAsia="zh-TW"/>
        </w:rPr>
        <w:t>结果确定前严格保密。评审专家有下列情形之一的，受到邀请应主动提出回避，采购当事人也可以要求该评审专家回避：</w:t>
      </w:r>
    </w:p>
    <w:p>
      <w:pPr>
        <w:numPr>
          <w:ilvl w:val="2"/>
          <w:numId w:val="28"/>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评标委员会中，同一任职单位评审专家超过二名的；</w:t>
      </w:r>
    </w:p>
    <w:p>
      <w:pPr>
        <w:numPr>
          <w:ilvl w:val="2"/>
          <w:numId w:val="28"/>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参与招标文件</w:t>
      </w:r>
      <w:r>
        <w:rPr>
          <w:rFonts w:hint="eastAsia" w:ascii="宋体" w:hAnsi="宋体" w:cs="宋体"/>
          <w:szCs w:val="21"/>
        </w:rPr>
        <w:t>、进口产品</w:t>
      </w:r>
      <w:r>
        <w:rPr>
          <w:rFonts w:hint="eastAsia" w:ascii="宋体" w:hAnsi="宋体" w:cs="宋体"/>
          <w:szCs w:val="21"/>
          <w:lang w:eastAsia="zh-TW"/>
        </w:rPr>
        <w:t>论证的；</w:t>
      </w:r>
    </w:p>
    <w:p>
      <w:pPr>
        <w:numPr>
          <w:ilvl w:val="2"/>
          <w:numId w:val="28"/>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参加采购活动前3年内与供应商存在劳动关系；</w:t>
      </w:r>
    </w:p>
    <w:p>
      <w:pPr>
        <w:numPr>
          <w:ilvl w:val="2"/>
          <w:numId w:val="28"/>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参加采购活动前3年内担任供应商的董事、监事；</w:t>
      </w:r>
    </w:p>
    <w:p>
      <w:pPr>
        <w:numPr>
          <w:ilvl w:val="2"/>
          <w:numId w:val="28"/>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参加采购活动前3年内是供应商的控股股东或者实际控制人；</w:t>
      </w:r>
    </w:p>
    <w:p>
      <w:pPr>
        <w:numPr>
          <w:ilvl w:val="2"/>
          <w:numId w:val="28"/>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与供应商的法定代表人或者负责人有夫妻、直系血亲、三代以内旁系血亲或者近姻亲关系；</w:t>
      </w:r>
    </w:p>
    <w:p>
      <w:pPr>
        <w:numPr>
          <w:ilvl w:val="2"/>
          <w:numId w:val="28"/>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与供应商有其他可能影响政府采购活动公平、公正进行的关系。</w:t>
      </w:r>
    </w:p>
    <w:p>
      <w:pPr>
        <w:numPr>
          <w:ilvl w:val="1"/>
          <w:numId w:val="2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评标委员会和有关工作人员不得透露对投标文件的评审和比较以及与评标有关的其他情况。</w:t>
      </w:r>
    </w:p>
    <w:p>
      <w:pPr>
        <w:numPr>
          <w:ilvl w:val="1"/>
          <w:numId w:val="28"/>
        </w:numPr>
        <w:autoSpaceDE w:val="0"/>
        <w:autoSpaceDN w:val="0"/>
        <w:adjustRightInd w:val="0"/>
        <w:snapToGrid w:val="0"/>
        <w:spacing w:line="360" w:lineRule="auto"/>
        <w:rPr>
          <w:rFonts w:ascii="宋体" w:hAnsi="宋体" w:cs="宋体"/>
          <w:szCs w:val="21"/>
          <w:lang w:eastAsia="zh-TW"/>
        </w:rPr>
      </w:pPr>
      <w:bookmarkStart w:id="93" w:name="_Toc237787610"/>
      <w:r>
        <w:rPr>
          <w:rFonts w:hint="eastAsia" w:ascii="宋体" w:hAnsi="宋体" w:cs="宋体"/>
          <w:szCs w:val="21"/>
          <w:lang w:eastAsia="zh-TW"/>
        </w:rPr>
        <w:t>评标委员会依法根据招标文件的规定对投标文件进行评审、提交</w:t>
      </w:r>
      <w:r>
        <w:rPr>
          <w:rFonts w:hint="eastAsia" w:ascii="宋体" w:hAnsi="宋体" w:cs="宋体"/>
          <w:szCs w:val="21"/>
        </w:rPr>
        <w:t>书面</w:t>
      </w:r>
      <w:r>
        <w:rPr>
          <w:rFonts w:hint="eastAsia" w:ascii="宋体" w:hAnsi="宋体" w:cs="宋体"/>
          <w:szCs w:val="21"/>
          <w:lang w:eastAsia="zh-TW"/>
        </w:rPr>
        <w:t>评标报告</w:t>
      </w:r>
      <w:bookmarkEnd w:id="93"/>
      <w:r>
        <w:rPr>
          <w:rFonts w:hint="eastAsia" w:ascii="宋体" w:hAnsi="宋体" w:cs="宋体"/>
          <w:szCs w:val="21"/>
          <w:lang w:eastAsia="zh-TW"/>
        </w:rPr>
        <w:t>。</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评标方法</w:t>
      </w:r>
    </w:p>
    <w:p>
      <w:pPr>
        <w:numPr>
          <w:ilvl w:val="1"/>
          <w:numId w:val="28"/>
        </w:numPr>
        <w:autoSpaceDE w:val="0"/>
        <w:autoSpaceDN w:val="0"/>
        <w:adjustRightInd w:val="0"/>
        <w:snapToGrid w:val="0"/>
        <w:spacing w:line="360" w:lineRule="auto"/>
        <w:rPr>
          <w:rFonts w:ascii="宋体" w:hAnsi="宋体"/>
          <w:szCs w:val="21"/>
        </w:rPr>
      </w:pPr>
      <w:bookmarkStart w:id="94" w:name="_Toc237787621"/>
      <w:r>
        <w:rPr>
          <w:rFonts w:hint="eastAsia" w:ascii="宋体" w:hAnsi="宋体"/>
          <w:szCs w:val="21"/>
        </w:rPr>
        <w:t>本次招标的评标方法在</w:t>
      </w:r>
      <w:r>
        <w:rPr>
          <w:rFonts w:hint="eastAsia" w:ascii="宋体" w:hAnsi="宋体"/>
          <w:b/>
          <w:szCs w:val="21"/>
        </w:rPr>
        <w:t>“</w:t>
      </w:r>
      <w:r>
        <w:rPr>
          <w:rFonts w:hint="eastAsia" w:ascii="宋体" w:hAnsi="宋体" w:cs="宋体"/>
          <w:b/>
          <w:szCs w:val="21"/>
          <w:lang w:eastAsia="zh-TW"/>
        </w:rPr>
        <w:t>投标资料表</w:t>
      </w:r>
      <w:r>
        <w:rPr>
          <w:rFonts w:hint="eastAsia" w:ascii="宋体" w:hAnsi="宋体"/>
          <w:b/>
          <w:szCs w:val="21"/>
        </w:rPr>
        <w:t>”</w:t>
      </w:r>
      <w:r>
        <w:rPr>
          <w:rFonts w:hint="eastAsia" w:ascii="宋体" w:hAnsi="宋体"/>
          <w:szCs w:val="21"/>
        </w:rPr>
        <w:t>中规定。</w:t>
      </w:r>
      <w:bookmarkEnd w:id="94"/>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b/>
          <w:szCs w:val="21"/>
        </w:rPr>
        <w:t>综合评分法：</w:t>
      </w:r>
      <w:r>
        <w:rPr>
          <w:rFonts w:hint="eastAsia" w:ascii="宋体" w:hAnsi="宋体"/>
          <w:szCs w:val="21"/>
        </w:rPr>
        <w:t>是指在最大限度地满足招标文件实质性要求前提下，按照招标文件中规定的各项因素进行综合评审后，以评标总得分最高的投标人作为中标候选供应商或者中标供应商。</w:t>
      </w:r>
    </w:p>
    <w:p>
      <w:pPr>
        <w:widowControl/>
        <w:numPr>
          <w:ilvl w:val="1"/>
          <w:numId w:val="28"/>
        </w:numPr>
        <w:adjustRightInd w:val="0"/>
        <w:snapToGrid w:val="0"/>
        <w:spacing w:line="360" w:lineRule="auto"/>
        <w:jc w:val="left"/>
        <w:rPr>
          <w:rFonts w:ascii="宋体" w:hAnsi="宋体"/>
          <w:szCs w:val="21"/>
        </w:rPr>
      </w:pPr>
      <w:r>
        <w:rPr>
          <w:rFonts w:hint="eastAsia" w:ascii="宋体" w:hAnsi="宋体"/>
          <w:b/>
          <w:szCs w:val="21"/>
        </w:rPr>
        <w:t>最低评标价法：</w:t>
      </w:r>
      <w:r>
        <w:rPr>
          <w:rFonts w:hint="eastAsia" w:ascii="宋体" w:hAnsi="宋体"/>
          <w:szCs w:val="21"/>
        </w:rPr>
        <w:t>是指以价格为主要因素确定中标候选供应商的评标方法，即在全部满足招标文件实质性要求前提下，依据统一的价格要素评定最低报价，以提出最低报价的投标人作为中标候选供应商或者中标供应商</w:t>
      </w:r>
      <w:r>
        <w:rPr>
          <w:rFonts w:hint="eastAsia" w:ascii="宋体" w:hAnsi="宋体" w:cs="宋体"/>
          <w:szCs w:val="21"/>
          <w:lang w:eastAsia="zh-TW"/>
        </w:rPr>
        <w:t>。</w:t>
      </w:r>
    </w:p>
    <w:p>
      <w:pPr>
        <w:widowControl/>
        <w:numPr>
          <w:ilvl w:val="1"/>
          <w:numId w:val="28"/>
        </w:numPr>
        <w:adjustRightInd w:val="0"/>
        <w:snapToGrid w:val="0"/>
        <w:spacing w:line="360" w:lineRule="auto"/>
        <w:jc w:val="left"/>
        <w:rPr>
          <w:rFonts w:ascii="宋体" w:hAnsi="宋体"/>
          <w:szCs w:val="21"/>
        </w:rPr>
      </w:pPr>
      <w:r>
        <w:rPr>
          <w:rFonts w:hint="eastAsia" w:ascii="宋体" w:hAnsi="宋体"/>
          <w:szCs w:val="21"/>
        </w:rPr>
        <w:t>在评标期间，评标委员会可要求投标人对其投标文件进行澄清，但不得寻求、提供或允许对投标价格等实质性内容做任何更改。有关澄清的要求和答复均以书面形式提交。评标委员会不接受投标人主动提出的澄清、说明。</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投标文件的初审</w:t>
      </w:r>
    </w:p>
    <w:p>
      <w:pPr>
        <w:numPr>
          <w:ilvl w:val="1"/>
          <w:numId w:val="28"/>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评标委员会将</w:t>
      </w:r>
      <w:r>
        <w:rPr>
          <w:rFonts w:hint="eastAsia" w:ascii="宋体" w:hAnsi="宋体" w:cs="宋体"/>
          <w:szCs w:val="21"/>
        </w:rPr>
        <w:t>依法</w:t>
      </w:r>
      <w:r>
        <w:rPr>
          <w:rFonts w:hint="eastAsia" w:ascii="宋体" w:hAnsi="宋体" w:cs="宋体"/>
          <w:szCs w:val="21"/>
          <w:lang w:eastAsia="zh-TW"/>
        </w:rPr>
        <w:t>审查投标文件是否完整、文件签署是否合格、投标有效期是否满足要求、有无计算</w:t>
      </w:r>
      <w:r>
        <w:rPr>
          <w:rFonts w:hint="eastAsia" w:ascii="宋体" w:hAnsi="宋体" w:cs="宋体"/>
          <w:szCs w:val="21"/>
        </w:rPr>
        <w:t>上</w:t>
      </w:r>
      <w:r>
        <w:rPr>
          <w:rFonts w:hint="eastAsia" w:ascii="宋体" w:hAnsi="宋体" w:cs="宋体"/>
          <w:szCs w:val="21"/>
          <w:lang w:eastAsia="zh-TW"/>
        </w:rPr>
        <w:t>的错误等。</w:t>
      </w:r>
    </w:p>
    <w:p>
      <w:pPr>
        <w:numPr>
          <w:ilvl w:val="1"/>
          <w:numId w:val="28"/>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开标时，投标文件中开标一览表(报价表)内容与投标文件中明细表内容不一致的，以开标一览表(报价表)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宋体" w:hAnsi="宋体" w:cs="宋体"/>
          <w:szCs w:val="21"/>
        </w:rPr>
        <w:t>。如果投标人不接受对其错误的更正，其投标将被视为无效投标或确定为投标无效。</w:t>
      </w:r>
    </w:p>
    <w:p>
      <w:pPr>
        <w:numPr>
          <w:ilvl w:val="1"/>
          <w:numId w:val="2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评标委员会将允许并书面要求投标人修正投标文件中不构成实质性偏离的、微小的、非正规的、不一致的或不规则的地方，但这些修正不能影响任何投标人相应的名次排序。</w:t>
      </w:r>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在详细评标之前</w:t>
      </w:r>
      <w:r>
        <w:rPr>
          <w:rFonts w:hint="eastAsia" w:ascii="宋体" w:hAnsi="宋体" w:cs="宋体"/>
          <w:szCs w:val="21"/>
        </w:rPr>
        <w:t>，</w:t>
      </w:r>
      <w:r>
        <w:rPr>
          <w:rFonts w:hint="eastAsia" w:ascii="宋体" w:hAnsi="宋体" w:cs="宋体"/>
          <w:szCs w:val="21"/>
          <w:lang w:eastAsia="zh-TW"/>
        </w:rPr>
        <w:t>评标委员会要审查每份投标文件是否实质上响应了招标文件的要求。实质上</w:t>
      </w:r>
      <w:r>
        <w:rPr>
          <w:rFonts w:hint="eastAsia" w:ascii="宋体" w:hAnsi="宋体" w:cs="宋体"/>
          <w:szCs w:val="21"/>
        </w:rPr>
        <w:t>响</w:t>
      </w:r>
      <w:r>
        <w:rPr>
          <w:rFonts w:hint="eastAsia" w:ascii="宋体" w:hAnsi="宋体" w:cs="宋体"/>
          <w:szCs w:val="21"/>
          <w:lang w:eastAsia="zh-TW"/>
        </w:rPr>
        <w:t>应的投标</w:t>
      </w:r>
      <w:r>
        <w:rPr>
          <w:rFonts w:hint="eastAsia" w:ascii="宋体" w:hAnsi="宋体" w:cs="宋体"/>
          <w:szCs w:val="21"/>
        </w:rPr>
        <w:t>文件</w:t>
      </w:r>
      <w:r>
        <w:rPr>
          <w:rFonts w:hint="eastAsia" w:ascii="宋体" w:hAnsi="宋体" w:cs="宋体"/>
          <w:szCs w:val="21"/>
          <w:lang w:eastAsia="zh-TW"/>
        </w:rPr>
        <w:t>应该是与招标文件要求的关键条款</w:t>
      </w:r>
      <w:r>
        <w:rPr>
          <w:rFonts w:hint="eastAsia" w:ascii="宋体" w:hAnsi="宋体" w:cs="宋体"/>
          <w:szCs w:val="21"/>
        </w:rPr>
        <w:t>、</w:t>
      </w:r>
      <w:r>
        <w:rPr>
          <w:rFonts w:hint="eastAsia" w:ascii="宋体" w:hAnsi="宋体" w:cs="宋体"/>
          <w:szCs w:val="21"/>
          <w:lang w:eastAsia="zh-TW"/>
        </w:rPr>
        <w:t>条件和规格相符</w:t>
      </w:r>
      <w:r>
        <w:rPr>
          <w:rFonts w:hint="eastAsia" w:ascii="宋体" w:hAnsi="宋体" w:cs="宋体"/>
          <w:szCs w:val="21"/>
        </w:rPr>
        <w:t>或优于，</w:t>
      </w:r>
      <w:r>
        <w:rPr>
          <w:rFonts w:hint="eastAsia" w:ascii="宋体" w:hAnsi="宋体" w:cs="宋体"/>
          <w:szCs w:val="21"/>
          <w:lang w:eastAsia="zh-TW"/>
        </w:rPr>
        <w:t>没有重大偏离的投标。所谓重大偏离或保留是指实质上影响合同的供货范围、质量和性能；或者实质上与招标文件不一致，而且限制了合同中采购人的权利或投标人的义务；纠正这些偏离或保留将会对其他实质上响应要求的投标人的竞争地位产生不公正的影响。评标委员会决定投标的响应性只根据投标</w:t>
      </w:r>
      <w:r>
        <w:rPr>
          <w:rFonts w:hint="eastAsia" w:ascii="宋体" w:hAnsi="宋体" w:cs="宋体"/>
          <w:szCs w:val="21"/>
        </w:rPr>
        <w:t>文件</w:t>
      </w:r>
      <w:r>
        <w:rPr>
          <w:rFonts w:hint="eastAsia" w:ascii="宋体" w:hAnsi="宋体" w:cs="宋体"/>
          <w:szCs w:val="21"/>
          <w:lang w:eastAsia="zh-TW"/>
        </w:rPr>
        <w:t>本身的真实无误的内容</w:t>
      </w:r>
      <w:r>
        <w:rPr>
          <w:rFonts w:hint="eastAsia" w:ascii="宋体" w:hAnsi="宋体" w:cs="宋体"/>
          <w:szCs w:val="21"/>
        </w:rPr>
        <w:t>，</w:t>
      </w:r>
      <w:r>
        <w:rPr>
          <w:rFonts w:hint="eastAsia" w:ascii="宋体" w:hAnsi="宋体" w:cs="宋体"/>
          <w:szCs w:val="21"/>
          <w:lang w:eastAsia="zh-TW"/>
        </w:rPr>
        <w:t>而不依据外部的证据</w:t>
      </w:r>
      <w:r>
        <w:rPr>
          <w:rFonts w:hint="eastAsia" w:ascii="宋体" w:hAnsi="宋体" w:cs="宋体"/>
          <w:szCs w:val="21"/>
        </w:rPr>
        <w:t>，</w:t>
      </w:r>
      <w:r>
        <w:rPr>
          <w:rFonts w:hint="eastAsia" w:ascii="宋体" w:hAnsi="宋体" w:cs="宋体"/>
          <w:szCs w:val="21"/>
          <w:lang w:eastAsia="zh-TW"/>
        </w:rPr>
        <w:t>但投标有不真实不正确的内容时除外。</w:t>
      </w:r>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实质上没有响应招标文件要求的投标将</w:t>
      </w:r>
      <w:r>
        <w:rPr>
          <w:rFonts w:hint="eastAsia" w:ascii="宋体" w:hAnsi="宋体" w:cs="宋体"/>
          <w:szCs w:val="21"/>
        </w:rPr>
        <w:t>被视为无效投标</w:t>
      </w:r>
      <w:r>
        <w:rPr>
          <w:rFonts w:hint="eastAsia" w:ascii="宋体" w:hAnsi="宋体" w:cs="宋体"/>
          <w:szCs w:val="21"/>
          <w:lang w:eastAsia="zh-TW"/>
        </w:rPr>
        <w:t>。投标人不得通过修正或撤销不合要求的偏离或保留从而使其投标成为实质上响应的投标。</w:t>
      </w:r>
    </w:p>
    <w:p>
      <w:pPr>
        <w:numPr>
          <w:ilvl w:val="2"/>
          <w:numId w:val="28"/>
        </w:numPr>
        <w:tabs>
          <w:tab w:val="left" w:pos="851"/>
        </w:tabs>
        <w:autoSpaceDE w:val="0"/>
        <w:autoSpaceDN w:val="0"/>
        <w:adjustRightInd w:val="0"/>
        <w:snapToGrid w:val="0"/>
        <w:spacing w:line="360" w:lineRule="auto"/>
        <w:ind w:left="851" w:hanging="851"/>
        <w:rPr>
          <w:rFonts w:ascii="宋体" w:hAnsi="宋体" w:cs="宋体"/>
          <w:szCs w:val="21"/>
        </w:rPr>
      </w:pPr>
      <w:r>
        <w:rPr>
          <w:rFonts w:hint="eastAsia" w:ascii="宋体" w:hAnsi="宋体" w:cs="宋体"/>
          <w:szCs w:val="21"/>
          <w:lang w:eastAsia="zh-TW"/>
        </w:rPr>
        <w:t>在资格性审查、符合性检查时，未能通过资格性、符合性审查被认定为无效投标，</w:t>
      </w:r>
      <w:r>
        <w:rPr>
          <w:rFonts w:hint="eastAsia" w:ascii="宋体" w:hAnsi="宋体" w:cs="宋体"/>
          <w:szCs w:val="21"/>
        </w:rPr>
        <w:t>只有全部满足《资格性和符合性审查表》所列各项要求的投标才是有效投标，只要不满足资格性和符合性条款中所列各项要求之一的，将被认定为无效投标。对投标有效性认定意见不一致的，评标委员会按简单多数原则表决决定。无效投标不能进入技术、商务及价格评审。</w:t>
      </w:r>
      <w:r>
        <w:rPr>
          <w:rFonts w:hint="eastAsia" w:ascii="宋体" w:hAnsi="宋体" w:cs="宋体"/>
          <w:szCs w:val="21"/>
          <w:lang w:eastAsia="zh-TW"/>
        </w:rPr>
        <w:t>具体条款</w:t>
      </w:r>
      <w:r>
        <w:rPr>
          <w:rFonts w:hint="eastAsia" w:ascii="宋体" w:hAnsi="宋体" w:cs="宋体"/>
          <w:szCs w:val="21"/>
        </w:rPr>
        <w:t>详</w:t>
      </w:r>
      <w:r>
        <w:rPr>
          <w:rFonts w:hint="eastAsia" w:ascii="宋体" w:hAnsi="宋体" w:cs="宋体"/>
          <w:szCs w:val="21"/>
          <w:lang w:eastAsia="zh-TW"/>
        </w:rPr>
        <w:t>见招标文件《资格、符合性评审条款》。</w:t>
      </w:r>
    </w:p>
    <w:p>
      <w:pPr>
        <w:numPr>
          <w:ilvl w:val="2"/>
          <w:numId w:val="28"/>
        </w:numPr>
        <w:tabs>
          <w:tab w:val="left" w:pos="851"/>
        </w:tabs>
        <w:autoSpaceDE w:val="0"/>
        <w:autoSpaceDN w:val="0"/>
        <w:adjustRightInd w:val="0"/>
        <w:snapToGrid w:val="0"/>
        <w:spacing w:line="360" w:lineRule="auto"/>
        <w:ind w:left="851" w:hanging="851"/>
        <w:rPr>
          <w:rFonts w:ascii="宋体" w:hAnsi="宋体" w:cs="宋体"/>
          <w:szCs w:val="21"/>
        </w:rPr>
      </w:pPr>
      <w:r>
        <w:rPr>
          <w:rFonts w:hint="eastAsia" w:ascii="宋体" w:hAnsi="宋体" w:cs="宋体"/>
          <w:szCs w:val="21"/>
          <w:lang w:eastAsia="zh-TW"/>
        </w:rPr>
        <w:t>评标委员会对各投标人进行资格性和符合性审查过程中，对初步被认定为初审不合格或无效投标者应实行及时告知</w:t>
      </w:r>
      <w:r>
        <w:rPr>
          <w:rFonts w:hint="eastAsia" w:ascii="宋体" w:hAnsi="宋体" w:cs="宋体"/>
          <w:szCs w:val="21"/>
        </w:rPr>
        <w:t>，</w:t>
      </w:r>
      <w:r>
        <w:rPr>
          <w:rFonts w:hint="eastAsia" w:ascii="宋体" w:hAnsi="宋体" w:cs="宋体"/>
          <w:szCs w:val="21"/>
          <w:lang w:eastAsia="zh-TW"/>
        </w:rPr>
        <w:t>由评标委员会主任或采购人代表将集体意见现场及时告知投标当事人，以让其核证、澄清事实。</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投标文件的澄清</w:t>
      </w:r>
    </w:p>
    <w:p>
      <w:pPr>
        <w:numPr>
          <w:ilvl w:val="1"/>
          <w:numId w:val="28"/>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评标期间，对投标文件中含义不明确、同类问题表述不一致或者有明显文字和计算错误的内容，评标委员会可以书面形式（应当由评标委员会专家签字）要求投标人作出必要的澄清、说明或者纠正，但</w:t>
      </w:r>
      <w:r>
        <w:rPr>
          <w:rFonts w:hint="eastAsia" w:ascii="宋体" w:hAnsi="宋体"/>
          <w:szCs w:val="21"/>
        </w:rPr>
        <w:t>不得超出投标文件的范围或者改变投标文件的实质性内容。</w:t>
      </w:r>
      <w:r>
        <w:rPr>
          <w:rFonts w:hint="eastAsia" w:ascii="宋体" w:hAnsi="宋体" w:cs="宋体"/>
          <w:szCs w:val="21"/>
          <w:lang w:eastAsia="zh-TW"/>
        </w:rPr>
        <w:t>投标人的澄清、说明或者补正应当采用书面形式</w:t>
      </w:r>
      <w:r>
        <w:rPr>
          <w:rFonts w:hint="eastAsia" w:ascii="宋体" w:hAnsi="宋体" w:cs="宋体"/>
          <w:szCs w:val="21"/>
        </w:rPr>
        <w:t>，</w:t>
      </w:r>
      <w:r>
        <w:rPr>
          <w:rFonts w:hint="eastAsia" w:ascii="宋体" w:hAnsi="宋体" w:cs="宋体"/>
          <w:szCs w:val="21"/>
          <w:lang w:eastAsia="zh-TW"/>
        </w:rPr>
        <w:t>由其法定代表人或授权的代表签署本人姓名或印盖本人姓名章，并不得超出投标文件的范围或者改变投标文件的实质性内容</w:t>
      </w:r>
      <w:r>
        <w:rPr>
          <w:rFonts w:hint="eastAsia" w:ascii="宋体" w:hAnsi="宋体" w:cs="宋体"/>
          <w:szCs w:val="21"/>
        </w:rPr>
        <w:t>。</w:t>
      </w:r>
    </w:p>
    <w:p>
      <w:pPr>
        <w:numPr>
          <w:ilvl w:val="1"/>
          <w:numId w:val="2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投标人的澄清文件是其投标文件的组成部分。</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投标文件详细评价</w:t>
      </w:r>
    </w:p>
    <w:p>
      <w:pPr>
        <w:numPr>
          <w:ilvl w:val="1"/>
          <w:numId w:val="28"/>
        </w:numPr>
        <w:autoSpaceDE w:val="0"/>
        <w:autoSpaceDN w:val="0"/>
        <w:adjustRightInd w:val="0"/>
        <w:snapToGrid w:val="0"/>
        <w:spacing w:line="360" w:lineRule="auto"/>
        <w:rPr>
          <w:rFonts w:ascii="宋体" w:hAnsi="宋体" w:cs="黑体"/>
          <w:b/>
          <w:bCs/>
          <w:szCs w:val="21"/>
        </w:rPr>
      </w:pPr>
      <w:r>
        <w:rPr>
          <w:rFonts w:hint="eastAsia" w:ascii="宋体" w:hAnsi="宋体"/>
          <w:szCs w:val="21"/>
        </w:rPr>
        <w:t>评</w:t>
      </w:r>
      <w:r>
        <w:rPr>
          <w:rFonts w:hint="eastAsia" w:ascii="宋体" w:hAnsi="宋体" w:cs="宋体"/>
          <w:szCs w:val="21"/>
          <w:lang w:eastAsia="zh-TW"/>
        </w:rPr>
        <w:t>标委员会将</w:t>
      </w:r>
      <w:r>
        <w:rPr>
          <w:rFonts w:hint="eastAsia" w:ascii="宋体" w:hAnsi="宋体" w:cs="宋体"/>
          <w:szCs w:val="21"/>
        </w:rPr>
        <w:t>对通过</w:t>
      </w:r>
      <w:r>
        <w:rPr>
          <w:rFonts w:hint="eastAsia" w:ascii="宋体" w:hAnsi="宋体" w:cs="宋体"/>
          <w:szCs w:val="21"/>
          <w:lang w:eastAsia="zh-TW"/>
        </w:rPr>
        <w:t>资格性、符合性审查的投标</w:t>
      </w:r>
      <w:r>
        <w:rPr>
          <w:rFonts w:hint="eastAsia" w:ascii="宋体" w:hAnsi="宋体" w:cs="宋体"/>
          <w:szCs w:val="21"/>
        </w:rPr>
        <w:t>文件</w:t>
      </w:r>
      <w:r>
        <w:rPr>
          <w:rFonts w:hint="eastAsia" w:ascii="宋体" w:hAnsi="宋体" w:cs="宋体"/>
          <w:szCs w:val="21"/>
          <w:lang w:eastAsia="zh-TW"/>
        </w:rPr>
        <w:t>进行</w:t>
      </w:r>
      <w:r>
        <w:rPr>
          <w:rFonts w:hint="eastAsia" w:ascii="宋体" w:hAnsi="宋体" w:cs="宋体"/>
          <w:szCs w:val="21"/>
        </w:rPr>
        <w:t>详细</w:t>
      </w:r>
      <w:r>
        <w:rPr>
          <w:rFonts w:hint="eastAsia" w:ascii="宋体" w:hAnsi="宋体" w:cs="宋体"/>
          <w:szCs w:val="21"/>
          <w:lang w:eastAsia="zh-TW"/>
        </w:rPr>
        <w:t>评价和比较</w:t>
      </w:r>
      <w:r>
        <w:rPr>
          <w:rFonts w:hint="eastAsia" w:ascii="宋体" w:hAnsi="宋体" w:cs="宋体"/>
          <w:szCs w:val="21"/>
        </w:rPr>
        <w:t>。</w:t>
      </w:r>
    </w:p>
    <w:p>
      <w:pPr>
        <w:numPr>
          <w:ilvl w:val="1"/>
          <w:numId w:val="28"/>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具体条款详见招标文件“</w:t>
      </w:r>
      <w:r>
        <w:rPr>
          <w:rFonts w:hint="eastAsia" w:ascii="宋体" w:hAnsi="宋体" w:cs="宋体"/>
          <w:b/>
          <w:szCs w:val="21"/>
        </w:rPr>
        <w:t>第三章 评分体系与标准”</w:t>
      </w:r>
      <w:r>
        <w:rPr>
          <w:rFonts w:hint="eastAsia" w:ascii="宋体" w:hAnsi="宋体" w:cs="宋体"/>
          <w:szCs w:val="21"/>
        </w:rPr>
        <w:t>。</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授标与定标原则</w:t>
      </w:r>
    </w:p>
    <w:p>
      <w:pPr>
        <w:numPr>
          <w:ilvl w:val="1"/>
          <w:numId w:val="28"/>
        </w:numPr>
        <w:autoSpaceDE w:val="0"/>
        <w:autoSpaceDN w:val="0"/>
        <w:adjustRightInd w:val="0"/>
        <w:snapToGrid w:val="0"/>
        <w:spacing w:line="360" w:lineRule="auto"/>
        <w:rPr>
          <w:rFonts w:ascii="宋体" w:hAnsi="宋体" w:cs="黑体"/>
          <w:b/>
          <w:bCs/>
          <w:szCs w:val="21"/>
        </w:rPr>
      </w:pPr>
      <w:r>
        <w:rPr>
          <w:rFonts w:hint="eastAsia" w:ascii="宋体" w:hAnsi="宋体"/>
          <w:szCs w:val="21"/>
        </w:rPr>
        <w:t>评标委员会按照招标文件确定的评标方法、步骤、标准，对投标文件进行评审，提出书面评标报告。</w:t>
      </w:r>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szCs w:val="21"/>
        </w:rPr>
        <w:t>采用综合评分法的，按评审后得分由高到低顺序排列，评标总得分相同的，按下列顺序比较确定：（1）节能产品；（2）环保产品；（3）投标报价（由低到高）；（4）技术部分（或技术商务部分）得分（由高到低）；（5）技术部分（或技术商务部分）评审项目中分值权重占技术部分（或技术商务部分）总分值权重由高到低的次序（得分由高到低）。除</w:t>
      </w:r>
      <w:r>
        <w:rPr>
          <w:rFonts w:hint="eastAsia" w:ascii="宋体" w:hAnsi="宋体"/>
          <w:b/>
          <w:szCs w:val="21"/>
        </w:rPr>
        <w:t>投标资料表</w:t>
      </w:r>
      <w:r>
        <w:rPr>
          <w:rFonts w:hint="eastAsia" w:ascii="宋体" w:hAnsi="宋体"/>
          <w:szCs w:val="21"/>
        </w:rPr>
        <w:t>另有规定的，推荐综合得分排名第一的投标人为第一中标候选人，排名第二的投标人为第二中标候选人。</w:t>
      </w:r>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szCs w:val="21"/>
        </w:rPr>
        <w:t>采用</w:t>
      </w:r>
      <w:r>
        <w:rPr>
          <w:rFonts w:hint="eastAsia" w:ascii="宋体" w:hAnsi="宋体" w:cs="宋体"/>
          <w:szCs w:val="21"/>
          <w:lang w:eastAsia="zh-TW"/>
        </w:rPr>
        <w:t>最低评标价法</w:t>
      </w:r>
      <w:r>
        <w:rPr>
          <w:rFonts w:hint="eastAsia" w:ascii="宋体" w:hAnsi="宋体" w:cs="宋体"/>
          <w:szCs w:val="21"/>
        </w:rPr>
        <w:t>的，</w:t>
      </w:r>
      <w:r>
        <w:rPr>
          <w:rFonts w:hint="eastAsia" w:ascii="宋体" w:hAnsi="宋体" w:cs="宋体"/>
          <w:szCs w:val="21"/>
          <w:lang w:eastAsia="zh-TW"/>
        </w:rPr>
        <w:t>按投标报价</w:t>
      </w:r>
      <w:r>
        <w:rPr>
          <w:rFonts w:hint="eastAsia" w:ascii="宋体" w:hAnsi="宋体" w:cs="宋体"/>
          <w:szCs w:val="21"/>
        </w:rPr>
        <w:t>（经</w:t>
      </w:r>
      <w:r>
        <w:rPr>
          <w:rFonts w:hint="eastAsia" w:ascii="宋体" w:hAnsi="宋体"/>
          <w:bCs/>
          <w:szCs w:val="21"/>
        </w:rPr>
        <w:t>价格核准后的价格</w:t>
      </w:r>
      <w:r>
        <w:rPr>
          <w:rFonts w:hint="eastAsia" w:ascii="宋体" w:hAnsi="宋体" w:cs="宋体"/>
          <w:szCs w:val="21"/>
        </w:rPr>
        <w:t>）</w:t>
      </w:r>
      <w:r>
        <w:rPr>
          <w:rFonts w:hint="eastAsia" w:ascii="宋体" w:hAnsi="宋体" w:cs="宋体"/>
          <w:szCs w:val="21"/>
          <w:lang w:eastAsia="zh-TW"/>
        </w:rPr>
        <w:t>由低到高顺序排列。投标报价相同的</w:t>
      </w:r>
      <w:r>
        <w:rPr>
          <w:rFonts w:hint="eastAsia" w:ascii="宋体" w:hAnsi="宋体"/>
          <w:szCs w:val="21"/>
        </w:rPr>
        <w:t>，按下列顺序比较确定：（1）节能产品；（2）环保产品；如以上都相同的，名次由评标委员会抽签确定。</w:t>
      </w:r>
      <w:r>
        <w:rPr>
          <w:rFonts w:hint="eastAsia" w:ascii="宋体" w:hAnsi="宋体" w:cs="宋体"/>
          <w:szCs w:val="21"/>
          <w:lang w:eastAsia="zh-TW"/>
        </w:rPr>
        <w:t>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pPr>
        <w:numPr>
          <w:ilvl w:val="1"/>
          <w:numId w:val="28"/>
        </w:numPr>
        <w:autoSpaceDE w:val="0"/>
        <w:autoSpaceDN w:val="0"/>
        <w:adjustRightInd w:val="0"/>
        <w:snapToGrid w:val="0"/>
        <w:spacing w:line="360" w:lineRule="auto"/>
        <w:rPr>
          <w:rFonts w:ascii="宋体" w:hAnsi="宋体" w:cs="宋体"/>
          <w:szCs w:val="21"/>
          <w:lang w:eastAsia="zh-TW"/>
        </w:rPr>
      </w:pPr>
      <w:r>
        <w:rPr>
          <w:rFonts w:ascii="宋体" w:hAnsi="宋体"/>
          <w:szCs w:val="21"/>
        </w:rPr>
        <w:t>评标委员会提</w:t>
      </w:r>
      <w:r>
        <w:rPr>
          <w:rFonts w:hint="eastAsia" w:ascii="宋体" w:hAnsi="宋体"/>
          <w:szCs w:val="21"/>
        </w:rPr>
        <w:t>交</w:t>
      </w:r>
      <w:r>
        <w:rPr>
          <w:rFonts w:ascii="宋体" w:hAnsi="宋体"/>
          <w:szCs w:val="21"/>
        </w:rPr>
        <w:t>评</w:t>
      </w:r>
      <w:r>
        <w:rPr>
          <w:rFonts w:hint="eastAsia" w:ascii="宋体" w:hAnsi="宋体"/>
          <w:szCs w:val="21"/>
        </w:rPr>
        <w:t>标</w:t>
      </w:r>
      <w:r>
        <w:rPr>
          <w:rFonts w:ascii="宋体" w:hAnsi="宋体"/>
          <w:szCs w:val="21"/>
        </w:rPr>
        <w:t>报告和推荐中标意见报</w:t>
      </w:r>
      <w:r>
        <w:rPr>
          <w:rFonts w:hint="eastAsia" w:ascii="宋体" w:hAnsi="宋体"/>
          <w:szCs w:val="21"/>
        </w:rPr>
        <w:t>采购</w:t>
      </w:r>
      <w:r>
        <w:rPr>
          <w:rFonts w:ascii="宋体" w:hAnsi="宋体"/>
          <w:szCs w:val="21"/>
        </w:rPr>
        <w:t>人</w:t>
      </w:r>
      <w:r>
        <w:rPr>
          <w:rFonts w:hint="eastAsia" w:ascii="宋体" w:hAnsi="宋体"/>
          <w:szCs w:val="21"/>
        </w:rPr>
        <w:t>确认，采购人在收到评标报告后的法定时间内，按照评标报告中推荐的中标候选人顺序确定中标人，也可以事先授权评标委员会直接确定中标人。确认后采购代理机构将在刊登本项目招标公告的法定媒体上</w:t>
      </w:r>
      <w:r>
        <w:rPr>
          <w:rFonts w:ascii="宋体" w:hAnsi="宋体"/>
          <w:szCs w:val="21"/>
        </w:rPr>
        <w:t>发</w:t>
      </w:r>
      <w:r>
        <w:rPr>
          <w:rFonts w:hint="eastAsia" w:ascii="宋体" w:hAnsi="宋体"/>
          <w:szCs w:val="21"/>
        </w:rPr>
        <w:t>布中标公告。不在中标名单之列者即为未中标人，采购代理机构不再以其他方式另行通知。评审结果确定后，采购人根据需要通知评标委员会推荐的第一中标候选人在2个工作日内，按投标文件中所列清单中的相关证件、证明文件、合同和其他文件的原件送采购人核对与投标人投标文件中的复印件是否一致。采购人在接到原件之日起</w:t>
      </w:r>
      <w:r>
        <w:rPr>
          <w:rFonts w:ascii="宋体" w:hAnsi="宋体"/>
          <w:szCs w:val="21"/>
        </w:rPr>
        <w:t>3</w:t>
      </w:r>
      <w:r>
        <w:rPr>
          <w:rFonts w:hint="eastAsia" w:ascii="宋体" w:hAnsi="宋体"/>
          <w:szCs w:val="21"/>
        </w:rPr>
        <w:t>个工作日内，核对没有不一致的，须确认中标人；核对发现有不一致或第一中标候选人没有</w:t>
      </w:r>
    </w:p>
    <w:p>
      <w:pPr>
        <w:numPr>
          <w:ilvl w:val="1"/>
          <w:numId w:val="28"/>
        </w:numPr>
        <w:autoSpaceDE w:val="0"/>
        <w:autoSpaceDN w:val="0"/>
        <w:adjustRightInd w:val="0"/>
        <w:snapToGrid w:val="0"/>
        <w:spacing w:line="360" w:lineRule="auto"/>
        <w:rPr>
          <w:rFonts w:ascii="宋体" w:hAnsi="宋体"/>
          <w:b/>
          <w:bCs/>
          <w:szCs w:val="21"/>
        </w:rPr>
      </w:pPr>
      <w:r>
        <w:rPr>
          <w:rFonts w:hint="eastAsia" w:ascii="宋体" w:hAnsi="宋体"/>
          <w:szCs w:val="21"/>
        </w:rPr>
        <w:t>按约定提交原件的，报监管部门核实后按虚假应标处理。</w:t>
      </w:r>
    </w:p>
    <w:p>
      <w:pPr>
        <w:numPr>
          <w:ilvl w:val="1"/>
          <w:numId w:val="28"/>
        </w:numPr>
        <w:autoSpaceDE w:val="0"/>
        <w:autoSpaceDN w:val="0"/>
        <w:adjustRightInd w:val="0"/>
        <w:snapToGrid w:val="0"/>
        <w:spacing w:line="360" w:lineRule="auto"/>
        <w:rPr>
          <w:rFonts w:ascii="宋体" w:hAnsi="宋体"/>
          <w:szCs w:val="21"/>
        </w:rPr>
      </w:pPr>
      <w:r>
        <w:rPr>
          <w:rFonts w:hint="eastAsia" w:ascii="宋体" w:hAnsi="宋体"/>
          <w:szCs w:val="21"/>
        </w:rPr>
        <w:t>因不可抗力或自身原因不能履行政府采购合同的、不按要求与采购人签订政府采购合同、中标人放弃中标、中标资格被依法确认无效的，采购人可以与排位在中标人之后第一位的中标候选人签订政府采购合同，也可以重新开展政府采购活动。</w:t>
      </w:r>
    </w:p>
    <w:p>
      <w:pPr>
        <w:numPr>
          <w:ilvl w:val="0"/>
          <w:numId w:val="28"/>
        </w:numPr>
        <w:autoSpaceDE w:val="0"/>
        <w:autoSpaceDN w:val="0"/>
        <w:adjustRightInd w:val="0"/>
        <w:snapToGrid w:val="0"/>
        <w:spacing w:line="360" w:lineRule="auto"/>
        <w:ind w:left="449" w:hanging="449" w:hangingChars="213"/>
        <w:outlineLvl w:val="2"/>
        <w:rPr>
          <w:rFonts w:ascii="宋体" w:hAnsi="宋体"/>
          <w:b/>
          <w:szCs w:val="21"/>
        </w:rPr>
      </w:pPr>
      <w:r>
        <w:rPr>
          <w:rFonts w:ascii="宋体" w:hAnsi="宋体"/>
          <w:b/>
          <w:szCs w:val="21"/>
        </w:rPr>
        <w:t>废标</w:t>
      </w:r>
    </w:p>
    <w:p>
      <w:pPr>
        <w:numPr>
          <w:ilvl w:val="1"/>
          <w:numId w:val="28"/>
        </w:numPr>
        <w:autoSpaceDE w:val="0"/>
        <w:autoSpaceDN w:val="0"/>
        <w:adjustRightInd w:val="0"/>
        <w:snapToGrid w:val="0"/>
        <w:spacing w:line="360" w:lineRule="auto"/>
        <w:rPr>
          <w:rFonts w:ascii="宋体" w:hAnsi="宋体"/>
          <w:b/>
          <w:szCs w:val="21"/>
        </w:rPr>
      </w:pPr>
      <w:r>
        <w:rPr>
          <w:rFonts w:ascii="宋体" w:hAnsi="宋体"/>
          <w:b/>
          <w:szCs w:val="21"/>
        </w:rPr>
        <w:t>在招标采购中，出现下列情形之一的，应予废标</w:t>
      </w:r>
      <w:r>
        <w:rPr>
          <w:rFonts w:hint="eastAsia" w:ascii="宋体" w:hAnsi="宋体"/>
          <w:b/>
          <w:szCs w:val="21"/>
        </w:rPr>
        <w:t>。</w:t>
      </w:r>
    </w:p>
    <w:p>
      <w:pPr>
        <w:numPr>
          <w:ilvl w:val="2"/>
          <w:numId w:val="28"/>
        </w:numPr>
        <w:tabs>
          <w:tab w:val="left" w:pos="851"/>
        </w:tabs>
        <w:autoSpaceDE w:val="0"/>
        <w:autoSpaceDN w:val="0"/>
        <w:adjustRightInd w:val="0"/>
        <w:snapToGrid w:val="0"/>
        <w:spacing w:line="360" w:lineRule="auto"/>
        <w:rPr>
          <w:rFonts w:ascii="宋体" w:hAnsi="宋体"/>
          <w:szCs w:val="21"/>
        </w:rPr>
      </w:pPr>
      <w:r>
        <w:rPr>
          <w:rFonts w:ascii="宋体" w:hAnsi="宋体"/>
          <w:szCs w:val="21"/>
        </w:rPr>
        <w:t>符合专业条件的供应商或者对</w:t>
      </w:r>
      <w:r>
        <w:rPr>
          <w:rFonts w:hint="eastAsia" w:ascii="宋体" w:hAnsi="宋体"/>
          <w:szCs w:val="21"/>
        </w:rPr>
        <w:t>招标</w:t>
      </w:r>
      <w:r>
        <w:rPr>
          <w:rFonts w:ascii="宋体" w:hAnsi="宋体"/>
          <w:szCs w:val="21"/>
        </w:rPr>
        <w:t>文件作实质响应的供应商不足三家的；</w:t>
      </w:r>
    </w:p>
    <w:p>
      <w:pPr>
        <w:numPr>
          <w:ilvl w:val="2"/>
          <w:numId w:val="28"/>
        </w:numPr>
        <w:tabs>
          <w:tab w:val="left" w:pos="851"/>
        </w:tabs>
        <w:autoSpaceDE w:val="0"/>
        <w:autoSpaceDN w:val="0"/>
        <w:adjustRightInd w:val="0"/>
        <w:snapToGrid w:val="0"/>
        <w:spacing w:line="360" w:lineRule="auto"/>
        <w:rPr>
          <w:rFonts w:ascii="宋体" w:hAnsi="宋体"/>
          <w:szCs w:val="21"/>
        </w:rPr>
      </w:pPr>
      <w:r>
        <w:rPr>
          <w:rFonts w:ascii="宋体" w:hAnsi="宋体"/>
          <w:szCs w:val="21"/>
        </w:rPr>
        <w:t>出现影响采购公正的违法、违规行为的；</w:t>
      </w:r>
    </w:p>
    <w:p>
      <w:pPr>
        <w:numPr>
          <w:ilvl w:val="2"/>
          <w:numId w:val="28"/>
        </w:numPr>
        <w:tabs>
          <w:tab w:val="left" w:pos="851"/>
        </w:tabs>
        <w:autoSpaceDE w:val="0"/>
        <w:autoSpaceDN w:val="0"/>
        <w:adjustRightInd w:val="0"/>
        <w:snapToGrid w:val="0"/>
        <w:spacing w:line="360" w:lineRule="auto"/>
        <w:rPr>
          <w:rFonts w:ascii="宋体" w:hAnsi="宋体"/>
          <w:szCs w:val="21"/>
        </w:rPr>
      </w:pPr>
      <w:r>
        <w:rPr>
          <w:rFonts w:ascii="宋体" w:hAnsi="宋体"/>
          <w:szCs w:val="21"/>
        </w:rPr>
        <w:t>投标人的报价均超过了采购预算，采购人不能支付的；</w:t>
      </w:r>
    </w:p>
    <w:p>
      <w:pPr>
        <w:numPr>
          <w:ilvl w:val="2"/>
          <w:numId w:val="28"/>
        </w:numPr>
        <w:tabs>
          <w:tab w:val="left" w:pos="851"/>
        </w:tabs>
        <w:autoSpaceDE w:val="0"/>
        <w:autoSpaceDN w:val="0"/>
        <w:adjustRightInd w:val="0"/>
        <w:snapToGrid w:val="0"/>
        <w:spacing w:line="360" w:lineRule="auto"/>
        <w:rPr>
          <w:rFonts w:ascii="宋体" w:hAnsi="宋体"/>
          <w:szCs w:val="21"/>
        </w:rPr>
      </w:pPr>
      <w:r>
        <w:rPr>
          <w:rFonts w:ascii="宋体" w:hAnsi="宋体"/>
          <w:szCs w:val="21"/>
        </w:rPr>
        <w:t>因重大变故，采购任务取消的</w:t>
      </w:r>
      <w:r>
        <w:rPr>
          <w:rFonts w:hint="eastAsia" w:ascii="宋体" w:hAnsi="宋体"/>
          <w:szCs w:val="21"/>
        </w:rPr>
        <w:t>。</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询问、质疑、投诉</w:t>
      </w:r>
    </w:p>
    <w:p>
      <w:pPr>
        <w:adjustRightInd w:val="0"/>
        <w:snapToGrid w:val="0"/>
        <w:spacing w:line="360" w:lineRule="auto"/>
        <w:jc w:val="left"/>
        <w:rPr>
          <w:rFonts w:ascii="宋体" w:hAnsi="宋体" w:cs="宋体"/>
          <w:bCs/>
          <w:kern w:val="0"/>
          <w:szCs w:val="21"/>
        </w:rPr>
      </w:pPr>
      <w:bookmarkStart w:id="95" w:name="_Toc435542350"/>
      <w:bookmarkStart w:id="96" w:name="_Toc438223025"/>
      <w:r>
        <w:rPr>
          <w:rFonts w:hint="eastAsia" w:ascii="宋体" w:hAnsi="宋体" w:cs="宋体"/>
          <w:bCs/>
          <w:kern w:val="0"/>
          <w:szCs w:val="21"/>
        </w:rPr>
        <w:t xml:space="preserve"> 询问</w:t>
      </w:r>
    </w:p>
    <w:p>
      <w:pPr>
        <w:numPr>
          <w:ilvl w:val="2"/>
          <w:numId w:val="28"/>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供应商对政府采购活动事项（采购文件、采购过程和采购结果）有疑问的，可以向采购人或采购代理机构提出询问，采购人或采购代理机构将及时做出答复，但答复的内容不涉及商业秘密。书面方式询问包括但不限于传真、信函。联系方式见《投标邀请函》中“采购人、采购代理机构的名称、地址和联系方式”。 质疑供应商认为采购文件、采购过程或采购结果使自己的权益受到损害的，以书面形式向采购人或采购代理机构书面提出质疑。质疑应当依法给与答复，并将结果告知有关当事人。我司处理质疑的依据是国家相关法律法规以及《广东省政府采购工作规范（试行）》第十一章，程序阐释如下：</w:t>
      </w:r>
    </w:p>
    <w:p>
      <w:pPr>
        <w:numPr>
          <w:ilvl w:val="2"/>
          <w:numId w:val="28"/>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质疑处理遵循公平、公正、规范、高效的原则。</w:t>
      </w:r>
    </w:p>
    <w:p>
      <w:pPr>
        <w:numPr>
          <w:ilvl w:val="2"/>
          <w:numId w:val="28"/>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供应商质疑实行实名制和“谁质疑，谁举证”的原则，质疑应有具体的事项及事实根据。</w:t>
      </w:r>
    </w:p>
    <w:p>
      <w:pPr>
        <w:numPr>
          <w:ilvl w:val="2"/>
          <w:numId w:val="28"/>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质疑应以书面形式在规定时间内一次性全部提出，供应商认为采购文件、采购过程和中标或者成交结果使自己的权益受到损害的，可以在知道或者应知其损益受到损害之日起七个工作日内提出质疑。</w:t>
      </w:r>
    </w:p>
    <w:p>
      <w:pPr>
        <w:numPr>
          <w:ilvl w:val="2"/>
          <w:numId w:val="28"/>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供应商质疑应符合下列条件：</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(1) 提供质疑的项目名称及其采购编号、质疑供应商的单位名称、详细地址、邮政编码、联系人及联系电话、日期等基本情况。质疑文件必须由法定代表人签署，并加盖单位公章，提交质疑书原件(传真件恕不受理)。若非法定代表人亲自提交的，则须提供法定代表人授权委托书。</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(2) 有质疑的具体事项、请求及理由，并附相关证据材料，所依据的有关法律、法规、规章的名称及条款内容。</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(3) 质疑材料中有外文资料的，应一并附上中文译本，并以中文译本为准。</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(4) 质疑事项属于有关法律、法规和规章规定处于保密阶段的事项，质疑的当事人应当提供信息来源或有效证据。</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（5）参与了所质疑项目的政府采购活动。</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不符合上述条件的，采购代理机构不予受理。</w:t>
      </w:r>
    </w:p>
    <w:p>
      <w:pPr>
        <w:numPr>
          <w:ilvl w:val="2"/>
          <w:numId w:val="28"/>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采购代理机构受理质疑办理程序：</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(1) 采购代理机构应当在收到质疑书原件的当日与质疑人办理签收手续。</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(2) 先与质疑供应商进行沟通，以消除因误解或对采购规则、程序的不了解而引起的质疑。如供应商对沟通情况满意，撤回了质疑，质疑处理程序终止。</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(3) 质疑书内容不符合规定的，采购代理机构应以书面形式告知质疑人，质疑人应根据有关规定作出修改，并在约定的期限内提供符合要求的文件，否则视为质疑人放弃质疑。</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(4) 根据“谁主张、谁举证”的原则，对于需经由法定部门调查、侦查或先行作出相关认定的事项，质疑人应当申请具有法定职权的部门查实认定，并将相关结果提交给采购代理机构。</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(5) 处理质疑一般进行书面审查，并可将质疑文件复印件发送给相关当事人；必要时听取各方当事人的陈述和申辩、进行相关调查；组织原评标委员会或谈判小组进行复议，委托专业机构出具鉴定意见或其他专业意见，也可组织听证会进行论证调查。</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(6) 在质疑处理期间，采购代理机构视情形可以依法决定暂停采购活动。</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(7) 采购代理机构原则上在质疑受理之日起七个工作日内书面答复质疑供应商。答复函可以直接领取、传真或邮寄方式均视为有效送达。</w:t>
      </w:r>
    </w:p>
    <w:p>
      <w:pPr>
        <w:numPr>
          <w:ilvl w:val="2"/>
          <w:numId w:val="28"/>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供应商向采购代理机构提出质疑后，在质疑处理期限内，不得同时向其他部门提起同一质疑。质疑供应商如已就同一事项提起投诉、提请行政复议或诉讼的，质疑程序终止。</w:t>
      </w:r>
    </w:p>
    <w:p>
      <w:pPr>
        <w:numPr>
          <w:ilvl w:val="2"/>
          <w:numId w:val="28"/>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采购单位、评标专家和相关供应商等当事人应积极配合采购代理机构进行质疑调查，如实反映情况，及时提供证明材料。</w:t>
      </w:r>
    </w:p>
    <w:p>
      <w:pPr>
        <w:numPr>
          <w:ilvl w:val="2"/>
          <w:numId w:val="28"/>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质疑人拒绝配合采购代理机构依法进行调查的，按自动撤回质疑处理；被质疑人在规定时限内，无正当理由未提交相关证据和其他有关材料的，视同放弃说明权利，认可质疑事项。</w:t>
      </w:r>
    </w:p>
    <w:p>
      <w:pPr>
        <w:numPr>
          <w:ilvl w:val="2"/>
          <w:numId w:val="28"/>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质疑供应商有下列情形之一的，属于虚假、恶意质疑：</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(1) 捏造事实或提供虚假证明材料的；</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(2) 假冒他人名义进行质疑的；</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(3) 拒不配合进行有关调查、情节严重的。</w:t>
      </w:r>
    </w:p>
    <w:p>
      <w:pPr>
        <w:numPr>
          <w:ilvl w:val="2"/>
          <w:numId w:val="28"/>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在供应商质疑受理调查期间，相关信息或材料文件的传递，采购代理机构、质疑人、被质疑人以及相关当事人应当采用书面形式，并办理有关签收手续。</w:t>
      </w:r>
    </w:p>
    <w:p>
      <w:pPr>
        <w:numPr>
          <w:ilvl w:val="2"/>
          <w:numId w:val="28"/>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一年内同一供应商同一行业内有三次无效质疑的列入黑名单，并呈报监管部门处理。</w:t>
      </w:r>
    </w:p>
    <w:p>
      <w:pPr>
        <w:numPr>
          <w:ilvl w:val="0"/>
          <w:numId w:val="27"/>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r>
        <w:rPr>
          <w:rFonts w:hint="eastAsia" w:ascii="宋体" w:hAnsi="宋体"/>
          <w:b/>
          <w:sz w:val="28"/>
          <w:szCs w:val="28"/>
          <w:lang w:eastAsia="zh-TW"/>
        </w:rPr>
        <w:t>授予合同</w:t>
      </w:r>
      <w:bookmarkEnd w:id="95"/>
      <w:bookmarkEnd w:id="96"/>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bookmarkStart w:id="97" w:name="_Toc237787628"/>
      <w:r>
        <w:rPr>
          <w:rFonts w:hint="eastAsia" w:ascii="宋体" w:hAnsi="宋体"/>
          <w:b/>
          <w:bCs/>
          <w:szCs w:val="21"/>
        </w:rPr>
        <w:t>中标人的确定</w:t>
      </w:r>
      <w:bookmarkEnd w:id="97"/>
    </w:p>
    <w:p>
      <w:pPr>
        <w:numPr>
          <w:ilvl w:val="1"/>
          <w:numId w:val="28"/>
        </w:numPr>
        <w:autoSpaceDE w:val="0"/>
        <w:autoSpaceDN w:val="0"/>
        <w:adjustRightInd w:val="0"/>
        <w:snapToGrid w:val="0"/>
        <w:spacing w:line="360" w:lineRule="auto"/>
        <w:rPr>
          <w:rFonts w:ascii="宋体" w:hAnsi="宋体" w:cs="宋体"/>
          <w:szCs w:val="21"/>
          <w:lang w:eastAsia="zh-TW"/>
        </w:rPr>
      </w:pPr>
      <w:bookmarkStart w:id="98" w:name="_Toc237787629"/>
      <w:r>
        <w:rPr>
          <w:rFonts w:hint="eastAsia" w:ascii="宋体" w:hAnsi="宋体" w:cs="宋体"/>
          <w:szCs w:val="21"/>
          <w:lang w:eastAsia="zh-TW"/>
        </w:rPr>
        <w:t>采购人根据评标委员会提出的书面评标报告和推荐的中标候选人确定中标人。</w:t>
      </w:r>
      <w:bookmarkEnd w:id="98"/>
      <w:r>
        <w:rPr>
          <w:rFonts w:hint="eastAsia" w:ascii="宋体" w:hAnsi="宋体" w:cs="宋体"/>
          <w:szCs w:val="21"/>
          <w:lang w:eastAsia="zh-TW"/>
        </w:rPr>
        <w:t>采购人也可以授权评标委员会直接确定中标人。</w:t>
      </w:r>
    </w:p>
    <w:p>
      <w:pPr>
        <w:numPr>
          <w:ilvl w:val="1"/>
          <w:numId w:val="28"/>
        </w:numPr>
        <w:autoSpaceDE w:val="0"/>
        <w:autoSpaceDN w:val="0"/>
        <w:adjustRightInd w:val="0"/>
        <w:snapToGrid w:val="0"/>
        <w:spacing w:line="360" w:lineRule="auto"/>
        <w:rPr>
          <w:rFonts w:ascii="宋体" w:hAnsi="宋体" w:cs="宋体"/>
          <w:szCs w:val="21"/>
          <w:lang w:eastAsia="zh-TW"/>
        </w:rPr>
      </w:pPr>
      <w:bookmarkStart w:id="99" w:name="_Toc237787633"/>
      <w:r>
        <w:rPr>
          <w:rFonts w:hint="eastAsia" w:ascii="宋体" w:hAnsi="宋体" w:cs="宋体"/>
          <w:szCs w:val="21"/>
          <w:lang w:eastAsia="zh-TW"/>
        </w:rPr>
        <w:t>确认后采购代理机构将在刊登本项目招标公告的法定媒体上发布中标公告。</w:t>
      </w:r>
      <w:bookmarkEnd w:id="99"/>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中标通知书</w:t>
      </w:r>
    </w:p>
    <w:p>
      <w:pPr>
        <w:numPr>
          <w:ilvl w:val="1"/>
          <w:numId w:val="28"/>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中标公告发布的同时，采购代理机构以书面形式向中标人发出</w:t>
      </w:r>
      <w:bookmarkStart w:id="100" w:name="_Toc237787644"/>
      <w:r>
        <w:rPr>
          <w:rFonts w:hint="eastAsia" w:ascii="宋体" w:hAnsi="宋体" w:cs="宋体"/>
          <w:szCs w:val="21"/>
          <w:lang w:eastAsia="zh-TW"/>
        </w:rPr>
        <w:t>《中标通知书》，向采购人及未中标人发出《招标结果通知书》，《中标通知书》对中标人和采购人具有同等法律效力。</w:t>
      </w:r>
      <w:bookmarkEnd w:id="100"/>
    </w:p>
    <w:p>
      <w:pPr>
        <w:numPr>
          <w:ilvl w:val="1"/>
          <w:numId w:val="28"/>
        </w:numPr>
        <w:autoSpaceDE w:val="0"/>
        <w:autoSpaceDN w:val="0"/>
        <w:adjustRightInd w:val="0"/>
        <w:snapToGrid w:val="0"/>
        <w:spacing w:line="360" w:lineRule="auto"/>
        <w:rPr>
          <w:rFonts w:ascii="宋体" w:hAnsi="宋体" w:cs="宋体"/>
          <w:szCs w:val="21"/>
          <w:lang w:eastAsia="zh-TW"/>
        </w:rPr>
      </w:pPr>
      <w:bookmarkStart w:id="101" w:name="_Toc237787646"/>
      <w:r>
        <w:rPr>
          <w:rFonts w:hint="eastAsia" w:ascii="宋体" w:hAnsi="宋体" w:cs="宋体"/>
          <w:szCs w:val="21"/>
          <w:lang w:eastAsia="zh-TW"/>
        </w:rPr>
        <w:t>《中标通知书》发出后，采购人改变中标结果，或者中标人放弃中标的，均应承担相应的法律责任。</w:t>
      </w:r>
      <w:bookmarkEnd w:id="101"/>
    </w:p>
    <w:p>
      <w:pPr>
        <w:numPr>
          <w:ilvl w:val="1"/>
          <w:numId w:val="28"/>
        </w:numPr>
        <w:autoSpaceDE w:val="0"/>
        <w:autoSpaceDN w:val="0"/>
        <w:adjustRightInd w:val="0"/>
        <w:snapToGrid w:val="0"/>
        <w:spacing w:line="360" w:lineRule="auto"/>
        <w:rPr>
          <w:rFonts w:ascii="宋体" w:hAnsi="宋体" w:cs="黑体"/>
          <w:b/>
          <w:bCs/>
          <w:szCs w:val="21"/>
        </w:rPr>
      </w:pPr>
      <w:r>
        <w:rPr>
          <w:rFonts w:hint="eastAsia" w:ascii="宋体" w:hAnsi="宋体"/>
          <w:szCs w:val="21"/>
        </w:rPr>
        <w:t>《中标通知书》将作为授予合同资格的合法依据，是合同的一个组成部分。</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合同的订立</w:t>
      </w:r>
    </w:p>
    <w:p>
      <w:pPr>
        <w:numPr>
          <w:ilvl w:val="1"/>
          <w:numId w:val="28"/>
        </w:numPr>
        <w:autoSpaceDE w:val="0"/>
        <w:autoSpaceDN w:val="0"/>
        <w:adjustRightInd w:val="0"/>
        <w:snapToGrid w:val="0"/>
        <w:spacing w:line="360" w:lineRule="auto"/>
        <w:rPr>
          <w:rFonts w:ascii="宋体" w:hAnsi="宋体" w:cs="黑体"/>
          <w:b/>
          <w:bCs/>
          <w:szCs w:val="21"/>
        </w:rPr>
      </w:pPr>
      <w:r>
        <w:rPr>
          <w:rFonts w:hint="eastAsia" w:ascii="宋体" w:hAnsi="宋体" w:cs="宋体"/>
          <w:szCs w:val="21"/>
        </w:rPr>
        <w:t>除非</w:t>
      </w:r>
      <w:r>
        <w:rPr>
          <w:rFonts w:hint="eastAsia" w:ascii="宋体" w:hAnsi="宋体" w:cs="宋体"/>
          <w:b/>
          <w:szCs w:val="21"/>
        </w:rPr>
        <w:t>投标资料表</w:t>
      </w:r>
      <w:r>
        <w:rPr>
          <w:rFonts w:hint="eastAsia" w:ascii="宋体" w:hAnsi="宋体" w:cs="宋体"/>
          <w:szCs w:val="21"/>
        </w:rPr>
        <w:t>另有规定，</w:t>
      </w:r>
      <w:r>
        <w:rPr>
          <w:rFonts w:hint="eastAsia" w:ascii="宋体" w:hAnsi="宋体" w:cs="宋体"/>
          <w:szCs w:val="21"/>
          <w:lang w:eastAsia="zh-TW"/>
        </w:rPr>
        <w:t>采购人应当自中标通知书发出之日起三十日内，按照招标文件和中标人投标文件的约定，与中标人签订书面合同。所签订的合同不得对招标文件和中标人投标文件作实质性修改</w:t>
      </w:r>
      <w:r>
        <w:rPr>
          <w:rFonts w:hint="eastAsia" w:ascii="宋体" w:hAnsi="宋体" w:cs="宋体"/>
          <w:szCs w:val="21"/>
        </w:rPr>
        <w:t>。</w:t>
      </w:r>
    </w:p>
    <w:p>
      <w:pPr>
        <w:numPr>
          <w:ilvl w:val="1"/>
          <w:numId w:val="28"/>
        </w:numPr>
        <w:autoSpaceDE w:val="0"/>
        <w:autoSpaceDN w:val="0"/>
        <w:adjustRightInd w:val="0"/>
        <w:snapToGrid w:val="0"/>
        <w:spacing w:line="360" w:lineRule="auto"/>
        <w:rPr>
          <w:rFonts w:ascii="宋体" w:hAnsi="宋体" w:cs="宋体"/>
          <w:szCs w:val="21"/>
        </w:rPr>
      </w:pPr>
      <w:r>
        <w:rPr>
          <w:rFonts w:hint="eastAsia" w:ascii="宋体" w:hAnsi="宋体" w:cs="宋体"/>
          <w:szCs w:val="21"/>
        </w:rPr>
        <w:t xml:space="preserve">招标采购单位不得向中标人提出任何不合理的要求，作为签订合同的条件，不得与中标人私下订立背离合同实质性内容的协议。 </w:t>
      </w:r>
    </w:p>
    <w:p>
      <w:pPr>
        <w:numPr>
          <w:ilvl w:val="1"/>
          <w:numId w:val="28"/>
        </w:numPr>
        <w:autoSpaceDE w:val="0"/>
        <w:autoSpaceDN w:val="0"/>
        <w:adjustRightInd w:val="0"/>
        <w:snapToGrid w:val="0"/>
        <w:spacing w:line="360" w:lineRule="auto"/>
        <w:rPr>
          <w:rFonts w:ascii="宋体" w:hAnsi="宋体" w:cs="宋体"/>
          <w:szCs w:val="21"/>
        </w:rPr>
      </w:pPr>
      <w:r>
        <w:rPr>
          <w:rFonts w:hint="eastAsia" w:ascii="宋体" w:hAnsi="宋体" w:cs="宋体"/>
          <w:szCs w:val="21"/>
        </w:rPr>
        <w:t>自</w:t>
      </w:r>
      <w:r>
        <w:rPr>
          <w:rFonts w:hint="eastAsia" w:ascii="宋体" w:hAnsi="宋体" w:cs="宋体"/>
          <w:szCs w:val="21"/>
          <w:lang w:eastAsia="zh-TW"/>
        </w:rPr>
        <w:t>政府采购</w:t>
      </w:r>
      <w:r>
        <w:rPr>
          <w:rFonts w:hint="eastAsia" w:ascii="宋体" w:hAnsi="宋体" w:cs="宋体"/>
          <w:szCs w:val="21"/>
        </w:rPr>
        <w:t>合同签订之日起2</w:t>
      </w:r>
      <w:r>
        <w:rPr>
          <w:rFonts w:hint="eastAsia" w:ascii="宋体" w:hAnsi="宋体" w:cs="宋体"/>
          <w:szCs w:val="21"/>
          <w:lang w:eastAsia="zh-TW"/>
        </w:rPr>
        <w:t>个工作日内，采购人应将政府采购合同</w:t>
      </w:r>
      <w:r>
        <w:rPr>
          <w:rFonts w:hint="eastAsia" w:ascii="宋体" w:hAnsi="宋体" w:cs="宋体"/>
          <w:szCs w:val="21"/>
        </w:rPr>
        <w:t>在省级以上人民政府财政部门指定的媒体上公告，但政府采购合同中涉及国家秘密、商业秘密的内容除外</w:t>
      </w:r>
      <w:r>
        <w:rPr>
          <w:rFonts w:hint="eastAsia" w:ascii="宋体" w:hAnsi="宋体" w:cs="宋体"/>
          <w:szCs w:val="21"/>
          <w:lang w:eastAsia="zh-TW"/>
        </w:rPr>
        <w:t>。</w:t>
      </w:r>
    </w:p>
    <w:p>
      <w:pPr>
        <w:numPr>
          <w:ilvl w:val="1"/>
          <w:numId w:val="28"/>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政府采购</w:t>
      </w:r>
      <w:r>
        <w:rPr>
          <w:rFonts w:hint="eastAsia" w:ascii="宋体" w:hAnsi="宋体" w:cs="宋体"/>
          <w:szCs w:val="21"/>
        </w:rPr>
        <w:t>合同签订之日起七</w:t>
      </w:r>
      <w:r>
        <w:rPr>
          <w:rFonts w:hint="eastAsia" w:ascii="宋体" w:hAnsi="宋体" w:cs="宋体"/>
          <w:szCs w:val="21"/>
          <w:lang w:eastAsia="zh-TW"/>
        </w:rPr>
        <w:t>个工作日内，采购人应将政府采购合同副本报同级监管部门备案</w:t>
      </w:r>
      <w:r>
        <w:rPr>
          <w:rFonts w:hint="eastAsia" w:ascii="宋体" w:hAnsi="宋体" w:cs="宋体"/>
          <w:szCs w:val="21"/>
        </w:rPr>
        <w:t>和有关部门备案</w:t>
      </w:r>
      <w:r>
        <w:rPr>
          <w:rFonts w:hint="eastAsia" w:ascii="宋体" w:hAnsi="宋体" w:cs="宋体"/>
          <w:szCs w:val="21"/>
          <w:lang w:eastAsia="zh-TW"/>
        </w:rPr>
        <w:t>。</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合同的履行</w:t>
      </w:r>
    </w:p>
    <w:p>
      <w:pPr>
        <w:numPr>
          <w:ilvl w:val="1"/>
          <w:numId w:val="28"/>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政府采购合同订立后，合同各方不得擅自变更、中止或者终止合同。政府采购合同需要变更的，采购人应将有关合同变更内容，以书面形式报同级监管部门备案；因特殊情况需要中止或终止合同的，采购人应将中止或终止合同的理由以及相应措施，以书面形式报同级监管部门备案。</w:t>
      </w:r>
    </w:p>
    <w:p>
      <w:pPr>
        <w:numPr>
          <w:ilvl w:val="1"/>
          <w:numId w:val="28"/>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政府采购合同履行中，采购人需追加与合同标的相同的货物、工程或者服务的，在不改变合同其他条款的前提下，可以与供应商签订补充合同，但所补充合同的采购金额不得超过原</w:t>
      </w:r>
      <w:r>
        <w:rPr>
          <w:rFonts w:hint="eastAsia" w:ascii="宋体" w:hAnsi="宋体" w:cs="宋体"/>
          <w:szCs w:val="21"/>
        </w:rPr>
        <w:t>合同</w:t>
      </w:r>
      <w:r>
        <w:rPr>
          <w:rFonts w:hint="eastAsia" w:ascii="宋体" w:hAnsi="宋体" w:cs="宋体"/>
          <w:szCs w:val="21"/>
          <w:lang w:eastAsia="zh-TW"/>
        </w:rPr>
        <w:t>采购金额的百分之十。签订补充合同的必须按规定备案。</w:t>
      </w:r>
    </w:p>
    <w:p>
      <w:pPr>
        <w:numPr>
          <w:ilvl w:val="0"/>
          <w:numId w:val="28"/>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招标代理服务费</w:t>
      </w:r>
    </w:p>
    <w:p>
      <w:pPr>
        <w:ind w:firstLine="420" w:firstLineChars="200"/>
        <w:rPr>
          <w:rFonts w:ascii="宋体" w:hAnsi="宋体"/>
          <w:szCs w:val="21"/>
        </w:rPr>
      </w:pPr>
      <w:r>
        <w:rPr>
          <w:rFonts w:hint="eastAsia" w:ascii="宋体" w:hAnsi="宋体"/>
          <w:szCs w:val="21"/>
        </w:rPr>
        <w:t xml:space="preserve">本项目招标服务费，按国家发展计划委员会颁发的[2002]1980 号文《招标代理服务收费管理暂行办法》及[2011]534 号文《国家发改委关于降低部分建设项目收费标准规范收费行为等有关问题的通知》的有关规定执行，具体如下： </w:t>
      </w:r>
    </w:p>
    <w:p>
      <w:pPr>
        <w:ind w:firstLine="420" w:firstLineChars="200"/>
        <w:rPr>
          <w:rFonts w:ascii="宋体" w:hAnsi="宋体"/>
          <w:szCs w:val="21"/>
        </w:rPr>
      </w:pPr>
      <w:r>
        <w:rPr>
          <w:rFonts w:hint="eastAsia" w:ascii="宋体" w:hAnsi="宋体"/>
          <w:szCs w:val="21"/>
        </w:rPr>
        <w:t>招标代理服务收费按差额定率累进法计算，以中标通知书中确定的中标金额作为收费的计算依据。该项目中标服务费按国家计委[计价格[2002]1980号]文服务招标代理服务收费标准差额定率累进法</w:t>
      </w:r>
      <w:r>
        <w:rPr>
          <w:rFonts w:hint="eastAsia" w:ascii="宋体" w:hAnsi="宋体"/>
          <w:szCs w:val="21"/>
          <w:lang w:val="en-US" w:eastAsia="zh-CN"/>
        </w:rPr>
        <w:t>上浮20%</w:t>
      </w:r>
      <w:r>
        <w:rPr>
          <w:rFonts w:hint="eastAsia" w:ascii="宋体" w:hAnsi="宋体"/>
          <w:szCs w:val="21"/>
        </w:rPr>
        <w:t>计算后收取（根据穗招代理协[2017]3号文规定，不分工程、服务、货物招标，统一为不足 1 万元的按 1 万元计算。）本项目的招标服务费执行以下价格；</w:t>
      </w:r>
    </w:p>
    <w:p>
      <w:pPr>
        <w:ind w:firstLine="420" w:firstLineChars="200"/>
        <w:rPr>
          <w:rFonts w:ascii="宋体" w:hAnsi="宋体"/>
          <w:szCs w:val="21"/>
        </w:rPr>
      </w:pPr>
      <w:r>
        <w:rPr>
          <w:rFonts w:hint="eastAsia" w:ascii="宋体" w:hAnsi="宋体"/>
          <w:szCs w:val="21"/>
        </w:rPr>
        <w:t>(1)</w:t>
      </w:r>
      <w:r>
        <w:rPr>
          <w:rFonts w:hint="eastAsia" w:ascii="宋体" w:hAnsi="宋体"/>
          <w:szCs w:val="21"/>
        </w:rPr>
        <w:tab/>
      </w:r>
      <w:r>
        <w:rPr>
          <w:rFonts w:hint="eastAsia" w:ascii="宋体" w:hAnsi="宋体"/>
          <w:szCs w:val="21"/>
        </w:rPr>
        <w:t>中标金额的各部分费率如下表：</w:t>
      </w:r>
    </w:p>
    <w:tbl>
      <w:tblPr>
        <w:tblStyle w:val="18"/>
        <w:tblW w:w="85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3201"/>
        <w:gridCol w:w="1776"/>
        <w:gridCol w:w="1777"/>
        <w:gridCol w:w="1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29" w:hRule="atLeast"/>
          <w:jc w:val="center"/>
        </w:trPr>
        <w:tc>
          <w:tcPr>
            <w:tcW w:w="3201"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pict>
                <v:line id="直接连接符 1" o:spid="_x0000_s1026" o:spt="20" style="position:absolute;left:0pt;margin-left:-5.1pt;margin-top:22.35pt;height:0.05pt;width:165.35pt;rotation:983040f;z-index:251660288;mso-width-relative:page;mso-height-relative:page;" coordsize="21600,21600" o:gfxdata="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NfAWXZAAAACQEAAA8AAAAAAAAAAQAgAAAAIgAAAGRycy9kb3ducmV2LnhtbFBL&#10;AQIUABQAAAAIAIdO4kDOFyfl9QEAAOcDAAAOAAAAAAAAAAEAIAAAACgBAABkcnMvZTJvRG9jLnht&#10;bFBLBQYAAAAABgAGAFkBAACPBQAAAAA=&#10;">
                  <v:path arrowok="t"/>
                  <v:fill focussize="0,0"/>
                  <v:stroke weight="0.5pt"/>
                  <v:imagedata o:title=""/>
                  <o:lock v:ext="edit"/>
                </v:line>
              </w:pict>
            </w:r>
            <w:r>
              <w:pict>
                <v:shape id="文本框 6" o:spid="_x0000_s1032" o:spt="202" type="#_x0000_t202" style="position:absolute;left:0pt;margin-left:33.35pt;margin-top:14.35pt;height:0pt;width:13.65pt;rotation:983040f;z-index:251665408;mso-width-relative:page;mso-height-relative:page;" filled="f" stroked="f" coordsize="21600,21600" o:gfxdata="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4yS/S9UAAAAHAQAADwAAAAAAAAABACAAAAAiAAAAZHJzL2Rvd25yZXYueG1sUEsBAhQA&#10;FAAAAAgAh07iQP3XxuW8AQAAeQMAAA4AAAAAAAAAAQAgAAAAJAEAAGRycy9lMm9Eb2MueG1sUEsF&#10;BgAAAAAGAAYAWQEAAFIFAAAAAA==&#10;">
                  <v:path/>
                  <v:fill on="f" focussize="0,0"/>
                  <v:stroke on="f" joinstyle="miter"/>
                  <v:imagedata o:title=""/>
                  <o:lock v:ext="edit"/>
                  <v:textbox inset="0mm,0mm,0mm,0mm">
                    <w:txbxContent>
                      <w:p>
                        <w:pPr>
                          <w:snapToGrid w:val="0"/>
                        </w:pPr>
                        <w:r>
                          <w:rPr>
                            <w:rFonts w:hint="eastAsia"/>
                          </w:rPr>
                          <w:t>金</w:t>
                        </w:r>
                      </w:p>
                    </w:txbxContent>
                  </v:textbox>
                </v:shape>
              </w:pict>
            </w:r>
            <w:r>
              <w:pict>
                <v:shape id="文本框 2" o:spid="_x0000_s1031" o:spt="202" type="#_x0000_t202" style="position:absolute;left:0pt;margin-left:80.3pt;margin-top:25.15pt;height:0pt;width:13.65pt;rotation:983040f;z-index:251661312;mso-width-relative:page;mso-height-relative:page;" filled="f" stroked="f" coordsize="21600,21600" o:gfxdata="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cZvAtUAAAAJAQAADwAAAAAAAAABACAAAAAiAAAAZHJzL2Rvd25yZXYueG1sUEsBAhQA&#10;FAAAAAgAh07iQFC6LbS8AQAAeQMAAA4AAAAAAAAAAQAgAAAAJAEAAGRycy9lMm9Eb2MueG1sUEsF&#10;BgAAAAAGAAYAWQEAAFIFAAAAAA==&#10;">
                  <v:path/>
                  <v:fill on="f" focussize="0,0"/>
                  <v:stroke on="f" joinstyle="miter"/>
                  <v:imagedata o:title=""/>
                  <o:lock v:ext="edit"/>
                  <v:textbox inset="0mm,0mm,0mm,0mm">
                    <w:txbxContent>
                      <w:p>
                        <w:pPr>
                          <w:snapToGrid w:val="0"/>
                        </w:pPr>
                        <w:r>
                          <w:rPr>
                            <w:rFonts w:hint="eastAsia"/>
                          </w:rPr>
                          <w:t>费</w:t>
                        </w:r>
                      </w:p>
                    </w:txbxContent>
                  </v:textbox>
                </v:shape>
              </w:pict>
            </w:r>
            <w:r>
              <w:pict>
                <v:shape id="文本框 7" o:spid="_x0000_s1030" o:spt="202" type="#_x0000_t202" style="position:absolute;left:0pt;margin-left:53.6pt;margin-top:19pt;height:0pt;width:13.7pt;rotation:983040f;z-index:251666432;mso-width-relative:page;mso-height-relative:page;" filled="f" stroked="f" coordsize="21600,21600" o:gfxdata="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WF3Bf1gAAAAkBAAAPAAAAAAAAAAEAIAAAACIAAABkcnMvZG93bnJldi54bWxQSwECFAAU&#10;AAAACACHTuJA5FtpeboBAAB5AwAADgAAAAAAAAABACAAAAAlAQAAZHJzL2Uyb0RvYy54bWxQSwUG&#10;AAAAAAYABgBZAQAAUQUAAAAA&#10;">
                  <v:path/>
                  <v:fill on="f" focussize="0,0"/>
                  <v:stroke on="f" joinstyle="miter"/>
                  <v:imagedata o:title=""/>
                  <o:lock v:ext="edit"/>
                  <v:textbox inset="0mm,0mm,0mm,0mm">
                    <w:txbxContent>
                      <w:p>
                        <w:pPr>
                          <w:snapToGrid w:val="0"/>
                        </w:pPr>
                        <w:r>
                          <w:rPr>
                            <w:rFonts w:hint="eastAsia"/>
                          </w:rPr>
                          <w:t>额</w:t>
                        </w:r>
                      </w:p>
                    </w:txbxContent>
                  </v:textbox>
                </v:shape>
              </w:pict>
            </w:r>
            <w:r>
              <w:pict>
                <v:shape id="_x0000_s1029" o:spid="_x0000_s1029" o:spt="202" type="#_x0000_t202" style="position:absolute;left:0pt;margin-left:19.1pt;margin-top:9.75pt;height:0pt;width:13.7pt;rotation:983040f;z-index:251664384;mso-width-relative:page;mso-height-relative:page;" filled="f" stroked="f" coordsize="21600,21600" o:gfxdata="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KLJyP3UAAAABwEAAA8AAAAAAAAAAQAgAAAAIgAAAGRycy9kb3ducmV2LnhtbFBLAQIUABQA&#10;AAAIAIdO4kBBrcGAuwEAAHkDAAAOAAAAAAAAAAEAIAAAACMBAABkcnMvZTJvRG9jLnhtbFBLBQYA&#10;AAAABgAGAFkBAABQBQAAAAA=&#10;">
                  <v:path/>
                  <v:fill on="f" focussize="0,0"/>
                  <v:stroke on="f" joinstyle="miter"/>
                  <v:imagedata o:title=""/>
                  <o:lock v:ext="edit"/>
                  <v:textbox inset="0mm,0mm,0mm,0mm">
                    <w:txbxContent>
                      <w:p>
                        <w:pPr>
                          <w:snapToGrid w:val="0"/>
                        </w:pPr>
                        <w:r>
                          <w:rPr>
                            <w:rFonts w:hint="eastAsia"/>
                          </w:rPr>
                          <w:t>标</w:t>
                        </w:r>
                      </w:p>
                    </w:txbxContent>
                  </v:textbox>
                </v:shape>
              </w:pict>
            </w:r>
            <w:r>
              <w:pict>
                <v:shape id="_x0000_s1028" o:spid="_x0000_s1028" o:spt="202" type="#_x0000_t202" style="position:absolute;left:0pt;margin-left:1.9pt;margin-top:5.1pt;height:0pt;width:13.65pt;rotation:983040f;z-index:251663360;mso-width-relative:page;mso-height-relative:page;" filled="f" stroked="f" coordsize="21600,21600" o:gfxdata="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2nLFQ9IAAAAGAQAADwAAAAAAAAABACAAAAAiAAAAZHJzL2Rvd25yZXYueG1sUEsBAhQAFAAA&#10;AAgAh07iQAviiyC8AQAAeQMAAA4AAAAAAAAAAQAgAAAAIQEAAGRycy9lMm9Eb2MueG1sUEsFBgAA&#10;AAAGAAYAWQEAAE8FAAAAAA==&#10;">
                  <v:path/>
                  <v:fill on="f" focussize="0,0"/>
                  <v:stroke on="f" joinstyle="miter"/>
                  <v:imagedata o:title=""/>
                  <o:lock v:ext="edit"/>
                  <v:textbox inset="0mm,0mm,0mm,0mm">
                    <w:txbxContent>
                      <w:p>
                        <w:pPr>
                          <w:snapToGrid w:val="0"/>
                        </w:pPr>
                        <w:r>
                          <w:rPr>
                            <w:rFonts w:hint="eastAsia"/>
                          </w:rPr>
                          <w:t>中</w:t>
                        </w:r>
                      </w:p>
                    </w:txbxContent>
                  </v:textbox>
                </v:shape>
              </w:pict>
            </w:r>
            <w:r>
              <w:pict>
                <v:shape id="_x0000_s1027" o:spid="_x0000_s1027" o:spt="202" type="#_x0000_t202" style="position:absolute;left:0pt;margin-left:118.55pt;margin-top:36.4pt;height:0pt;width:13.65pt;rotation:983040f;z-index:251662336;mso-width-relative:page;mso-height-relative:page;" filled="f" stroked="f" coordsize="21600,21600" o:gfxdata="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YTZj1tcAAAAJAQAADwAAAAAAAAABACAAAAAiAAAAZHJzL2Rvd25yZXYueG1sUEsB&#10;AhQAFAAAAAgAh07iQCJCQSW9AQAAeQMAAA4AAAAAAAAAAQAgAAAAJgEAAGRycy9lMm9Eb2MueG1s&#10;UEsFBgAAAAAGAAYAWQEAAFUFAAAAAA==&#10;">
                  <v:path/>
                  <v:fill on="f" focussize="0,0"/>
                  <v:stroke on="f" joinstyle="miter"/>
                  <v:imagedata o:title=""/>
                  <o:lock v:ext="edit"/>
                  <v:textbox inset="0mm,0mm,0mm,0mm">
                    <w:txbxContent>
                      <w:p>
                        <w:pPr>
                          <w:snapToGrid w:val="0"/>
                        </w:pPr>
                        <w:r>
                          <w:rPr>
                            <w:rFonts w:hint="eastAsia"/>
                          </w:rPr>
                          <w:t>率</w:t>
                        </w:r>
                      </w:p>
                    </w:txbxContent>
                  </v:textbox>
                </v:shape>
              </w:pict>
            </w:r>
          </w:p>
        </w:tc>
        <w:tc>
          <w:tcPr>
            <w:tcW w:w="177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货物招标</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服务招标</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 w:hRule="atLeast"/>
          <w:jc w:val="center"/>
        </w:trPr>
        <w:tc>
          <w:tcPr>
            <w:tcW w:w="3201"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100万元以下</w:t>
            </w:r>
          </w:p>
        </w:tc>
        <w:tc>
          <w:tcPr>
            <w:tcW w:w="177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1.50％</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1.50％</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 w:hRule="atLeast"/>
          <w:jc w:val="center"/>
        </w:trPr>
        <w:tc>
          <w:tcPr>
            <w:tcW w:w="3201"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100～500万元</w:t>
            </w:r>
          </w:p>
        </w:tc>
        <w:tc>
          <w:tcPr>
            <w:tcW w:w="177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1.1％</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0.80％</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 w:hRule="atLeast"/>
          <w:jc w:val="center"/>
        </w:trPr>
        <w:tc>
          <w:tcPr>
            <w:tcW w:w="3201"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500～1000万元</w:t>
            </w:r>
          </w:p>
        </w:tc>
        <w:tc>
          <w:tcPr>
            <w:tcW w:w="177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0.8％</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0.45％</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 w:hRule="atLeast"/>
          <w:jc w:val="center"/>
        </w:trPr>
        <w:tc>
          <w:tcPr>
            <w:tcW w:w="3201"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1000～5000万元</w:t>
            </w:r>
          </w:p>
        </w:tc>
        <w:tc>
          <w:tcPr>
            <w:tcW w:w="177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0.5％</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0.25％</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0.35％</w:t>
            </w:r>
          </w:p>
        </w:tc>
      </w:tr>
    </w:tbl>
    <w:p>
      <w:pPr>
        <w:numPr>
          <w:ilvl w:val="0"/>
          <w:numId w:val="29"/>
        </w:numPr>
        <w:ind w:firstLine="420" w:firstLineChars="200"/>
      </w:pPr>
      <w:r>
        <w:rPr>
          <w:rFonts w:hint="eastAsia" w:ascii="宋体" w:hAnsi="宋体"/>
          <w:szCs w:val="21"/>
        </w:rPr>
        <w:t>中标人在领取《中标通知书》时，必须按《交纳服务费承诺书》向采购代理机构直接交纳招标服务费。</w:t>
      </w:r>
    </w:p>
    <w:p>
      <w:pPr>
        <w:numPr>
          <w:ilvl w:val="1"/>
          <w:numId w:val="28"/>
        </w:numPr>
        <w:tabs>
          <w:tab w:val="left" w:pos="709"/>
        </w:tabs>
        <w:autoSpaceDE w:val="0"/>
        <w:autoSpaceDN w:val="0"/>
        <w:adjustRightInd w:val="0"/>
        <w:snapToGrid w:val="0"/>
        <w:rPr>
          <w:rFonts w:ascii="宋体" w:hAnsi="宋体" w:cs="宋体"/>
          <w:szCs w:val="21"/>
        </w:rPr>
      </w:pPr>
      <w:r>
        <w:rPr>
          <w:rFonts w:hint="eastAsia" w:ascii="宋体" w:hAnsi="宋体" w:cs="宋体"/>
          <w:szCs w:val="21"/>
        </w:rPr>
        <w:t>经依法取消中标资格的，招标代理服务费不予退还。</w:t>
      </w:r>
    </w:p>
    <w:p>
      <w:pPr>
        <w:numPr>
          <w:ilvl w:val="0"/>
          <w:numId w:val="28"/>
        </w:numPr>
        <w:autoSpaceDE w:val="0"/>
        <w:autoSpaceDN w:val="0"/>
        <w:adjustRightInd w:val="0"/>
        <w:snapToGrid w:val="0"/>
        <w:spacing w:line="360" w:lineRule="auto"/>
        <w:ind w:left="449" w:hanging="449" w:hangingChars="213"/>
        <w:outlineLvl w:val="2"/>
        <w:rPr>
          <w:rFonts w:ascii="宋体" w:hAnsi="宋体"/>
          <w:b/>
          <w:szCs w:val="21"/>
        </w:rPr>
      </w:pPr>
      <w:r>
        <w:rPr>
          <w:rFonts w:hint="eastAsia" w:ascii="宋体" w:hAnsi="宋体"/>
          <w:b/>
          <w:bCs/>
          <w:szCs w:val="21"/>
        </w:rPr>
        <w:t>询问函、质疑函格式</w:t>
      </w:r>
    </w:p>
    <w:p>
      <w:pPr>
        <w:snapToGrid w:val="0"/>
        <w:spacing w:line="360" w:lineRule="auto"/>
        <w:ind w:firstLine="424" w:firstLineChars="201"/>
        <w:rPr>
          <w:rFonts w:ascii="宋体" w:hAnsi="宋体"/>
          <w:b/>
          <w:szCs w:val="21"/>
        </w:rPr>
      </w:pPr>
      <w:r>
        <w:rPr>
          <w:rFonts w:hint="eastAsia" w:ascii="宋体" w:hAnsi="宋体"/>
          <w:b/>
          <w:szCs w:val="21"/>
        </w:rPr>
        <w:t>说明：本部分格式为投标人提交询问函、质疑函时使用，不属于投标文件格式的组成部分。</w:t>
      </w:r>
    </w:p>
    <w:p>
      <w:pPr>
        <w:spacing w:line="440" w:lineRule="exact"/>
        <w:rPr>
          <w:rFonts w:ascii="宋体" w:hAnsi="宋体"/>
          <w:szCs w:val="21"/>
        </w:rPr>
      </w:pPr>
      <w:r>
        <w:rPr>
          <w:rFonts w:hint="eastAsia" w:ascii="宋体" w:hAnsi="宋体"/>
          <w:bCs/>
          <w:sz w:val="28"/>
        </w:rPr>
        <w:t>1：询问函格式</w:t>
      </w:r>
    </w:p>
    <w:p>
      <w:pPr>
        <w:spacing w:afterLines="50"/>
        <w:jc w:val="center"/>
        <w:rPr>
          <w:rFonts w:ascii="宋体" w:hAnsi="宋体"/>
          <w:b/>
          <w:bCs/>
          <w:sz w:val="28"/>
          <w:szCs w:val="28"/>
        </w:rPr>
      </w:pPr>
      <w:r>
        <w:rPr>
          <w:rFonts w:hint="eastAsia" w:ascii="宋体" w:hAnsi="宋体"/>
          <w:b/>
          <w:bCs/>
          <w:sz w:val="28"/>
          <w:szCs w:val="28"/>
        </w:rPr>
        <w:t>询  问  函</w:t>
      </w:r>
    </w:p>
    <w:p>
      <w:pPr>
        <w:widowControl/>
        <w:snapToGrid w:val="0"/>
        <w:spacing w:line="360" w:lineRule="auto"/>
        <w:rPr>
          <w:rFonts w:ascii="宋体" w:hAnsi="宋体"/>
          <w:b/>
          <w:szCs w:val="21"/>
        </w:rPr>
      </w:pPr>
      <w:r>
        <w:rPr>
          <w:rFonts w:hint="eastAsia" w:ascii="宋体" w:hAnsi="宋体"/>
          <w:b/>
          <w:szCs w:val="21"/>
        </w:rPr>
        <w:t>广州宝诚招标代理咨询有限公司：</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我单位已报名并准备参与</w:t>
      </w:r>
      <w:r>
        <w:rPr>
          <w:rFonts w:hint="eastAsia" w:ascii="宋体" w:hAnsi="宋体"/>
          <w:szCs w:val="21"/>
          <w:u w:val="single"/>
        </w:rPr>
        <w:t>（项目名称）</w:t>
      </w:r>
      <w:r>
        <w:rPr>
          <w:rFonts w:hint="eastAsia" w:ascii="宋体" w:hAnsi="宋体"/>
          <w:szCs w:val="21"/>
        </w:rPr>
        <w:t>项目（项目采购编号：</w:t>
      </w:r>
      <w:r>
        <w:rPr>
          <w:rFonts w:hint="eastAsia" w:ascii="宋体" w:hAnsi="宋体"/>
          <w:szCs w:val="21"/>
          <w:u w:val="single"/>
        </w:rPr>
        <w:t xml:space="preserve">     </w:t>
      </w:r>
      <w:r>
        <w:rPr>
          <w:rFonts w:hint="eastAsia" w:ascii="宋体" w:hAnsi="宋体"/>
          <w:szCs w:val="21"/>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hAnsi="宋体"/>
          <w:szCs w:val="21"/>
        </w:rPr>
      </w:pPr>
      <w:r>
        <w:rPr>
          <w:rFonts w:hint="eastAsia" w:ascii="宋体" w:hAnsi="宋体"/>
          <w:szCs w:val="21"/>
        </w:rPr>
        <w:t>一、_____________________（事项一）</w:t>
      </w:r>
      <w:r>
        <w:rPr>
          <w:rFonts w:ascii="宋体" w:hAnsi="宋体"/>
          <w:szCs w:val="21"/>
        </w:rPr>
        <w:tab/>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（1）____________________（问题或条款内容）</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（2）____________________（说明疑问或无法理解原因）</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（3）____________________（建议）</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二、_____________________（事项二）</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随附相关证明材料如下：（目录）。</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询问人：（公章）</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法定代表人（授权代表）：</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地址/邮编：</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电话/传真：</w:t>
      </w:r>
    </w:p>
    <w:p>
      <w:pPr>
        <w:spacing w:line="360" w:lineRule="auto"/>
        <w:ind w:firstLine="420" w:firstLineChars="200"/>
        <w:jc w:val="left"/>
        <w:rPr>
          <w:rFonts w:ascii="宋体" w:hAnsi="宋体"/>
          <w:szCs w:val="21"/>
        </w:rPr>
      </w:pPr>
      <w:r>
        <w:rPr>
          <w:rFonts w:hint="eastAsia" w:ascii="宋体" w:hAnsi="宋体"/>
          <w:szCs w:val="21"/>
        </w:rPr>
        <w:t xml:space="preserve"> </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440" w:lineRule="exact"/>
        <w:rPr>
          <w:rFonts w:ascii="宋体" w:hAnsi="宋体"/>
          <w:szCs w:val="21"/>
        </w:rPr>
      </w:pPr>
      <w:r>
        <w:rPr>
          <w:rFonts w:hint="eastAsia" w:ascii="宋体" w:hAnsi="宋体"/>
          <w:bCs/>
          <w:sz w:val="28"/>
        </w:rPr>
        <w:t>2：质疑函格式</w:t>
      </w:r>
    </w:p>
    <w:p>
      <w:pPr>
        <w:spacing w:afterLines="50"/>
        <w:jc w:val="center"/>
        <w:rPr>
          <w:rFonts w:ascii="宋体" w:hAnsi="宋体"/>
          <w:b/>
          <w:bCs/>
          <w:sz w:val="28"/>
          <w:szCs w:val="28"/>
        </w:rPr>
      </w:pPr>
      <w:r>
        <w:rPr>
          <w:rFonts w:ascii="宋体" w:hAnsi="宋体"/>
          <w:b/>
          <w:bCs/>
          <w:sz w:val="28"/>
          <w:szCs w:val="28"/>
        </w:rPr>
        <w:t>质</w:t>
      </w:r>
      <w:r>
        <w:rPr>
          <w:rFonts w:hint="eastAsia" w:ascii="宋体" w:hAnsi="宋体"/>
          <w:b/>
          <w:bCs/>
          <w:sz w:val="28"/>
          <w:szCs w:val="28"/>
        </w:rPr>
        <w:t xml:space="preserve">  </w:t>
      </w:r>
      <w:r>
        <w:rPr>
          <w:rFonts w:ascii="宋体" w:hAnsi="宋体"/>
          <w:b/>
          <w:bCs/>
          <w:sz w:val="28"/>
          <w:szCs w:val="28"/>
        </w:rPr>
        <w:t>疑</w:t>
      </w:r>
      <w:r>
        <w:rPr>
          <w:rFonts w:hint="eastAsia" w:ascii="宋体" w:hAnsi="宋体"/>
          <w:b/>
          <w:bCs/>
          <w:sz w:val="28"/>
          <w:szCs w:val="28"/>
        </w:rPr>
        <w:t xml:space="preserve">  函</w:t>
      </w:r>
    </w:p>
    <w:p>
      <w:pPr>
        <w:widowControl/>
        <w:spacing w:line="360" w:lineRule="auto"/>
        <w:jc w:val="center"/>
        <w:rPr>
          <w:rFonts w:ascii="宋体" w:hAnsi="宋体" w:cs="Tahoma"/>
          <w:b/>
          <w:bCs/>
          <w:spacing w:val="10"/>
          <w:szCs w:val="21"/>
        </w:rPr>
      </w:pPr>
      <w:r>
        <w:rPr>
          <w:rFonts w:hint="eastAsia" w:ascii="宋体" w:hAnsi="宋体" w:cs="Tahoma"/>
          <w:spacing w:val="10"/>
          <w:szCs w:val="21"/>
        </w:rPr>
        <w:t xml:space="preserve"> (可根据质疑内容增加或删减)</w:t>
      </w:r>
    </w:p>
    <w:p>
      <w:pPr>
        <w:widowControl/>
        <w:snapToGrid w:val="0"/>
        <w:spacing w:line="360" w:lineRule="auto"/>
        <w:rPr>
          <w:rFonts w:ascii="宋体" w:hAnsi="宋体"/>
          <w:b/>
          <w:szCs w:val="21"/>
        </w:rPr>
      </w:pPr>
      <w:r>
        <w:rPr>
          <w:rFonts w:hint="eastAsia" w:ascii="宋体" w:hAnsi="宋体"/>
          <w:b/>
          <w:szCs w:val="21"/>
        </w:rPr>
        <w:t>广州宝诚招标代理咨询有限公司：</w:t>
      </w:r>
    </w:p>
    <w:p>
      <w:pPr>
        <w:widowControl/>
        <w:snapToGrid w:val="0"/>
        <w:spacing w:line="360" w:lineRule="auto"/>
        <w:ind w:firstLine="420" w:firstLineChars="200"/>
        <w:rPr>
          <w:rFonts w:ascii="宋体" w:hAnsi="宋体"/>
          <w:szCs w:val="21"/>
        </w:rPr>
      </w:pPr>
      <w:r>
        <w:rPr>
          <w:rFonts w:hint="eastAsia" w:ascii="宋体" w:hAnsi="宋体"/>
          <w:szCs w:val="21"/>
        </w:rPr>
        <w:t>我公司依法参与了</w:t>
      </w:r>
      <w:r>
        <w:rPr>
          <w:rFonts w:hint="eastAsia" w:ascii="宋体" w:hAnsi="宋体"/>
          <w:szCs w:val="21"/>
          <w:u w:val="single"/>
        </w:rPr>
        <w:t>（采购代理机构或采购人）</w:t>
      </w:r>
      <w:r>
        <w:rPr>
          <w:rFonts w:hint="eastAsia" w:ascii="宋体" w:hAnsi="宋体"/>
          <w:szCs w:val="21"/>
        </w:rPr>
        <w:t>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日组织的政府采购活动。根据《政府采购法》和《政府采购供应商投诉处理办法》等规定，我公司认为</w:t>
      </w:r>
      <w:r>
        <w:rPr>
          <w:rFonts w:hint="eastAsia" w:ascii="宋体" w:hAnsi="宋体"/>
          <w:szCs w:val="21"/>
          <w:u w:val="single"/>
        </w:rPr>
        <w:t xml:space="preserve"> （采购项目名称）（采购项目编号：     ）</w:t>
      </w:r>
      <w:r>
        <w:rPr>
          <w:rFonts w:hint="eastAsia" w:ascii="宋体" w:hAnsi="宋体"/>
          <w:szCs w:val="21"/>
        </w:rPr>
        <w:t>项目的采购活动中，</w:t>
      </w:r>
      <w:r>
        <w:rPr>
          <w:rFonts w:hint="eastAsia" w:ascii="宋体" w:hAnsi="宋体"/>
          <w:szCs w:val="21"/>
          <w:u w:val="single"/>
        </w:rPr>
        <w:t xml:space="preserve">（采购文件、采购过程、中标/成交结果） </w:t>
      </w:r>
      <w:r>
        <w:rPr>
          <w:rFonts w:hint="eastAsia" w:ascii="宋体" w:hAnsi="宋体"/>
          <w:szCs w:val="21"/>
        </w:rPr>
        <w:t>损害了我公司权益，特提出质疑。</w:t>
      </w:r>
    </w:p>
    <w:p>
      <w:pPr>
        <w:widowControl/>
        <w:snapToGrid w:val="0"/>
        <w:spacing w:line="360" w:lineRule="auto"/>
        <w:ind w:firstLine="420" w:firstLineChars="200"/>
        <w:rPr>
          <w:rFonts w:ascii="宋体" w:hAnsi="宋体"/>
          <w:szCs w:val="21"/>
        </w:rPr>
      </w:pPr>
      <w:r>
        <w:rPr>
          <w:rFonts w:hint="eastAsia" w:ascii="宋体" w:hAnsi="宋体"/>
          <w:szCs w:val="21"/>
        </w:rPr>
        <w:t>一、我公司认为项目的</w:t>
      </w:r>
      <w:r>
        <w:rPr>
          <w:rFonts w:hint="eastAsia" w:ascii="宋体" w:hAnsi="宋体"/>
          <w:szCs w:val="21"/>
          <w:u w:val="single"/>
        </w:rPr>
        <w:t>（采购文件、采购过程、中标/成交结果）</w:t>
      </w:r>
      <w:r>
        <w:rPr>
          <w:rFonts w:hint="eastAsia" w:ascii="宋体" w:hAnsi="宋体"/>
          <w:szCs w:val="21"/>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hAnsi="宋体"/>
          <w:b/>
          <w:szCs w:val="21"/>
        </w:rPr>
      </w:pPr>
      <w:r>
        <w:rPr>
          <w:rFonts w:hint="eastAsia" w:ascii="宋体" w:hAnsi="宋体"/>
          <w:b/>
          <w:szCs w:val="21"/>
        </w:rPr>
        <w:t>质疑采购文件</w:t>
      </w:r>
    </w:p>
    <w:p>
      <w:pPr>
        <w:widowControl/>
        <w:snapToGrid w:val="0"/>
        <w:spacing w:line="360" w:lineRule="auto"/>
        <w:ind w:firstLine="420" w:firstLineChars="200"/>
        <w:rPr>
          <w:rFonts w:ascii="宋体" w:hAnsi="宋体"/>
          <w:szCs w:val="21"/>
        </w:rPr>
      </w:pPr>
      <w:r>
        <w:rPr>
          <w:rFonts w:hint="eastAsia" w:ascii="宋体" w:hAnsi="宋体"/>
          <w:szCs w:val="21"/>
        </w:rPr>
        <w:t>1．质疑内容采购文件</w:t>
      </w:r>
      <w:r>
        <w:rPr>
          <w:rFonts w:hint="eastAsia" w:ascii="宋体" w:hAnsi="宋体"/>
          <w:szCs w:val="21"/>
          <w:u w:val="single"/>
        </w:rPr>
        <w:t xml:space="preserve">    </w:t>
      </w:r>
      <w:r>
        <w:rPr>
          <w:rFonts w:hint="eastAsia" w:ascii="宋体" w:hAnsi="宋体"/>
          <w:szCs w:val="21"/>
        </w:rPr>
        <w:t xml:space="preserve">页，内容“ </w:t>
      </w:r>
      <w:r>
        <w:rPr>
          <w:rFonts w:hint="eastAsia" w:ascii="宋体" w:hAnsi="宋体"/>
          <w:szCs w:val="21"/>
          <w:u w:val="single"/>
        </w:rPr>
        <w:t xml:space="preserve">                            </w:t>
      </w:r>
      <w:r>
        <w:rPr>
          <w:rFonts w:hint="eastAsia" w:ascii="宋体" w:hAnsi="宋体"/>
          <w:szCs w:val="21"/>
        </w:rPr>
        <w:t xml:space="preserve"> ” 损害了我公司权益，</w:t>
      </w:r>
    </w:p>
    <w:p>
      <w:pPr>
        <w:widowControl/>
        <w:snapToGrid w:val="0"/>
        <w:spacing w:line="360" w:lineRule="auto"/>
        <w:ind w:firstLine="735" w:firstLineChars="350"/>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我方请求采购文件做如下修改：</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我方对采购文件其他内容无质疑。</w:t>
      </w:r>
    </w:p>
    <w:p>
      <w:pPr>
        <w:widowControl/>
        <w:snapToGrid w:val="0"/>
        <w:spacing w:line="360" w:lineRule="auto"/>
        <w:ind w:firstLine="422" w:firstLineChars="200"/>
        <w:rPr>
          <w:rFonts w:ascii="宋体" w:hAnsi="宋体"/>
          <w:b/>
          <w:szCs w:val="21"/>
        </w:rPr>
      </w:pPr>
      <w:r>
        <w:rPr>
          <w:rFonts w:hint="eastAsia" w:ascii="宋体" w:hAnsi="宋体"/>
          <w:b/>
          <w:szCs w:val="21"/>
        </w:rPr>
        <w:t>质疑采购过程</w:t>
      </w:r>
    </w:p>
    <w:p>
      <w:pPr>
        <w:widowControl/>
        <w:snapToGrid w:val="0"/>
        <w:spacing w:line="360" w:lineRule="auto"/>
        <w:ind w:firstLine="420" w:firstLineChars="200"/>
        <w:rPr>
          <w:rFonts w:ascii="宋体" w:hAnsi="宋体"/>
          <w:szCs w:val="21"/>
        </w:rPr>
      </w:pPr>
      <w:r>
        <w:rPr>
          <w:rFonts w:hint="eastAsia" w:ascii="宋体" w:hAnsi="宋体"/>
          <w:szCs w:val="21"/>
        </w:rPr>
        <w:t>1．于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日，在</w:t>
      </w:r>
      <w:r>
        <w:rPr>
          <w:rFonts w:hint="eastAsia" w:ascii="宋体" w:hAnsi="宋体"/>
          <w:szCs w:val="21"/>
          <w:u w:val="single"/>
        </w:rPr>
        <w:t xml:space="preserve">                          </w:t>
      </w:r>
      <w:r>
        <w:rPr>
          <w:rFonts w:hint="eastAsia" w:ascii="宋体" w:hAnsi="宋体"/>
          <w:szCs w:val="21"/>
        </w:rPr>
        <w:t>进行的（收取采购文件（样品）、开标、谈判）过程，发生损害了我公司权益的事项，</w:t>
      </w:r>
    </w:p>
    <w:p>
      <w:pPr>
        <w:widowControl/>
        <w:spacing w:line="360" w:lineRule="auto"/>
        <w:ind w:firstLine="743" w:firstLineChars="354"/>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我方对其他采购过程无质疑。</w:t>
      </w:r>
    </w:p>
    <w:p>
      <w:pPr>
        <w:widowControl/>
        <w:snapToGrid w:val="0"/>
        <w:spacing w:line="360" w:lineRule="auto"/>
        <w:ind w:firstLine="422" w:firstLineChars="200"/>
        <w:rPr>
          <w:rFonts w:ascii="宋体" w:hAnsi="宋体"/>
          <w:b/>
          <w:szCs w:val="21"/>
        </w:rPr>
      </w:pPr>
      <w:r>
        <w:rPr>
          <w:rFonts w:hint="eastAsia" w:ascii="宋体" w:hAnsi="宋体"/>
          <w:b/>
          <w:szCs w:val="21"/>
        </w:rPr>
        <w:t>质疑采购结果</w:t>
      </w:r>
    </w:p>
    <w:p>
      <w:pPr>
        <w:widowControl/>
        <w:snapToGrid w:val="0"/>
        <w:spacing w:line="360" w:lineRule="auto"/>
        <w:ind w:firstLine="420" w:firstLineChars="200"/>
        <w:rPr>
          <w:rFonts w:ascii="宋体" w:hAnsi="宋体"/>
          <w:szCs w:val="21"/>
        </w:rPr>
      </w:pPr>
      <w:r>
        <w:rPr>
          <w:rFonts w:hint="eastAsia" w:ascii="宋体" w:hAnsi="宋体"/>
          <w:szCs w:val="21"/>
        </w:rPr>
        <w:t>1．于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日公布的中标（成交）结果，发生损害了我公司权益的事项，</w:t>
      </w:r>
    </w:p>
    <w:p>
      <w:pPr>
        <w:widowControl/>
        <w:spacing w:line="360" w:lineRule="auto"/>
        <w:ind w:firstLine="743" w:firstLineChars="354"/>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我方对中标（成交）结果公告其他内容无质疑。</w:t>
      </w:r>
    </w:p>
    <w:p>
      <w:pPr>
        <w:widowControl/>
        <w:snapToGrid w:val="0"/>
        <w:spacing w:line="360" w:lineRule="auto"/>
        <w:ind w:firstLine="420" w:firstLineChars="200"/>
        <w:rPr>
          <w:rFonts w:ascii="宋体" w:hAnsi="宋体"/>
          <w:szCs w:val="21"/>
        </w:rPr>
      </w:pPr>
    </w:p>
    <w:p>
      <w:pPr>
        <w:widowControl/>
        <w:snapToGrid w:val="0"/>
        <w:spacing w:line="360" w:lineRule="auto"/>
        <w:ind w:firstLine="420" w:firstLineChars="200"/>
        <w:rPr>
          <w:rFonts w:ascii="宋体" w:hAnsi="宋体"/>
          <w:szCs w:val="21"/>
        </w:rPr>
      </w:pPr>
      <w:r>
        <w:rPr>
          <w:rFonts w:hint="eastAsia" w:ascii="宋体" w:hAnsi="宋体"/>
          <w:szCs w:val="21"/>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hAnsi="宋体"/>
          <w:szCs w:val="21"/>
        </w:rPr>
      </w:pPr>
      <w:r>
        <w:rPr>
          <w:rFonts w:hint="eastAsia" w:ascii="宋体" w:hAnsi="宋体"/>
          <w:szCs w:val="21"/>
        </w:rPr>
        <w:t>质疑供应商</w:t>
      </w:r>
      <w:r>
        <w:rPr>
          <w:rFonts w:hint="eastAsia" w:ascii="宋体" w:hAnsi="宋体"/>
          <w:szCs w:val="21"/>
          <w:u w:val="single"/>
        </w:rPr>
        <w:t xml:space="preserve">： （签章）  </w:t>
      </w:r>
      <w:r>
        <w:rPr>
          <w:rFonts w:hint="eastAsia" w:ascii="宋体" w:hAnsi="宋体"/>
          <w:szCs w:val="21"/>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主要负责人 ：</w:t>
      </w:r>
      <w:r>
        <w:rPr>
          <w:rFonts w:hint="eastAsia" w:ascii="宋体" w:hAnsi="宋体"/>
          <w:szCs w:val="21"/>
          <w:u w:val="single"/>
        </w:rPr>
        <w:t xml:space="preserve">        </w:t>
      </w:r>
      <w:r>
        <w:rPr>
          <w:rFonts w:hint="eastAsia" w:ascii="宋体" w:hAnsi="宋体"/>
          <w:szCs w:val="21"/>
        </w:rPr>
        <w:t>（签署本人姓名或印盖本人姓名章）</w:t>
      </w:r>
    </w:p>
    <w:p>
      <w:pPr>
        <w:widowControl/>
        <w:snapToGrid w:val="0"/>
        <w:spacing w:line="360" w:lineRule="auto"/>
        <w:ind w:firstLine="420" w:firstLineChars="200"/>
        <w:rPr>
          <w:rFonts w:ascii="宋体" w:hAnsi="宋体"/>
          <w:szCs w:val="21"/>
        </w:rPr>
      </w:pPr>
      <w:r>
        <w:rPr>
          <w:rFonts w:hint="eastAsia" w:ascii="宋体" w:hAnsi="宋体"/>
          <w:szCs w:val="21"/>
        </w:rPr>
        <w:t>项目联系人：</w:t>
      </w:r>
      <w:r>
        <w:rPr>
          <w:rFonts w:hint="eastAsia" w:ascii="宋体" w:hAnsi="宋体"/>
          <w:szCs w:val="21"/>
          <w:u w:val="single"/>
        </w:rPr>
        <w:t xml:space="preserve">             </w:t>
      </w:r>
      <w:r>
        <w:rPr>
          <w:rFonts w:hint="eastAsia" w:ascii="宋体" w:hAnsi="宋体"/>
          <w:szCs w:val="21"/>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地址：</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法定代表人：</w:t>
      </w:r>
      <w:r>
        <w:rPr>
          <w:rFonts w:hint="eastAsia" w:ascii="宋体" w:hAnsi="宋体"/>
          <w:szCs w:val="21"/>
          <w:u w:val="single"/>
        </w:rPr>
        <w:t xml:space="preserve">        </w:t>
      </w:r>
      <w:r>
        <w:rPr>
          <w:rFonts w:hint="eastAsia" w:ascii="宋体" w:hAnsi="宋体"/>
          <w:szCs w:val="21"/>
        </w:rPr>
        <w:t>（签署本人姓名或印盖本人姓名章）</w:t>
      </w:r>
    </w:p>
    <w:p>
      <w:pPr>
        <w:widowControl/>
        <w:snapToGrid w:val="0"/>
        <w:spacing w:line="360" w:lineRule="auto"/>
        <w:ind w:firstLine="420" w:firstLineChars="200"/>
        <w:rPr>
          <w:rFonts w:ascii="宋体" w:hAnsi="宋体"/>
          <w:szCs w:val="21"/>
          <w:u w:val="single"/>
        </w:rPr>
      </w:pPr>
      <w:r>
        <w:rPr>
          <w:rFonts w:hint="eastAsia" w:ascii="宋体" w:hAnsi="宋体"/>
          <w:szCs w:val="21"/>
        </w:rPr>
        <w:t>职位：</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电话（手机/座机）：</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邮编：</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电子邮箱：</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传真：</w:t>
      </w:r>
      <w:r>
        <w:rPr>
          <w:rFonts w:hint="eastAsia" w:ascii="宋体" w:hAnsi="宋体"/>
          <w:szCs w:val="21"/>
          <w:u w:val="single"/>
        </w:rPr>
        <w:t xml:space="preserve">            </w:t>
      </w:r>
    </w:p>
    <w:p>
      <w:pPr>
        <w:widowControl/>
        <w:snapToGrid w:val="0"/>
        <w:spacing w:line="360" w:lineRule="auto"/>
        <w:ind w:firstLine="420" w:firstLineChars="200"/>
        <w:jc w:val="left"/>
        <w:rPr>
          <w:rFonts w:ascii="宋体" w:hAnsi="宋体"/>
          <w:szCs w:val="21"/>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widowControl/>
        <w:snapToGrid w:val="0"/>
        <w:spacing w:line="360" w:lineRule="auto"/>
        <w:ind w:firstLine="420" w:firstLineChars="200"/>
        <w:rPr>
          <w:rFonts w:ascii="宋体" w:hAnsi="宋体"/>
          <w:szCs w:val="21"/>
        </w:rPr>
      </w:pPr>
      <w:r>
        <w:rPr>
          <w:rFonts w:hint="eastAsia" w:ascii="宋体" w:hAnsi="宋体"/>
          <w:szCs w:val="21"/>
        </w:rPr>
        <w:t>备注：</w:t>
      </w:r>
    </w:p>
    <w:p>
      <w:pPr>
        <w:widowControl/>
        <w:numPr>
          <w:ilvl w:val="0"/>
          <w:numId w:val="30"/>
        </w:numPr>
        <w:snapToGrid w:val="0"/>
        <w:spacing w:line="360" w:lineRule="auto"/>
        <w:rPr>
          <w:rFonts w:ascii="宋体" w:hAnsi="宋体"/>
          <w:szCs w:val="21"/>
        </w:rPr>
      </w:pPr>
      <w:r>
        <w:rPr>
          <w:rFonts w:hint="eastAsia" w:ascii="宋体" w:hAnsi="宋体"/>
          <w:szCs w:val="21"/>
        </w:rPr>
        <w:t>每个质疑事项应有与之相对应的证据予以支持。质疑事项属于涉密的，应提供信息来源或有效证据。</w:t>
      </w:r>
    </w:p>
    <w:p>
      <w:pPr>
        <w:widowControl/>
        <w:numPr>
          <w:ilvl w:val="0"/>
          <w:numId w:val="30"/>
        </w:numPr>
        <w:snapToGrid w:val="0"/>
        <w:spacing w:line="360" w:lineRule="auto"/>
        <w:rPr>
          <w:rFonts w:ascii="宋体" w:hAnsi="宋体"/>
          <w:szCs w:val="21"/>
        </w:rPr>
      </w:pPr>
      <w:r>
        <w:rPr>
          <w:rFonts w:hint="eastAsia" w:ascii="宋体" w:hAnsi="宋体"/>
          <w:szCs w:val="21"/>
        </w:rPr>
        <w:t>供应商质疑、投诉应当有明确的请求和必要的证明材料(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1至3年内参加政府采购活动)。</w:t>
      </w:r>
    </w:p>
    <w:p>
      <w:pPr>
        <w:widowControl/>
        <w:numPr>
          <w:ilvl w:val="0"/>
          <w:numId w:val="30"/>
        </w:numPr>
        <w:snapToGrid w:val="0"/>
        <w:spacing w:line="360" w:lineRule="auto"/>
        <w:rPr>
          <w:rFonts w:ascii="宋体" w:hAnsi="宋体"/>
          <w:szCs w:val="21"/>
        </w:rPr>
      </w:pPr>
      <w:r>
        <w:rPr>
          <w:rFonts w:hint="eastAsia" w:ascii="宋体" w:hAnsi="宋体"/>
          <w:szCs w:val="21"/>
        </w:rPr>
        <w:t>质疑函应当署名。质疑人为自然人的，应当有本人签名；质疑人为法人或者其他组织的，应当由法定代表人或者主要负责人</w:t>
      </w:r>
      <w:r>
        <w:rPr>
          <w:rFonts w:hint="eastAsia" w:ascii="宋体" w:hAnsi="宋体" w:cs="宋体"/>
          <w:szCs w:val="21"/>
          <w:lang w:eastAsia="zh-TW"/>
        </w:rPr>
        <w:t>签署本人姓名（或印盖本人姓名章）</w:t>
      </w:r>
      <w:r>
        <w:rPr>
          <w:rFonts w:hint="eastAsia" w:ascii="宋体" w:hAnsi="宋体"/>
          <w:szCs w:val="21"/>
        </w:rPr>
        <w:t>并加盖公章。</w:t>
      </w:r>
    </w:p>
    <w:p>
      <w:pPr>
        <w:widowControl/>
        <w:numPr>
          <w:ilvl w:val="0"/>
          <w:numId w:val="30"/>
        </w:numPr>
        <w:snapToGrid w:val="0"/>
        <w:spacing w:line="360" w:lineRule="auto"/>
        <w:rPr>
          <w:rFonts w:ascii="宋体" w:hAnsi="宋体"/>
          <w:szCs w:val="21"/>
        </w:rPr>
      </w:pPr>
      <w:r>
        <w:rPr>
          <w:rFonts w:hint="eastAsia" w:ascii="宋体" w:hAnsi="宋体"/>
          <w:b/>
          <w:szCs w:val="21"/>
        </w:rPr>
        <w:t>不按上述要求拟写的质疑函，采购代理机构将有可能不予回复。</w:t>
      </w:r>
    </w:p>
    <w:p>
      <w:pPr>
        <w:spacing w:line="440" w:lineRule="exact"/>
        <w:rPr>
          <w:rFonts w:ascii="宋体" w:hAnsi="宋体"/>
          <w:sz w:val="24"/>
        </w:rPr>
      </w:pPr>
    </w:p>
    <w:p>
      <w:pPr>
        <w:rPr>
          <w:rFonts w:ascii="宋体" w:hAnsi="宋体"/>
          <w:spacing w:val="4"/>
        </w:rPr>
      </w:pP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SimSun-Identity-H">
    <w:altName w:val="宋体"/>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隶书">
    <w:altName w:val="微软雅黑"/>
    <w:panose1 w:val="0201050906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http://www.baochengdaili.com/                     第</w:t>
    </w:r>
    <w:r>
      <w:fldChar w:fldCharType="begin"/>
    </w:r>
    <w:r>
      <w:rPr>
        <w:rStyle w:val="22"/>
      </w:rPr>
      <w:instrText xml:space="preserve"> PAGE </w:instrText>
    </w:r>
    <w:r>
      <w:fldChar w:fldCharType="separate"/>
    </w:r>
    <w:r>
      <w:rPr>
        <w:rStyle w:val="22"/>
      </w:rPr>
      <w:t>65</w:t>
    </w:r>
    <w:r>
      <w:fldChar w:fldCharType="end"/>
    </w:r>
    <w:r>
      <w:rPr>
        <w:rStyle w:val="22"/>
        <w:rFonts w:hint="eastAsia"/>
      </w:rPr>
      <w:t>页，共</w:t>
    </w:r>
    <w:r>
      <w:fldChar w:fldCharType="begin"/>
    </w:r>
    <w:r>
      <w:rPr>
        <w:rStyle w:val="22"/>
      </w:rPr>
      <w:instrText xml:space="preserve"> NUMPAGES </w:instrText>
    </w:r>
    <w:r>
      <w:fldChar w:fldCharType="separate"/>
    </w:r>
    <w:r>
      <w:rPr>
        <w:rStyle w:val="22"/>
      </w:rPr>
      <w:t>65</w:t>
    </w:r>
    <w:r>
      <w:fldChar w:fldCharType="end"/>
    </w:r>
    <w:r>
      <w:rPr>
        <w:rStyle w:val="22"/>
        <w:rFonts w:hint="eastAsia"/>
      </w:rPr>
      <w:t>页</w:t>
    </w:r>
    <w:r>
      <w:rPr>
        <w:rFonts w:hint="eastAsia"/>
      </w:rPr>
      <w:t xml:space="preserve">                广州宝诚招标代理咨询有限公司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 xml:space="preserve"> http://www.baochengdaili.com//                   第</w:t>
    </w:r>
    <w:r>
      <w:fldChar w:fldCharType="begin"/>
    </w:r>
    <w:r>
      <w:rPr>
        <w:rStyle w:val="22"/>
      </w:rPr>
      <w:instrText xml:space="preserve"> PAGE </w:instrText>
    </w:r>
    <w:r>
      <w:fldChar w:fldCharType="separate"/>
    </w:r>
    <w:r>
      <w:rPr>
        <w:rStyle w:val="22"/>
      </w:rPr>
      <w:t>1</w:t>
    </w:r>
    <w:r>
      <w:fldChar w:fldCharType="end"/>
    </w:r>
    <w:r>
      <w:rPr>
        <w:rStyle w:val="22"/>
        <w:rFonts w:hint="eastAsia"/>
      </w:rPr>
      <w:t>页，共</w:t>
    </w:r>
    <w:r>
      <w:fldChar w:fldCharType="begin"/>
    </w:r>
    <w:r>
      <w:rPr>
        <w:rStyle w:val="22"/>
      </w:rPr>
      <w:instrText xml:space="preserve"> NUMPAGES </w:instrText>
    </w:r>
    <w:r>
      <w:fldChar w:fldCharType="separate"/>
    </w:r>
    <w:r>
      <w:rPr>
        <w:rStyle w:val="22"/>
      </w:rPr>
      <w:t>3</w:t>
    </w:r>
    <w:r>
      <w:fldChar w:fldCharType="end"/>
    </w:r>
    <w:r>
      <w:rPr>
        <w:rStyle w:val="22"/>
        <w:rFonts w:hint="eastAsia"/>
      </w:rPr>
      <w:t>页</w:t>
    </w:r>
    <w:r>
      <w:rPr>
        <w:rFonts w:hint="eastAsia"/>
      </w:rPr>
      <w:t xml:space="preserve">                  广州宝诚招标代理咨询有限公司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jc w:val="both"/>
      <w:rPr>
        <w:rFonts w:hint="eastAsia" w:ascii="宋体" w:hAnsi="宋体" w:eastAsia="宋体"/>
        <w:bCs/>
        <w:lang w:eastAsia="zh-CN"/>
      </w:rPr>
    </w:pPr>
    <w:r>
      <w:rPr>
        <w:rFonts w:hint="eastAsia" w:ascii="宋体" w:hAnsi="宋体"/>
        <w:bCs/>
      </w:rPr>
      <w:t>项目名称：</w:t>
    </w:r>
    <w:r>
      <w:rPr>
        <w:rFonts w:hint="eastAsia" w:ascii="宋体" w:hAnsi="宋体"/>
        <w:bCs/>
        <w:lang w:eastAsia="zh-CN"/>
      </w:rPr>
      <w:t>广州市番禺区慈善会保险救助保障服务项目（重招）</w:t>
    </w:r>
    <w:r>
      <w:rPr>
        <w:rFonts w:hint="eastAsia" w:ascii="宋体" w:hAnsi="宋体"/>
        <w:bCs/>
      </w:rPr>
      <w:t xml:space="preserve">         </w:t>
    </w:r>
    <w:r>
      <w:rPr>
        <w:rFonts w:hint="eastAsia" w:ascii="宋体" w:hAnsi="宋体"/>
        <w:bCs/>
        <w:lang w:val="en-US" w:eastAsia="zh-CN"/>
      </w:rPr>
      <w:t xml:space="preserve">   </w:t>
    </w:r>
    <w:r>
      <w:rPr>
        <w:rFonts w:hint="eastAsia" w:ascii="宋体" w:hAnsi="宋体"/>
        <w:bCs/>
      </w:rPr>
      <w:t xml:space="preserve">      </w:t>
    </w:r>
    <w:r>
      <w:rPr>
        <w:rFonts w:hint="eastAsia" w:ascii="宋体" w:hAnsi="宋体"/>
        <w:bCs/>
        <w:lang w:val="en-US" w:eastAsia="zh-CN"/>
      </w:rPr>
      <w:t xml:space="preserve">    </w:t>
    </w:r>
    <w:r>
      <w:rPr>
        <w:rFonts w:hint="eastAsia" w:ascii="宋体" w:hAnsi="宋体"/>
        <w:bCs/>
      </w:rPr>
      <w:t xml:space="preserve">  项目编号：</w:t>
    </w:r>
    <w:r>
      <w:rPr>
        <w:rFonts w:hint="eastAsia" w:ascii="宋体" w:hAnsi="宋体"/>
        <w:bCs/>
        <w:lang w:eastAsia="zh-CN"/>
      </w:rPr>
      <w:t>GZBC21FG06002-2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6C58BD"/>
    <w:multiLevelType w:val="singleLevel"/>
    <w:tmpl w:val="AA6C58BD"/>
    <w:lvl w:ilvl="0" w:tentative="0">
      <w:start w:val="1"/>
      <w:numFmt w:val="chineseCounting"/>
      <w:suff w:val="nothing"/>
      <w:lvlText w:val="（%1）"/>
      <w:lvlJc w:val="left"/>
      <w:rPr>
        <w:rFonts w:hint="eastAsia"/>
      </w:rPr>
    </w:lvl>
  </w:abstractNum>
  <w:abstractNum w:abstractNumId="1">
    <w:nsid w:val="B32A730A"/>
    <w:multiLevelType w:val="singleLevel"/>
    <w:tmpl w:val="B32A730A"/>
    <w:lvl w:ilvl="0" w:tentative="0">
      <w:start w:val="1"/>
      <w:numFmt w:val="chineseCounting"/>
      <w:suff w:val="nothing"/>
      <w:lvlText w:val="（%1）"/>
      <w:lvlJc w:val="left"/>
      <w:pPr>
        <w:ind w:left="0" w:firstLine="420"/>
      </w:pPr>
      <w:rPr>
        <w:rFonts w:hint="eastAsia"/>
      </w:rPr>
    </w:lvl>
  </w:abstractNum>
  <w:abstractNum w:abstractNumId="2">
    <w:nsid w:val="C554B81C"/>
    <w:multiLevelType w:val="singleLevel"/>
    <w:tmpl w:val="C554B81C"/>
    <w:lvl w:ilvl="0" w:tentative="0">
      <w:start w:val="2"/>
      <w:numFmt w:val="chineseCounting"/>
      <w:suff w:val="space"/>
      <w:lvlText w:val="%1、"/>
      <w:lvlJc w:val="left"/>
      <w:rPr>
        <w:rFonts w:hint="eastAsia"/>
      </w:rPr>
    </w:lvl>
  </w:abstractNum>
  <w:abstractNum w:abstractNumId="3">
    <w:nsid w:val="00000012"/>
    <w:multiLevelType w:val="multilevel"/>
    <w:tmpl w:val="00000012"/>
    <w:lvl w:ilvl="0" w:tentative="0">
      <w:start w:val="1"/>
      <w:numFmt w:val="japaneseCounting"/>
      <w:lvlText w:val="%1、"/>
      <w:lvlJc w:val="left"/>
      <w:pPr>
        <w:ind w:left="360" w:hanging="360"/>
      </w:pPr>
      <w:rPr>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38D6F00"/>
    <w:multiLevelType w:val="multilevel"/>
    <w:tmpl w:val="038D6F0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F2361DD"/>
    <w:multiLevelType w:val="multilevel"/>
    <w:tmpl w:val="0F2361DD"/>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24212C01"/>
    <w:multiLevelType w:val="multilevel"/>
    <w:tmpl w:val="24212C01"/>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eastAsia" w:ascii="宋体" w:hAnsi="宋体" w:eastAsia="宋体"/>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2478586B"/>
    <w:multiLevelType w:val="multilevel"/>
    <w:tmpl w:val="2478586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95E43D2"/>
    <w:multiLevelType w:val="multilevel"/>
    <w:tmpl w:val="295E43D2"/>
    <w:lvl w:ilvl="0" w:tentative="0">
      <w:start w:val="1"/>
      <w:numFmt w:val="decimal"/>
      <w:lvlText w:val="%1."/>
      <w:lvlJc w:val="left"/>
      <w:pPr>
        <w:ind w:left="420" w:hanging="420"/>
      </w:pPr>
      <w:rPr>
        <w:rFonts w:ascii="宋体" w:hAnsi="宋体" w:eastAsia="宋体"/>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2CD1BAA8"/>
    <w:multiLevelType w:val="singleLevel"/>
    <w:tmpl w:val="2CD1BAA8"/>
    <w:lvl w:ilvl="0" w:tentative="0">
      <w:start w:val="2"/>
      <w:numFmt w:val="decimal"/>
      <w:lvlText w:val="(%1)"/>
      <w:lvlJc w:val="left"/>
    </w:lvl>
  </w:abstractNum>
  <w:abstractNum w:abstractNumId="10">
    <w:nsid w:val="2D23426E"/>
    <w:multiLevelType w:val="multilevel"/>
    <w:tmpl w:val="2D23426E"/>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1">
    <w:nsid w:val="36D724EB"/>
    <w:multiLevelType w:val="multilevel"/>
    <w:tmpl w:val="36D724EB"/>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2">
    <w:nsid w:val="39287919"/>
    <w:multiLevelType w:val="multilevel"/>
    <w:tmpl w:val="39287919"/>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3A8C4C78"/>
    <w:multiLevelType w:val="multilevel"/>
    <w:tmpl w:val="3A8C4C78"/>
    <w:lvl w:ilvl="0" w:tentative="0">
      <w:start w:val="1"/>
      <w:numFmt w:val="decimal"/>
      <w:lvlText w:val="格式%1"/>
      <w:lvlJc w:val="left"/>
      <w:pPr>
        <w:tabs>
          <w:tab w:val="left" w:pos="567"/>
        </w:tabs>
        <w:ind w:left="567" w:hanging="425"/>
      </w:pPr>
      <w:rPr>
        <w:rFonts w:hint="eastAsia" w:ascii="宋体" w:hAnsi="宋体" w:eastAsia="宋体"/>
        <w:b/>
        <w:color w:val="auto"/>
        <w:sz w:val="28"/>
        <w:szCs w:val="28"/>
      </w:rPr>
    </w:lvl>
    <w:lvl w:ilvl="1" w:tentative="0">
      <w:start w:val="1"/>
      <w:numFmt w:val="decimal"/>
      <w:lvlText w:val="%1.%2"/>
      <w:lvlJc w:val="left"/>
      <w:pPr>
        <w:tabs>
          <w:tab w:val="left" w:pos="1134"/>
        </w:tabs>
        <w:ind w:left="1134" w:hanging="567"/>
      </w:pPr>
      <w:rPr>
        <w:rFonts w:hint="eastAsia"/>
      </w:rPr>
    </w:lvl>
    <w:lvl w:ilvl="2" w:tentative="0">
      <w:start w:val="1"/>
      <w:numFmt w:val="decimal"/>
      <w:lvlText w:val="%1.%2.%3"/>
      <w:lvlJc w:val="left"/>
      <w:pPr>
        <w:tabs>
          <w:tab w:val="left" w:pos="1560"/>
        </w:tabs>
        <w:ind w:left="1560" w:hanging="567"/>
      </w:pPr>
      <w:rPr>
        <w:rFonts w:hint="eastAsia"/>
      </w:rPr>
    </w:lvl>
    <w:lvl w:ilvl="3" w:tentative="0">
      <w:start w:val="1"/>
      <w:numFmt w:val="decimal"/>
      <w:lvlText w:val="%1.%2.%3.%4"/>
      <w:lvlJc w:val="left"/>
      <w:pPr>
        <w:tabs>
          <w:tab w:val="left" w:pos="2498"/>
        </w:tabs>
        <w:ind w:left="2126" w:hanging="708"/>
      </w:pPr>
      <w:rPr>
        <w:rFonts w:hint="eastAsia"/>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708"/>
        </w:tabs>
        <w:ind w:left="3402" w:hanging="1134"/>
      </w:pPr>
      <w:rPr>
        <w:rFonts w:hint="eastAsia"/>
      </w:rPr>
    </w:lvl>
    <w:lvl w:ilvl="6" w:tentative="0">
      <w:start w:val="1"/>
      <w:numFmt w:val="decimal"/>
      <w:lvlText w:val="%1.%2.%3.%4.%5.%6.%7"/>
      <w:lvlJc w:val="left"/>
      <w:pPr>
        <w:tabs>
          <w:tab w:val="left" w:pos="4133"/>
        </w:tabs>
        <w:ind w:left="3969" w:hanging="1276"/>
      </w:pPr>
      <w:rPr>
        <w:rFonts w:hint="eastAsia"/>
      </w:rPr>
    </w:lvl>
    <w:lvl w:ilvl="7" w:tentative="0">
      <w:start w:val="1"/>
      <w:numFmt w:val="decimal"/>
      <w:lvlText w:val="%1.%2.%3.%4.%5.%6.%7.%8"/>
      <w:lvlJc w:val="left"/>
      <w:pPr>
        <w:tabs>
          <w:tab w:val="left" w:pos="4918"/>
        </w:tabs>
        <w:ind w:left="4536" w:hanging="1418"/>
      </w:pPr>
      <w:rPr>
        <w:rFonts w:hint="eastAsia"/>
      </w:rPr>
    </w:lvl>
    <w:lvl w:ilvl="8" w:tentative="0">
      <w:start w:val="1"/>
      <w:numFmt w:val="decimal"/>
      <w:lvlText w:val="%1.%2.%3.%4.%5.%6.%7.%8.%9"/>
      <w:lvlJc w:val="left"/>
      <w:pPr>
        <w:tabs>
          <w:tab w:val="left" w:pos="5344"/>
        </w:tabs>
        <w:ind w:left="5244" w:hanging="1700"/>
      </w:pPr>
      <w:rPr>
        <w:rFonts w:hint="eastAsia"/>
      </w:rPr>
    </w:lvl>
  </w:abstractNum>
  <w:abstractNum w:abstractNumId="14">
    <w:nsid w:val="3E01633E"/>
    <w:multiLevelType w:val="multilevel"/>
    <w:tmpl w:val="3E01633E"/>
    <w:lvl w:ilvl="0" w:tentative="0">
      <w:start w:val="1"/>
      <w:numFmt w:val="decimal"/>
      <w:lvlText w:val="%1."/>
      <w:lvlJc w:val="left"/>
      <w:pPr>
        <w:ind w:left="920" w:hanging="36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5">
    <w:nsid w:val="41F51FC8"/>
    <w:multiLevelType w:val="multilevel"/>
    <w:tmpl w:val="41F51FC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451C043A"/>
    <w:multiLevelType w:val="multilevel"/>
    <w:tmpl w:val="451C043A"/>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46C666F9"/>
    <w:multiLevelType w:val="multilevel"/>
    <w:tmpl w:val="46C666F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48800F0F"/>
    <w:multiLevelType w:val="multilevel"/>
    <w:tmpl w:val="48800F0F"/>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pStyle w:val="27"/>
      <w:lvlText w:val="%1.%2.%3.%4"/>
      <w:lvlJc w:val="left"/>
      <w:pPr>
        <w:tabs>
          <w:tab w:val="left" w:pos="2328"/>
        </w:tabs>
        <w:ind w:left="2328"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9">
    <w:nsid w:val="4DA86E80"/>
    <w:multiLevelType w:val="multilevel"/>
    <w:tmpl w:val="4DA86E80"/>
    <w:lvl w:ilvl="0" w:tentative="0">
      <w:start w:val="1"/>
      <w:numFmt w:val="decimal"/>
      <w:lvlText w:val="%1）"/>
      <w:lvlJc w:val="left"/>
      <w:pPr>
        <w:ind w:left="1350" w:hanging="825"/>
      </w:pPr>
      <w:rPr>
        <w:rFonts w:hint="default" w:ascii="宋体" w:hAnsi="宋体"/>
        <w:color w:val="auto"/>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20">
    <w:nsid w:val="52F42418"/>
    <w:multiLevelType w:val="multilevel"/>
    <w:tmpl w:val="52F42418"/>
    <w:lvl w:ilvl="0" w:tentative="0">
      <w:start w:val="1"/>
      <w:numFmt w:val="chineseCountingThousand"/>
      <w:lvlText w:val="%1、"/>
      <w:lvlJc w:val="left"/>
      <w:pPr>
        <w:tabs>
          <w:tab w:val="left" w:pos="425"/>
        </w:tabs>
        <w:ind w:left="425" w:hanging="425"/>
      </w:pPr>
      <w:rPr>
        <w:rFonts w:hint="eastAsia"/>
        <w:b w:val="0"/>
        <w:color w:val="auto"/>
      </w:rPr>
    </w:lvl>
    <w:lvl w:ilvl="1" w:tentative="0">
      <w:start w:val="1"/>
      <w:numFmt w:val="decimal"/>
      <w:lvlText w:val="%1.%2"/>
      <w:lvlJc w:val="left"/>
      <w:pPr>
        <w:tabs>
          <w:tab w:val="left" w:pos="567"/>
        </w:tabs>
        <w:ind w:left="567" w:hanging="567"/>
      </w:pPr>
      <w:rPr>
        <w:rFonts w:hint="eastAsia" w:ascii="宋体" w:hAnsi="宋体" w:eastAsia="宋体"/>
        <w:b w:val="0"/>
        <w:color w:val="auto"/>
      </w:rPr>
    </w:lvl>
    <w:lvl w:ilvl="2" w:tentative="0">
      <w:start w:val="1"/>
      <w:numFmt w:val="decimal"/>
      <w:lvlText w:val="%1.%2.%3"/>
      <w:lvlJc w:val="left"/>
      <w:pPr>
        <w:tabs>
          <w:tab w:val="left" w:pos="709"/>
        </w:tabs>
        <w:ind w:left="709" w:hanging="709"/>
      </w:pPr>
      <w:rPr>
        <w:rFonts w:hint="eastAsia" w:ascii="宋体" w:hAnsi="宋体" w:eastAsia="宋体"/>
        <w:color w:val="auto"/>
      </w:rPr>
    </w:lvl>
    <w:lvl w:ilvl="3" w:tentative="0">
      <w:start w:val="1"/>
      <w:numFmt w:val="decimal"/>
      <w:lvlText w:val="%1.%2.%3.%4."/>
      <w:lvlJc w:val="left"/>
      <w:pPr>
        <w:tabs>
          <w:tab w:val="left" w:pos="851"/>
        </w:tabs>
        <w:ind w:left="851" w:hanging="85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1">
    <w:nsid w:val="55800FB9"/>
    <w:multiLevelType w:val="singleLevel"/>
    <w:tmpl w:val="55800FB9"/>
    <w:lvl w:ilvl="0" w:tentative="0">
      <w:start w:val="1"/>
      <w:numFmt w:val="chineseCounting"/>
      <w:suff w:val="nothing"/>
      <w:lvlText w:val="%1、"/>
      <w:lvlJc w:val="left"/>
      <w:rPr>
        <w:rFonts w:hint="eastAsia"/>
      </w:rPr>
    </w:lvl>
  </w:abstractNum>
  <w:abstractNum w:abstractNumId="22">
    <w:nsid w:val="56BB1B21"/>
    <w:multiLevelType w:val="multilevel"/>
    <w:tmpl w:val="56BB1B21"/>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59031762"/>
    <w:multiLevelType w:val="multilevel"/>
    <w:tmpl w:val="59031762"/>
    <w:lvl w:ilvl="0" w:tentative="0">
      <w:start w:val="1"/>
      <w:numFmt w:val="decimal"/>
      <w:lvlText w:val="%1"/>
      <w:lvlJc w:val="left"/>
      <w:pPr>
        <w:tabs>
          <w:tab w:val="left" w:pos="425"/>
        </w:tabs>
        <w:ind w:left="425" w:hanging="425"/>
      </w:pPr>
      <w:rPr>
        <w:rFonts w:hint="eastAsia" w:ascii="宋体" w:hAnsi="宋体" w:eastAsia="宋体"/>
        <w:b/>
      </w:rPr>
    </w:lvl>
    <w:lvl w:ilvl="1" w:tentative="0">
      <w:start w:val="1"/>
      <w:numFmt w:val="decimal"/>
      <w:lvlText w:val="%1.%2."/>
      <w:lvlJc w:val="left"/>
      <w:pPr>
        <w:tabs>
          <w:tab w:val="left" w:pos="567"/>
        </w:tabs>
        <w:ind w:left="567" w:hanging="567"/>
      </w:pPr>
      <w:rPr>
        <w:rFonts w:hint="eastAsia" w:ascii="宋体" w:hAnsi="宋体" w:eastAsia="宋体"/>
        <w:b w:val="0"/>
        <w:dstrike w:val="0"/>
      </w:rPr>
    </w:lvl>
    <w:lvl w:ilvl="2" w:tentative="0">
      <w:start w:val="1"/>
      <w:numFmt w:val="decimal"/>
      <w:lvlText w:val="%1.%2.%3."/>
      <w:lvlJc w:val="left"/>
      <w:pPr>
        <w:tabs>
          <w:tab w:val="left" w:pos="567"/>
        </w:tabs>
        <w:ind w:left="567" w:hanging="567"/>
      </w:pPr>
      <w:rPr>
        <w:rFonts w:hint="eastAsia" w:ascii="宋体" w:hAnsi="宋体" w:eastAsia="宋体"/>
        <w:b w:val="0"/>
        <w:color w:val="auto"/>
        <w:sz w:val="21"/>
        <w:szCs w:val="21"/>
      </w:rPr>
    </w:lvl>
    <w:lvl w:ilvl="3" w:tentative="0">
      <w:start w:val="1"/>
      <w:numFmt w:val="decimal"/>
      <w:lvlText w:val="%1.%2.%3.%4."/>
      <w:lvlJc w:val="left"/>
      <w:pPr>
        <w:tabs>
          <w:tab w:val="left" w:pos="851"/>
        </w:tabs>
        <w:ind w:left="851" w:hanging="851"/>
      </w:pPr>
      <w:rPr>
        <w:rFonts w:hint="eastAsia" w:ascii="宋体" w:hAnsi="宋体" w:eastAsia="宋体"/>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4">
    <w:nsid w:val="59EC7344"/>
    <w:multiLevelType w:val="multilevel"/>
    <w:tmpl w:val="59EC7344"/>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25">
    <w:nsid w:val="600914E3"/>
    <w:multiLevelType w:val="multilevel"/>
    <w:tmpl w:val="600914E3"/>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61247931"/>
    <w:multiLevelType w:val="multilevel"/>
    <w:tmpl w:val="61247931"/>
    <w:lvl w:ilvl="0" w:tentative="0">
      <w:start w:val="1"/>
      <w:numFmt w:val="decimal"/>
      <w:lvlText w:val="%1."/>
      <w:lvlJc w:val="left"/>
      <w:pPr>
        <w:ind w:left="735" w:hanging="420"/>
      </w:pPr>
      <w:rPr>
        <w:b w:val="0"/>
        <w:color w:val="auto"/>
      </w:rPr>
    </w:lvl>
    <w:lvl w:ilvl="1" w:tentative="0">
      <w:start w:val="1"/>
      <w:numFmt w:val="lowerLetter"/>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abstractNum w:abstractNumId="27">
    <w:nsid w:val="710D7EE7"/>
    <w:multiLevelType w:val="singleLevel"/>
    <w:tmpl w:val="710D7EE7"/>
    <w:lvl w:ilvl="0" w:tentative="0">
      <w:start w:val="1"/>
      <w:numFmt w:val="decimal"/>
      <w:lvlText w:val="%1."/>
      <w:lvlJc w:val="left"/>
      <w:pPr>
        <w:tabs>
          <w:tab w:val="left" w:pos="312"/>
        </w:tabs>
      </w:pPr>
    </w:lvl>
  </w:abstractNum>
  <w:abstractNum w:abstractNumId="28">
    <w:nsid w:val="78D54744"/>
    <w:multiLevelType w:val="multilevel"/>
    <w:tmpl w:val="78D54744"/>
    <w:lvl w:ilvl="0" w:tentative="0">
      <w:start w:val="1"/>
      <w:numFmt w:val="decimal"/>
      <w:lvlText w:val="%1."/>
      <w:lvlJc w:val="left"/>
      <w:pPr>
        <w:tabs>
          <w:tab w:val="left" w:pos="780"/>
        </w:tabs>
        <w:ind w:left="7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7A851134"/>
    <w:multiLevelType w:val="multilevel"/>
    <w:tmpl w:val="7A851134"/>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num w:numId="1">
    <w:abstractNumId w:val="18"/>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num>
  <w:num w:numId="4">
    <w:abstractNumId w:val="15"/>
  </w:num>
  <w:num w:numId="5">
    <w:abstractNumId w:val="8"/>
  </w:num>
  <w:num w:numId="6">
    <w:abstractNumId w:val="19"/>
  </w:num>
  <w:num w:numId="7">
    <w:abstractNumId w:val="16"/>
  </w:num>
  <w:num w:numId="8">
    <w:abstractNumId w:val="7"/>
  </w:num>
  <w:num w:numId="9">
    <w:abstractNumId w:val="12"/>
  </w:num>
  <w:num w:numId="10">
    <w:abstractNumId w:val="4"/>
  </w:num>
  <w:num w:numId="11">
    <w:abstractNumId w:val="21"/>
  </w:num>
  <w:num w:numId="12">
    <w:abstractNumId w:val="0"/>
  </w:num>
  <w:num w:numId="13">
    <w:abstractNumId w:val="14"/>
  </w:num>
  <w:num w:numId="14">
    <w:abstractNumId w:val="1"/>
  </w:num>
  <w:num w:numId="15">
    <w:abstractNumId w:val="27"/>
  </w:num>
  <w:num w:numId="16">
    <w:abstractNumId w:val="2"/>
  </w:num>
  <w:num w:numId="17">
    <w:abstractNumId w:val="24"/>
  </w:num>
  <w:num w:numId="18">
    <w:abstractNumId w:val="11"/>
  </w:num>
  <w:num w:numId="19">
    <w:abstractNumId w:val="29"/>
  </w:num>
  <w:num w:numId="20">
    <w:abstractNumId w:val="10"/>
  </w:num>
  <w:num w:numId="21">
    <w:abstractNumId w:val="13"/>
  </w:num>
  <w:num w:numId="22">
    <w:abstractNumId w:val="28"/>
  </w:num>
  <w:num w:numId="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6"/>
  </w:num>
  <w:num w:numId="25">
    <w:abstractNumId w:val="22"/>
  </w:num>
  <w:num w:numId="26">
    <w:abstractNumId w:val="6"/>
  </w:num>
  <w:num w:numId="27">
    <w:abstractNumId w:val="25"/>
  </w:num>
  <w:num w:numId="28">
    <w:abstractNumId w:val="23"/>
  </w:num>
  <w:num w:numId="29">
    <w:abstractNumId w:val="9"/>
  </w:num>
  <w:num w:numId="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hideSpelling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20759"/>
    <w:rsid w:val="00051121"/>
    <w:rsid w:val="00053F1D"/>
    <w:rsid w:val="00076470"/>
    <w:rsid w:val="000809FA"/>
    <w:rsid w:val="00095490"/>
    <w:rsid w:val="000C2443"/>
    <w:rsid w:val="000C4326"/>
    <w:rsid w:val="000D5B1D"/>
    <w:rsid w:val="000E4D2A"/>
    <w:rsid w:val="000F33E4"/>
    <w:rsid w:val="00107439"/>
    <w:rsid w:val="00111351"/>
    <w:rsid w:val="0012180D"/>
    <w:rsid w:val="0014646B"/>
    <w:rsid w:val="001652CE"/>
    <w:rsid w:val="002122CB"/>
    <w:rsid w:val="00215651"/>
    <w:rsid w:val="00217500"/>
    <w:rsid w:val="00220759"/>
    <w:rsid w:val="0024761F"/>
    <w:rsid w:val="002D33A5"/>
    <w:rsid w:val="002E3CFA"/>
    <w:rsid w:val="002F224E"/>
    <w:rsid w:val="00360457"/>
    <w:rsid w:val="00373922"/>
    <w:rsid w:val="003763E5"/>
    <w:rsid w:val="0038138A"/>
    <w:rsid w:val="003825AD"/>
    <w:rsid w:val="00397AB2"/>
    <w:rsid w:val="003A662A"/>
    <w:rsid w:val="003B2DD3"/>
    <w:rsid w:val="003D5C25"/>
    <w:rsid w:val="003F5734"/>
    <w:rsid w:val="004154B6"/>
    <w:rsid w:val="00423744"/>
    <w:rsid w:val="00424B3B"/>
    <w:rsid w:val="00442656"/>
    <w:rsid w:val="00446C15"/>
    <w:rsid w:val="00495A56"/>
    <w:rsid w:val="004A104F"/>
    <w:rsid w:val="004B67F1"/>
    <w:rsid w:val="004C2E2C"/>
    <w:rsid w:val="004E4D46"/>
    <w:rsid w:val="0050099C"/>
    <w:rsid w:val="0052325B"/>
    <w:rsid w:val="00537EA8"/>
    <w:rsid w:val="00573B75"/>
    <w:rsid w:val="005C5A7F"/>
    <w:rsid w:val="005C61D6"/>
    <w:rsid w:val="005E2A00"/>
    <w:rsid w:val="005F146C"/>
    <w:rsid w:val="00603374"/>
    <w:rsid w:val="00616B8E"/>
    <w:rsid w:val="0062088E"/>
    <w:rsid w:val="00650291"/>
    <w:rsid w:val="00667154"/>
    <w:rsid w:val="006723F1"/>
    <w:rsid w:val="0067792F"/>
    <w:rsid w:val="00693825"/>
    <w:rsid w:val="006B1FB3"/>
    <w:rsid w:val="006B5DE0"/>
    <w:rsid w:val="006C33C3"/>
    <w:rsid w:val="006D58E5"/>
    <w:rsid w:val="006E6B5B"/>
    <w:rsid w:val="006E789D"/>
    <w:rsid w:val="006F29FD"/>
    <w:rsid w:val="007010CD"/>
    <w:rsid w:val="007027DC"/>
    <w:rsid w:val="007036BF"/>
    <w:rsid w:val="007251B6"/>
    <w:rsid w:val="007445DD"/>
    <w:rsid w:val="00755DCC"/>
    <w:rsid w:val="007D0E9C"/>
    <w:rsid w:val="007E1F5B"/>
    <w:rsid w:val="007F5A19"/>
    <w:rsid w:val="00800827"/>
    <w:rsid w:val="00815D98"/>
    <w:rsid w:val="0084517A"/>
    <w:rsid w:val="00846C36"/>
    <w:rsid w:val="008620AC"/>
    <w:rsid w:val="00872590"/>
    <w:rsid w:val="00881D26"/>
    <w:rsid w:val="00882985"/>
    <w:rsid w:val="00895D82"/>
    <w:rsid w:val="008B7A88"/>
    <w:rsid w:val="008D4028"/>
    <w:rsid w:val="008E0F27"/>
    <w:rsid w:val="008F0186"/>
    <w:rsid w:val="00914F47"/>
    <w:rsid w:val="0091698C"/>
    <w:rsid w:val="00936D22"/>
    <w:rsid w:val="00960182"/>
    <w:rsid w:val="009713FA"/>
    <w:rsid w:val="00987E4D"/>
    <w:rsid w:val="009B097A"/>
    <w:rsid w:val="009E02A8"/>
    <w:rsid w:val="00A1632B"/>
    <w:rsid w:val="00A254C5"/>
    <w:rsid w:val="00A257BE"/>
    <w:rsid w:val="00A41C84"/>
    <w:rsid w:val="00A44054"/>
    <w:rsid w:val="00A518DB"/>
    <w:rsid w:val="00A61108"/>
    <w:rsid w:val="00A714CD"/>
    <w:rsid w:val="00A73B23"/>
    <w:rsid w:val="00AB647A"/>
    <w:rsid w:val="00AE5E9F"/>
    <w:rsid w:val="00B178F4"/>
    <w:rsid w:val="00B45D29"/>
    <w:rsid w:val="00B65F18"/>
    <w:rsid w:val="00C11515"/>
    <w:rsid w:val="00C22F78"/>
    <w:rsid w:val="00C343A3"/>
    <w:rsid w:val="00C663EE"/>
    <w:rsid w:val="00C750D4"/>
    <w:rsid w:val="00C879E6"/>
    <w:rsid w:val="00CA2BBE"/>
    <w:rsid w:val="00CA70B5"/>
    <w:rsid w:val="00CC50EC"/>
    <w:rsid w:val="00CD0622"/>
    <w:rsid w:val="00CE1F05"/>
    <w:rsid w:val="00D03D82"/>
    <w:rsid w:val="00D14864"/>
    <w:rsid w:val="00D16EBB"/>
    <w:rsid w:val="00D44463"/>
    <w:rsid w:val="00D73EAA"/>
    <w:rsid w:val="00DB03A3"/>
    <w:rsid w:val="00DF72CC"/>
    <w:rsid w:val="00E40919"/>
    <w:rsid w:val="00E44955"/>
    <w:rsid w:val="00E85DCC"/>
    <w:rsid w:val="00EA3441"/>
    <w:rsid w:val="00EB36A3"/>
    <w:rsid w:val="00EB624C"/>
    <w:rsid w:val="00EC4661"/>
    <w:rsid w:val="00EC4D8B"/>
    <w:rsid w:val="00EC694B"/>
    <w:rsid w:val="00EE6351"/>
    <w:rsid w:val="00EE71D4"/>
    <w:rsid w:val="00F21BAD"/>
    <w:rsid w:val="00F36428"/>
    <w:rsid w:val="00F90625"/>
    <w:rsid w:val="00FA6B7E"/>
    <w:rsid w:val="00FB7036"/>
    <w:rsid w:val="00FC40EB"/>
    <w:rsid w:val="00FE0B1C"/>
    <w:rsid w:val="01076FD7"/>
    <w:rsid w:val="010D45D7"/>
    <w:rsid w:val="010E7344"/>
    <w:rsid w:val="01100146"/>
    <w:rsid w:val="01110CA7"/>
    <w:rsid w:val="01177C71"/>
    <w:rsid w:val="011E610E"/>
    <w:rsid w:val="01233CB9"/>
    <w:rsid w:val="01235BA7"/>
    <w:rsid w:val="01255D48"/>
    <w:rsid w:val="012D6130"/>
    <w:rsid w:val="013446F5"/>
    <w:rsid w:val="013924F5"/>
    <w:rsid w:val="013D26E5"/>
    <w:rsid w:val="013D7117"/>
    <w:rsid w:val="014222B9"/>
    <w:rsid w:val="01456C0A"/>
    <w:rsid w:val="01460851"/>
    <w:rsid w:val="014701B4"/>
    <w:rsid w:val="014A2C98"/>
    <w:rsid w:val="014A752A"/>
    <w:rsid w:val="01543ABB"/>
    <w:rsid w:val="01570ABB"/>
    <w:rsid w:val="015F287B"/>
    <w:rsid w:val="01667DEA"/>
    <w:rsid w:val="01692646"/>
    <w:rsid w:val="016A0798"/>
    <w:rsid w:val="016B1954"/>
    <w:rsid w:val="016E45D7"/>
    <w:rsid w:val="01724F83"/>
    <w:rsid w:val="01863C37"/>
    <w:rsid w:val="018934A4"/>
    <w:rsid w:val="018D5430"/>
    <w:rsid w:val="019E1001"/>
    <w:rsid w:val="01A023BB"/>
    <w:rsid w:val="01A0602F"/>
    <w:rsid w:val="01AB3259"/>
    <w:rsid w:val="01AB439B"/>
    <w:rsid w:val="01B27FCC"/>
    <w:rsid w:val="01B66F67"/>
    <w:rsid w:val="01B777A1"/>
    <w:rsid w:val="01B864DF"/>
    <w:rsid w:val="01BA3379"/>
    <w:rsid w:val="01BD240D"/>
    <w:rsid w:val="01BE2DA5"/>
    <w:rsid w:val="01C0060E"/>
    <w:rsid w:val="01CC04BD"/>
    <w:rsid w:val="01CE6F13"/>
    <w:rsid w:val="01CF5629"/>
    <w:rsid w:val="01D55BD9"/>
    <w:rsid w:val="01D829F2"/>
    <w:rsid w:val="01E76F96"/>
    <w:rsid w:val="01ED3AB2"/>
    <w:rsid w:val="01EE06D9"/>
    <w:rsid w:val="01F25280"/>
    <w:rsid w:val="01F35DAE"/>
    <w:rsid w:val="01F40FA5"/>
    <w:rsid w:val="01F51684"/>
    <w:rsid w:val="01FE472A"/>
    <w:rsid w:val="020739DD"/>
    <w:rsid w:val="020D4CB8"/>
    <w:rsid w:val="02206911"/>
    <w:rsid w:val="02235477"/>
    <w:rsid w:val="02246E58"/>
    <w:rsid w:val="022D2B4F"/>
    <w:rsid w:val="02342AF7"/>
    <w:rsid w:val="0237773C"/>
    <w:rsid w:val="02427C6A"/>
    <w:rsid w:val="0243695B"/>
    <w:rsid w:val="024545E6"/>
    <w:rsid w:val="02485AE1"/>
    <w:rsid w:val="024910A2"/>
    <w:rsid w:val="02496491"/>
    <w:rsid w:val="02516405"/>
    <w:rsid w:val="025555F4"/>
    <w:rsid w:val="02571DE8"/>
    <w:rsid w:val="025B1A52"/>
    <w:rsid w:val="025B3DAF"/>
    <w:rsid w:val="025C408B"/>
    <w:rsid w:val="02616F3B"/>
    <w:rsid w:val="026E075F"/>
    <w:rsid w:val="02763AA7"/>
    <w:rsid w:val="02764D92"/>
    <w:rsid w:val="027803EA"/>
    <w:rsid w:val="027F6C72"/>
    <w:rsid w:val="0285293B"/>
    <w:rsid w:val="028F2637"/>
    <w:rsid w:val="028F5FC3"/>
    <w:rsid w:val="029022D1"/>
    <w:rsid w:val="02907B42"/>
    <w:rsid w:val="029B0320"/>
    <w:rsid w:val="029C6632"/>
    <w:rsid w:val="02A02BEF"/>
    <w:rsid w:val="02A114C6"/>
    <w:rsid w:val="02A2166E"/>
    <w:rsid w:val="02AC51DB"/>
    <w:rsid w:val="02AE3EC4"/>
    <w:rsid w:val="02B30F4C"/>
    <w:rsid w:val="02B6787A"/>
    <w:rsid w:val="02C103D8"/>
    <w:rsid w:val="02C85C4D"/>
    <w:rsid w:val="02D013D9"/>
    <w:rsid w:val="02D04232"/>
    <w:rsid w:val="02D354E4"/>
    <w:rsid w:val="02D9087F"/>
    <w:rsid w:val="02DF7AD4"/>
    <w:rsid w:val="02EA4E5F"/>
    <w:rsid w:val="02EC00C4"/>
    <w:rsid w:val="02EC4A73"/>
    <w:rsid w:val="02ED1E35"/>
    <w:rsid w:val="02FF6296"/>
    <w:rsid w:val="030179D7"/>
    <w:rsid w:val="0302030B"/>
    <w:rsid w:val="03022A39"/>
    <w:rsid w:val="03133F71"/>
    <w:rsid w:val="03205778"/>
    <w:rsid w:val="03236AC2"/>
    <w:rsid w:val="03256779"/>
    <w:rsid w:val="03291080"/>
    <w:rsid w:val="032E4F47"/>
    <w:rsid w:val="032F1B86"/>
    <w:rsid w:val="03331E67"/>
    <w:rsid w:val="03420C2D"/>
    <w:rsid w:val="0344559C"/>
    <w:rsid w:val="03525BB4"/>
    <w:rsid w:val="03553046"/>
    <w:rsid w:val="03575C14"/>
    <w:rsid w:val="03672518"/>
    <w:rsid w:val="03687111"/>
    <w:rsid w:val="037E27E8"/>
    <w:rsid w:val="037F669E"/>
    <w:rsid w:val="037F7BA2"/>
    <w:rsid w:val="03845F0D"/>
    <w:rsid w:val="03861EEE"/>
    <w:rsid w:val="038A6738"/>
    <w:rsid w:val="038E075C"/>
    <w:rsid w:val="03976C11"/>
    <w:rsid w:val="039879F7"/>
    <w:rsid w:val="03A07110"/>
    <w:rsid w:val="03A82D75"/>
    <w:rsid w:val="03B1721D"/>
    <w:rsid w:val="03B56F97"/>
    <w:rsid w:val="03CC74A6"/>
    <w:rsid w:val="03D11AFF"/>
    <w:rsid w:val="03DB129B"/>
    <w:rsid w:val="03DE1AAF"/>
    <w:rsid w:val="03E12C23"/>
    <w:rsid w:val="03E145CE"/>
    <w:rsid w:val="03EB5EA0"/>
    <w:rsid w:val="03F94376"/>
    <w:rsid w:val="040075A3"/>
    <w:rsid w:val="040258F9"/>
    <w:rsid w:val="040635BC"/>
    <w:rsid w:val="041A611B"/>
    <w:rsid w:val="041F2F60"/>
    <w:rsid w:val="04202074"/>
    <w:rsid w:val="04273256"/>
    <w:rsid w:val="042B32BA"/>
    <w:rsid w:val="042C421D"/>
    <w:rsid w:val="042C45F3"/>
    <w:rsid w:val="0435791D"/>
    <w:rsid w:val="043D32A2"/>
    <w:rsid w:val="043E23EE"/>
    <w:rsid w:val="043E32D2"/>
    <w:rsid w:val="044279CF"/>
    <w:rsid w:val="04472FF4"/>
    <w:rsid w:val="044D7F7C"/>
    <w:rsid w:val="04507948"/>
    <w:rsid w:val="04605644"/>
    <w:rsid w:val="04643FB1"/>
    <w:rsid w:val="046766D3"/>
    <w:rsid w:val="047F5C61"/>
    <w:rsid w:val="04835712"/>
    <w:rsid w:val="04856217"/>
    <w:rsid w:val="04875BE9"/>
    <w:rsid w:val="048D2B18"/>
    <w:rsid w:val="049640A8"/>
    <w:rsid w:val="04A53FE1"/>
    <w:rsid w:val="04A76179"/>
    <w:rsid w:val="04B02EDC"/>
    <w:rsid w:val="04B052BC"/>
    <w:rsid w:val="04B45049"/>
    <w:rsid w:val="04BC3200"/>
    <w:rsid w:val="04C5482A"/>
    <w:rsid w:val="04CA5CA6"/>
    <w:rsid w:val="04CF413B"/>
    <w:rsid w:val="04CF7C8B"/>
    <w:rsid w:val="04D06007"/>
    <w:rsid w:val="04D40624"/>
    <w:rsid w:val="04D4516F"/>
    <w:rsid w:val="04DC40C7"/>
    <w:rsid w:val="04DF3D66"/>
    <w:rsid w:val="04E26696"/>
    <w:rsid w:val="04E6270B"/>
    <w:rsid w:val="04E80ED9"/>
    <w:rsid w:val="04EE5C01"/>
    <w:rsid w:val="04F2702F"/>
    <w:rsid w:val="04F663E2"/>
    <w:rsid w:val="04F75E4C"/>
    <w:rsid w:val="05075E5F"/>
    <w:rsid w:val="050E15AE"/>
    <w:rsid w:val="051154FD"/>
    <w:rsid w:val="051D5098"/>
    <w:rsid w:val="05237F8E"/>
    <w:rsid w:val="052D35EB"/>
    <w:rsid w:val="05304B49"/>
    <w:rsid w:val="0535385E"/>
    <w:rsid w:val="053A443A"/>
    <w:rsid w:val="05433EC5"/>
    <w:rsid w:val="054D0D53"/>
    <w:rsid w:val="0550338B"/>
    <w:rsid w:val="05512A36"/>
    <w:rsid w:val="05531563"/>
    <w:rsid w:val="05552592"/>
    <w:rsid w:val="05583211"/>
    <w:rsid w:val="055C1DDF"/>
    <w:rsid w:val="055E6D0B"/>
    <w:rsid w:val="0562684B"/>
    <w:rsid w:val="05640F83"/>
    <w:rsid w:val="056A51FD"/>
    <w:rsid w:val="056D0EEA"/>
    <w:rsid w:val="056E2362"/>
    <w:rsid w:val="057640AD"/>
    <w:rsid w:val="05777728"/>
    <w:rsid w:val="05861571"/>
    <w:rsid w:val="058C13FA"/>
    <w:rsid w:val="05983E54"/>
    <w:rsid w:val="059907F9"/>
    <w:rsid w:val="05994730"/>
    <w:rsid w:val="059959FF"/>
    <w:rsid w:val="059B28EC"/>
    <w:rsid w:val="059C2107"/>
    <w:rsid w:val="059C7058"/>
    <w:rsid w:val="059D0DCC"/>
    <w:rsid w:val="059D1154"/>
    <w:rsid w:val="05A4072B"/>
    <w:rsid w:val="05A66373"/>
    <w:rsid w:val="05B13918"/>
    <w:rsid w:val="05B30505"/>
    <w:rsid w:val="05B601C1"/>
    <w:rsid w:val="05B660EA"/>
    <w:rsid w:val="05BD070A"/>
    <w:rsid w:val="05BD281A"/>
    <w:rsid w:val="05C3500F"/>
    <w:rsid w:val="05C5601A"/>
    <w:rsid w:val="05C66CFE"/>
    <w:rsid w:val="05D46C1C"/>
    <w:rsid w:val="05D561DA"/>
    <w:rsid w:val="05D56952"/>
    <w:rsid w:val="05D71877"/>
    <w:rsid w:val="05D81EDD"/>
    <w:rsid w:val="05D92701"/>
    <w:rsid w:val="05DA060F"/>
    <w:rsid w:val="05DF719E"/>
    <w:rsid w:val="05EC7AC4"/>
    <w:rsid w:val="05F15044"/>
    <w:rsid w:val="05F2736F"/>
    <w:rsid w:val="05F84CB5"/>
    <w:rsid w:val="06024576"/>
    <w:rsid w:val="060471A6"/>
    <w:rsid w:val="060F5578"/>
    <w:rsid w:val="060F5BAA"/>
    <w:rsid w:val="061A3572"/>
    <w:rsid w:val="06210E90"/>
    <w:rsid w:val="062358FB"/>
    <w:rsid w:val="06247FCB"/>
    <w:rsid w:val="062509E9"/>
    <w:rsid w:val="0625397B"/>
    <w:rsid w:val="06296351"/>
    <w:rsid w:val="06326464"/>
    <w:rsid w:val="0637367A"/>
    <w:rsid w:val="063C742D"/>
    <w:rsid w:val="064B263C"/>
    <w:rsid w:val="064C65B4"/>
    <w:rsid w:val="064F4318"/>
    <w:rsid w:val="0654452D"/>
    <w:rsid w:val="06622738"/>
    <w:rsid w:val="06683F90"/>
    <w:rsid w:val="066B5CD8"/>
    <w:rsid w:val="06751F36"/>
    <w:rsid w:val="068A729F"/>
    <w:rsid w:val="068B51FF"/>
    <w:rsid w:val="068E350E"/>
    <w:rsid w:val="06915C39"/>
    <w:rsid w:val="069C3520"/>
    <w:rsid w:val="069D4ABD"/>
    <w:rsid w:val="069E13C2"/>
    <w:rsid w:val="06A00F45"/>
    <w:rsid w:val="06A868B3"/>
    <w:rsid w:val="06A911AE"/>
    <w:rsid w:val="06A94E70"/>
    <w:rsid w:val="06AC5344"/>
    <w:rsid w:val="06C51603"/>
    <w:rsid w:val="06C670A8"/>
    <w:rsid w:val="06CA744A"/>
    <w:rsid w:val="06CD1A1D"/>
    <w:rsid w:val="06D17F81"/>
    <w:rsid w:val="06D70EBE"/>
    <w:rsid w:val="06DD4E3D"/>
    <w:rsid w:val="06E7141C"/>
    <w:rsid w:val="06ED59AB"/>
    <w:rsid w:val="06F17DC5"/>
    <w:rsid w:val="06F5637C"/>
    <w:rsid w:val="06F63A05"/>
    <w:rsid w:val="06F71BEE"/>
    <w:rsid w:val="06F82AAA"/>
    <w:rsid w:val="06FA0E00"/>
    <w:rsid w:val="06FA5877"/>
    <w:rsid w:val="06FB5BEA"/>
    <w:rsid w:val="06FB6328"/>
    <w:rsid w:val="06FD6F5A"/>
    <w:rsid w:val="07050E9A"/>
    <w:rsid w:val="070735C3"/>
    <w:rsid w:val="0713372E"/>
    <w:rsid w:val="07136744"/>
    <w:rsid w:val="071873BB"/>
    <w:rsid w:val="071C0EA5"/>
    <w:rsid w:val="071C2B9F"/>
    <w:rsid w:val="071D7C41"/>
    <w:rsid w:val="07230EFC"/>
    <w:rsid w:val="072473B1"/>
    <w:rsid w:val="07445122"/>
    <w:rsid w:val="07455AC0"/>
    <w:rsid w:val="07507F25"/>
    <w:rsid w:val="075130B7"/>
    <w:rsid w:val="07525051"/>
    <w:rsid w:val="075B3CA9"/>
    <w:rsid w:val="075E7DA5"/>
    <w:rsid w:val="076273A3"/>
    <w:rsid w:val="07633D59"/>
    <w:rsid w:val="07656A09"/>
    <w:rsid w:val="07677110"/>
    <w:rsid w:val="07777BA4"/>
    <w:rsid w:val="077D78AE"/>
    <w:rsid w:val="079040AE"/>
    <w:rsid w:val="07A17C1D"/>
    <w:rsid w:val="07A56326"/>
    <w:rsid w:val="07AD12CC"/>
    <w:rsid w:val="07B25005"/>
    <w:rsid w:val="07B35C3A"/>
    <w:rsid w:val="07B60CF4"/>
    <w:rsid w:val="07B73B30"/>
    <w:rsid w:val="07BB07C8"/>
    <w:rsid w:val="07BB1809"/>
    <w:rsid w:val="07BB4BC8"/>
    <w:rsid w:val="07C44F01"/>
    <w:rsid w:val="07D9391A"/>
    <w:rsid w:val="07DA7457"/>
    <w:rsid w:val="07EA56E7"/>
    <w:rsid w:val="07EB12A0"/>
    <w:rsid w:val="07EC4DBF"/>
    <w:rsid w:val="07ED23C3"/>
    <w:rsid w:val="07F27638"/>
    <w:rsid w:val="07F77B97"/>
    <w:rsid w:val="07FC12FC"/>
    <w:rsid w:val="08032138"/>
    <w:rsid w:val="080C259C"/>
    <w:rsid w:val="080C6AC7"/>
    <w:rsid w:val="080E2CF5"/>
    <w:rsid w:val="081E6D03"/>
    <w:rsid w:val="082549C0"/>
    <w:rsid w:val="08270311"/>
    <w:rsid w:val="08287FB4"/>
    <w:rsid w:val="082C5907"/>
    <w:rsid w:val="08362A4E"/>
    <w:rsid w:val="083927F2"/>
    <w:rsid w:val="083948C1"/>
    <w:rsid w:val="083A63CB"/>
    <w:rsid w:val="083E2CC9"/>
    <w:rsid w:val="08456134"/>
    <w:rsid w:val="084629C6"/>
    <w:rsid w:val="084A0F9B"/>
    <w:rsid w:val="084D527B"/>
    <w:rsid w:val="084F3024"/>
    <w:rsid w:val="08512564"/>
    <w:rsid w:val="086037D3"/>
    <w:rsid w:val="086267B5"/>
    <w:rsid w:val="08636FDC"/>
    <w:rsid w:val="086B4787"/>
    <w:rsid w:val="086E4D0D"/>
    <w:rsid w:val="086E7719"/>
    <w:rsid w:val="08700454"/>
    <w:rsid w:val="0870659A"/>
    <w:rsid w:val="08707530"/>
    <w:rsid w:val="08714199"/>
    <w:rsid w:val="08846250"/>
    <w:rsid w:val="088B0A0F"/>
    <w:rsid w:val="08934B7B"/>
    <w:rsid w:val="08937746"/>
    <w:rsid w:val="08997715"/>
    <w:rsid w:val="089E1D6F"/>
    <w:rsid w:val="08A108BB"/>
    <w:rsid w:val="08A52F21"/>
    <w:rsid w:val="08A55AE2"/>
    <w:rsid w:val="08A62C11"/>
    <w:rsid w:val="08A84B0A"/>
    <w:rsid w:val="08AD4487"/>
    <w:rsid w:val="08AF4250"/>
    <w:rsid w:val="08B46750"/>
    <w:rsid w:val="08B96FD1"/>
    <w:rsid w:val="08BA1528"/>
    <w:rsid w:val="08BA1693"/>
    <w:rsid w:val="08BA6A2E"/>
    <w:rsid w:val="08BF45A4"/>
    <w:rsid w:val="08C12249"/>
    <w:rsid w:val="08C273DC"/>
    <w:rsid w:val="08C576B2"/>
    <w:rsid w:val="08CF4D50"/>
    <w:rsid w:val="08D27BF6"/>
    <w:rsid w:val="08DC1A98"/>
    <w:rsid w:val="08DC46ED"/>
    <w:rsid w:val="08DE602B"/>
    <w:rsid w:val="08E5218B"/>
    <w:rsid w:val="08E91AA1"/>
    <w:rsid w:val="08EC612F"/>
    <w:rsid w:val="08F1760E"/>
    <w:rsid w:val="08F624A4"/>
    <w:rsid w:val="08FB28D6"/>
    <w:rsid w:val="08FB6DB0"/>
    <w:rsid w:val="08FB76E9"/>
    <w:rsid w:val="09002D47"/>
    <w:rsid w:val="0904163D"/>
    <w:rsid w:val="090F0BF1"/>
    <w:rsid w:val="091160D8"/>
    <w:rsid w:val="091451D1"/>
    <w:rsid w:val="091569C4"/>
    <w:rsid w:val="09193CAA"/>
    <w:rsid w:val="091B4182"/>
    <w:rsid w:val="091C599B"/>
    <w:rsid w:val="092007AC"/>
    <w:rsid w:val="09224D8F"/>
    <w:rsid w:val="092330E0"/>
    <w:rsid w:val="0925477F"/>
    <w:rsid w:val="092D1BB8"/>
    <w:rsid w:val="092F6AFE"/>
    <w:rsid w:val="09320FB5"/>
    <w:rsid w:val="09322F0D"/>
    <w:rsid w:val="093341BD"/>
    <w:rsid w:val="09375999"/>
    <w:rsid w:val="09382E20"/>
    <w:rsid w:val="093A7FFD"/>
    <w:rsid w:val="094671CE"/>
    <w:rsid w:val="094E68C4"/>
    <w:rsid w:val="09597B04"/>
    <w:rsid w:val="096C6C46"/>
    <w:rsid w:val="096D6BA1"/>
    <w:rsid w:val="097B5D16"/>
    <w:rsid w:val="098D2EB2"/>
    <w:rsid w:val="09917D73"/>
    <w:rsid w:val="09A0309E"/>
    <w:rsid w:val="09A631F6"/>
    <w:rsid w:val="09AC43EE"/>
    <w:rsid w:val="09B13C74"/>
    <w:rsid w:val="09B40FB4"/>
    <w:rsid w:val="09B86002"/>
    <w:rsid w:val="09BC73C1"/>
    <w:rsid w:val="09CD3AC3"/>
    <w:rsid w:val="09D2755D"/>
    <w:rsid w:val="09D417B2"/>
    <w:rsid w:val="09DC0410"/>
    <w:rsid w:val="09DF3FB6"/>
    <w:rsid w:val="09E11652"/>
    <w:rsid w:val="09E43E0A"/>
    <w:rsid w:val="09E72272"/>
    <w:rsid w:val="09EB2887"/>
    <w:rsid w:val="09F7439A"/>
    <w:rsid w:val="09FA4381"/>
    <w:rsid w:val="09FA7D42"/>
    <w:rsid w:val="09FC691A"/>
    <w:rsid w:val="0A095263"/>
    <w:rsid w:val="0A0A04D3"/>
    <w:rsid w:val="0A0E0055"/>
    <w:rsid w:val="0A193412"/>
    <w:rsid w:val="0A2167EB"/>
    <w:rsid w:val="0A2809EC"/>
    <w:rsid w:val="0A331DF5"/>
    <w:rsid w:val="0A394CA9"/>
    <w:rsid w:val="0A3C10C1"/>
    <w:rsid w:val="0A4A3567"/>
    <w:rsid w:val="0A4F3643"/>
    <w:rsid w:val="0A5715D9"/>
    <w:rsid w:val="0A5D6ECE"/>
    <w:rsid w:val="0A5E4838"/>
    <w:rsid w:val="0A5E69CE"/>
    <w:rsid w:val="0A6104A3"/>
    <w:rsid w:val="0A620FC9"/>
    <w:rsid w:val="0A646E2D"/>
    <w:rsid w:val="0A6C66BA"/>
    <w:rsid w:val="0A6D44BD"/>
    <w:rsid w:val="0A76078C"/>
    <w:rsid w:val="0A782910"/>
    <w:rsid w:val="0A7A2E74"/>
    <w:rsid w:val="0A7A5C5C"/>
    <w:rsid w:val="0A7A5ECF"/>
    <w:rsid w:val="0A7B00FA"/>
    <w:rsid w:val="0A7C3957"/>
    <w:rsid w:val="0A7E1E5F"/>
    <w:rsid w:val="0A8008E1"/>
    <w:rsid w:val="0A860144"/>
    <w:rsid w:val="0A8648ED"/>
    <w:rsid w:val="0A87709F"/>
    <w:rsid w:val="0A9353B3"/>
    <w:rsid w:val="0A942906"/>
    <w:rsid w:val="0A9F5AA3"/>
    <w:rsid w:val="0AA37AA5"/>
    <w:rsid w:val="0AA37D88"/>
    <w:rsid w:val="0AA40BD4"/>
    <w:rsid w:val="0AA46771"/>
    <w:rsid w:val="0AB14A71"/>
    <w:rsid w:val="0AC321EE"/>
    <w:rsid w:val="0AC558E6"/>
    <w:rsid w:val="0AC601BD"/>
    <w:rsid w:val="0AC732DE"/>
    <w:rsid w:val="0AC77907"/>
    <w:rsid w:val="0ACD4604"/>
    <w:rsid w:val="0ACF0DFB"/>
    <w:rsid w:val="0AD20000"/>
    <w:rsid w:val="0AD82858"/>
    <w:rsid w:val="0AD91611"/>
    <w:rsid w:val="0AD91E36"/>
    <w:rsid w:val="0ADB2BA6"/>
    <w:rsid w:val="0ADE554D"/>
    <w:rsid w:val="0ADF157E"/>
    <w:rsid w:val="0AE47994"/>
    <w:rsid w:val="0AE75D12"/>
    <w:rsid w:val="0AEA52A2"/>
    <w:rsid w:val="0AEF7B9F"/>
    <w:rsid w:val="0AF00EFE"/>
    <w:rsid w:val="0AF14212"/>
    <w:rsid w:val="0AF210F7"/>
    <w:rsid w:val="0AF85860"/>
    <w:rsid w:val="0AFD2621"/>
    <w:rsid w:val="0AFF5164"/>
    <w:rsid w:val="0B01368C"/>
    <w:rsid w:val="0B057F4F"/>
    <w:rsid w:val="0B0B542D"/>
    <w:rsid w:val="0B194D89"/>
    <w:rsid w:val="0B1C567B"/>
    <w:rsid w:val="0B1C7A05"/>
    <w:rsid w:val="0B1D33BC"/>
    <w:rsid w:val="0B215037"/>
    <w:rsid w:val="0B222495"/>
    <w:rsid w:val="0B28444B"/>
    <w:rsid w:val="0B2A7363"/>
    <w:rsid w:val="0B2D0D88"/>
    <w:rsid w:val="0B303411"/>
    <w:rsid w:val="0B306BDB"/>
    <w:rsid w:val="0B35589D"/>
    <w:rsid w:val="0B3B46C7"/>
    <w:rsid w:val="0B435D1A"/>
    <w:rsid w:val="0B477723"/>
    <w:rsid w:val="0B4842AD"/>
    <w:rsid w:val="0B4A4C42"/>
    <w:rsid w:val="0B4B77A4"/>
    <w:rsid w:val="0B503B44"/>
    <w:rsid w:val="0B5233A1"/>
    <w:rsid w:val="0B5727D8"/>
    <w:rsid w:val="0B584682"/>
    <w:rsid w:val="0B592B8D"/>
    <w:rsid w:val="0B5C6DF4"/>
    <w:rsid w:val="0B6B23F0"/>
    <w:rsid w:val="0B6D1BA0"/>
    <w:rsid w:val="0B6E29A5"/>
    <w:rsid w:val="0B7016BB"/>
    <w:rsid w:val="0B74785C"/>
    <w:rsid w:val="0B7F51DF"/>
    <w:rsid w:val="0B813C27"/>
    <w:rsid w:val="0B840A57"/>
    <w:rsid w:val="0B864C0C"/>
    <w:rsid w:val="0B8C64D5"/>
    <w:rsid w:val="0B920A32"/>
    <w:rsid w:val="0B963BF8"/>
    <w:rsid w:val="0B9A48A9"/>
    <w:rsid w:val="0B9E5828"/>
    <w:rsid w:val="0BA64C51"/>
    <w:rsid w:val="0BA760D0"/>
    <w:rsid w:val="0BA84D6B"/>
    <w:rsid w:val="0BA96727"/>
    <w:rsid w:val="0BB47B20"/>
    <w:rsid w:val="0BB5246C"/>
    <w:rsid w:val="0BB535CA"/>
    <w:rsid w:val="0BBA1F38"/>
    <w:rsid w:val="0BD067E6"/>
    <w:rsid w:val="0BD34E03"/>
    <w:rsid w:val="0BDC5D3C"/>
    <w:rsid w:val="0BE05230"/>
    <w:rsid w:val="0BE11970"/>
    <w:rsid w:val="0BE3559C"/>
    <w:rsid w:val="0BEB4CC2"/>
    <w:rsid w:val="0BEB5A39"/>
    <w:rsid w:val="0BEF13CF"/>
    <w:rsid w:val="0BF53982"/>
    <w:rsid w:val="0BFD7E13"/>
    <w:rsid w:val="0C037046"/>
    <w:rsid w:val="0C0716CC"/>
    <w:rsid w:val="0C082284"/>
    <w:rsid w:val="0C131DC7"/>
    <w:rsid w:val="0C145CE4"/>
    <w:rsid w:val="0C1F425A"/>
    <w:rsid w:val="0C215934"/>
    <w:rsid w:val="0C2631BC"/>
    <w:rsid w:val="0C2C2891"/>
    <w:rsid w:val="0C2D7DCC"/>
    <w:rsid w:val="0C324EA6"/>
    <w:rsid w:val="0C3477A3"/>
    <w:rsid w:val="0C40688D"/>
    <w:rsid w:val="0C513FEB"/>
    <w:rsid w:val="0C54299D"/>
    <w:rsid w:val="0C581221"/>
    <w:rsid w:val="0C5C7DBC"/>
    <w:rsid w:val="0C5E6115"/>
    <w:rsid w:val="0C6016CA"/>
    <w:rsid w:val="0C656979"/>
    <w:rsid w:val="0C662B4A"/>
    <w:rsid w:val="0C6A1F4D"/>
    <w:rsid w:val="0C756652"/>
    <w:rsid w:val="0C76664C"/>
    <w:rsid w:val="0C7C0554"/>
    <w:rsid w:val="0C804D22"/>
    <w:rsid w:val="0C964645"/>
    <w:rsid w:val="0C985996"/>
    <w:rsid w:val="0C9C4F63"/>
    <w:rsid w:val="0C9F3B5A"/>
    <w:rsid w:val="0CA759EF"/>
    <w:rsid w:val="0CAC5A8E"/>
    <w:rsid w:val="0CBA359B"/>
    <w:rsid w:val="0CBC3E02"/>
    <w:rsid w:val="0CCE0D5C"/>
    <w:rsid w:val="0CD25112"/>
    <w:rsid w:val="0CD90F45"/>
    <w:rsid w:val="0CE518F5"/>
    <w:rsid w:val="0CE527A4"/>
    <w:rsid w:val="0CE77F77"/>
    <w:rsid w:val="0CE84DAD"/>
    <w:rsid w:val="0CEA4585"/>
    <w:rsid w:val="0CF30A60"/>
    <w:rsid w:val="0CFB0448"/>
    <w:rsid w:val="0D0272E1"/>
    <w:rsid w:val="0D07371E"/>
    <w:rsid w:val="0D085CD5"/>
    <w:rsid w:val="0D123427"/>
    <w:rsid w:val="0D144F4E"/>
    <w:rsid w:val="0D167423"/>
    <w:rsid w:val="0D222BF3"/>
    <w:rsid w:val="0D223557"/>
    <w:rsid w:val="0D29549F"/>
    <w:rsid w:val="0D2F4D92"/>
    <w:rsid w:val="0D357500"/>
    <w:rsid w:val="0D3668A7"/>
    <w:rsid w:val="0D392327"/>
    <w:rsid w:val="0D3E0AB0"/>
    <w:rsid w:val="0D4125FF"/>
    <w:rsid w:val="0D465059"/>
    <w:rsid w:val="0D48448C"/>
    <w:rsid w:val="0D5859BF"/>
    <w:rsid w:val="0D586F7E"/>
    <w:rsid w:val="0D615942"/>
    <w:rsid w:val="0D6642B2"/>
    <w:rsid w:val="0D690BEB"/>
    <w:rsid w:val="0D6A04F7"/>
    <w:rsid w:val="0D6D515A"/>
    <w:rsid w:val="0D7D0793"/>
    <w:rsid w:val="0D815A20"/>
    <w:rsid w:val="0D8241DA"/>
    <w:rsid w:val="0D91734B"/>
    <w:rsid w:val="0D966F5F"/>
    <w:rsid w:val="0D9E69A8"/>
    <w:rsid w:val="0DA40C88"/>
    <w:rsid w:val="0DAB0F99"/>
    <w:rsid w:val="0DAB1B56"/>
    <w:rsid w:val="0DB14954"/>
    <w:rsid w:val="0DB228FC"/>
    <w:rsid w:val="0DB514C0"/>
    <w:rsid w:val="0DBD165B"/>
    <w:rsid w:val="0DC0143E"/>
    <w:rsid w:val="0DC346B8"/>
    <w:rsid w:val="0DC53264"/>
    <w:rsid w:val="0DC71864"/>
    <w:rsid w:val="0DC76181"/>
    <w:rsid w:val="0DCA7491"/>
    <w:rsid w:val="0DDA7F38"/>
    <w:rsid w:val="0DDB0986"/>
    <w:rsid w:val="0DDD06BB"/>
    <w:rsid w:val="0DDE4713"/>
    <w:rsid w:val="0DE17245"/>
    <w:rsid w:val="0DE74469"/>
    <w:rsid w:val="0DEE4374"/>
    <w:rsid w:val="0DEF3C94"/>
    <w:rsid w:val="0DF4228D"/>
    <w:rsid w:val="0DF52AAA"/>
    <w:rsid w:val="0DF86DCB"/>
    <w:rsid w:val="0DFB1953"/>
    <w:rsid w:val="0DFC6649"/>
    <w:rsid w:val="0DFF2D63"/>
    <w:rsid w:val="0E0B46A1"/>
    <w:rsid w:val="0E0E08B7"/>
    <w:rsid w:val="0E143ECF"/>
    <w:rsid w:val="0E1B51E4"/>
    <w:rsid w:val="0E205249"/>
    <w:rsid w:val="0E282319"/>
    <w:rsid w:val="0E310FF8"/>
    <w:rsid w:val="0E3A4805"/>
    <w:rsid w:val="0E3B6172"/>
    <w:rsid w:val="0E456E25"/>
    <w:rsid w:val="0E4A6F1D"/>
    <w:rsid w:val="0E537A1E"/>
    <w:rsid w:val="0E5B58B9"/>
    <w:rsid w:val="0E62130E"/>
    <w:rsid w:val="0E650473"/>
    <w:rsid w:val="0E681100"/>
    <w:rsid w:val="0E6B31D8"/>
    <w:rsid w:val="0E73215E"/>
    <w:rsid w:val="0E7D43A6"/>
    <w:rsid w:val="0E813F40"/>
    <w:rsid w:val="0E820509"/>
    <w:rsid w:val="0E832CE4"/>
    <w:rsid w:val="0E896FFE"/>
    <w:rsid w:val="0E8E671F"/>
    <w:rsid w:val="0E8F652D"/>
    <w:rsid w:val="0E9341BB"/>
    <w:rsid w:val="0E9C5605"/>
    <w:rsid w:val="0E9E0984"/>
    <w:rsid w:val="0E9E4DC0"/>
    <w:rsid w:val="0EA6526E"/>
    <w:rsid w:val="0EAF6F74"/>
    <w:rsid w:val="0EB57A21"/>
    <w:rsid w:val="0EB93BF4"/>
    <w:rsid w:val="0EBB3ECC"/>
    <w:rsid w:val="0EC109B9"/>
    <w:rsid w:val="0ED91E77"/>
    <w:rsid w:val="0EDA5675"/>
    <w:rsid w:val="0EE04776"/>
    <w:rsid w:val="0EEA3D8E"/>
    <w:rsid w:val="0EF24883"/>
    <w:rsid w:val="0EF408C9"/>
    <w:rsid w:val="0EF83EC1"/>
    <w:rsid w:val="0F09758C"/>
    <w:rsid w:val="0F120A42"/>
    <w:rsid w:val="0F171CC7"/>
    <w:rsid w:val="0F1C36D3"/>
    <w:rsid w:val="0F237C9A"/>
    <w:rsid w:val="0F294C6C"/>
    <w:rsid w:val="0F317FD1"/>
    <w:rsid w:val="0F343979"/>
    <w:rsid w:val="0F411FE7"/>
    <w:rsid w:val="0F4C0979"/>
    <w:rsid w:val="0F4C3798"/>
    <w:rsid w:val="0F5109C9"/>
    <w:rsid w:val="0F566D59"/>
    <w:rsid w:val="0F5C3DBD"/>
    <w:rsid w:val="0F6064A8"/>
    <w:rsid w:val="0F641CBA"/>
    <w:rsid w:val="0F684009"/>
    <w:rsid w:val="0F6F66F8"/>
    <w:rsid w:val="0F723F3C"/>
    <w:rsid w:val="0F752C30"/>
    <w:rsid w:val="0F802285"/>
    <w:rsid w:val="0F827398"/>
    <w:rsid w:val="0F877AE7"/>
    <w:rsid w:val="0F8C27C0"/>
    <w:rsid w:val="0F9261BA"/>
    <w:rsid w:val="0F934178"/>
    <w:rsid w:val="0F972A29"/>
    <w:rsid w:val="0F997E52"/>
    <w:rsid w:val="0F9E1CE2"/>
    <w:rsid w:val="0F9E5BFD"/>
    <w:rsid w:val="0FAD2C02"/>
    <w:rsid w:val="0FB85E4B"/>
    <w:rsid w:val="0FBD61C4"/>
    <w:rsid w:val="0FC57A5F"/>
    <w:rsid w:val="0FCB1C3D"/>
    <w:rsid w:val="0FD161C4"/>
    <w:rsid w:val="0FD6699C"/>
    <w:rsid w:val="0FE72674"/>
    <w:rsid w:val="0FEB7E0D"/>
    <w:rsid w:val="0FF63D67"/>
    <w:rsid w:val="0FF8224E"/>
    <w:rsid w:val="0FF927D6"/>
    <w:rsid w:val="10022CB0"/>
    <w:rsid w:val="100866C9"/>
    <w:rsid w:val="101008C7"/>
    <w:rsid w:val="101375D5"/>
    <w:rsid w:val="10216F3E"/>
    <w:rsid w:val="10281CAB"/>
    <w:rsid w:val="102A2CD2"/>
    <w:rsid w:val="102B762A"/>
    <w:rsid w:val="1039482C"/>
    <w:rsid w:val="104305A0"/>
    <w:rsid w:val="1045085E"/>
    <w:rsid w:val="10464D9F"/>
    <w:rsid w:val="104650E5"/>
    <w:rsid w:val="104C0CCB"/>
    <w:rsid w:val="105B31EF"/>
    <w:rsid w:val="105F59D9"/>
    <w:rsid w:val="10625187"/>
    <w:rsid w:val="10632A95"/>
    <w:rsid w:val="10650CFF"/>
    <w:rsid w:val="106624CB"/>
    <w:rsid w:val="106845BA"/>
    <w:rsid w:val="106B16E5"/>
    <w:rsid w:val="108037BD"/>
    <w:rsid w:val="10805D57"/>
    <w:rsid w:val="10812657"/>
    <w:rsid w:val="10830267"/>
    <w:rsid w:val="108F770C"/>
    <w:rsid w:val="10903BB8"/>
    <w:rsid w:val="1094346E"/>
    <w:rsid w:val="109458A6"/>
    <w:rsid w:val="10951E9E"/>
    <w:rsid w:val="109E4DDE"/>
    <w:rsid w:val="109F3000"/>
    <w:rsid w:val="10A66BB5"/>
    <w:rsid w:val="10A90238"/>
    <w:rsid w:val="10AF0D25"/>
    <w:rsid w:val="10B72375"/>
    <w:rsid w:val="10B729A8"/>
    <w:rsid w:val="10B937F6"/>
    <w:rsid w:val="10BF066C"/>
    <w:rsid w:val="10C36F86"/>
    <w:rsid w:val="10C554CE"/>
    <w:rsid w:val="10CB6A9B"/>
    <w:rsid w:val="10CC29EB"/>
    <w:rsid w:val="10CF2502"/>
    <w:rsid w:val="10CF643B"/>
    <w:rsid w:val="10D133BF"/>
    <w:rsid w:val="10D21983"/>
    <w:rsid w:val="10D7284B"/>
    <w:rsid w:val="10DC0B43"/>
    <w:rsid w:val="10DD5695"/>
    <w:rsid w:val="10DE1A89"/>
    <w:rsid w:val="10DE628A"/>
    <w:rsid w:val="10DE7CCF"/>
    <w:rsid w:val="10E70C01"/>
    <w:rsid w:val="10F46CD2"/>
    <w:rsid w:val="10F63A48"/>
    <w:rsid w:val="1104143A"/>
    <w:rsid w:val="1108553C"/>
    <w:rsid w:val="11092752"/>
    <w:rsid w:val="11110886"/>
    <w:rsid w:val="11156B5F"/>
    <w:rsid w:val="11213468"/>
    <w:rsid w:val="112213FC"/>
    <w:rsid w:val="112A0E5B"/>
    <w:rsid w:val="112C5325"/>
    <w:rsid w:val="112C7C98"/>
    <w:rsid w:val="112F1AE5"/>
    <w:rsid w:val="11307502"/>
    <w:rsid w:val="113334A9"/>
    <w:rsid w:val="11335216"/>
    <w:rsid w:val="113610A7"/>
    <w:rsid w:val="113D0BD7"/>
    <w:rsid w:val="11415019"/>
    <w:rsid w:val="114657CA"/>
    <w:rsid w:val="11471DEC"/>
    <w:rsid w:val="11494296"/>
    <w:rsid w:val="11501346"/>
    <w:rsid w:val="11510737"/>
    <w:rsid w:val="115442DC"/>
    <w:rsid w:val="115D0895"/>
    <w:rsid w:val="11647640"/>
    <w:rsid w:val="11744F0C"/>
    <w:rsid w:val="11796AE5"/>
    <w:rsid w:val="1184410A"/>
    <w:rsid w:val="118603A6"/>
    <w:rsid w:val="119C4D6A"/>
    <w:rsid w:val="119E4DE7"/>
    <w:rsid w:val="11A13830"/>
    <w:rsid w:val="11A55C03"/>
    <w:rsid w:val="11B036C7"/>
    <w:rsid w:val="11BE738E"/>
    <w:rsid w:val="11C63C86"/>
    <w:rsid w:val="11CE6E93"/>
    <w:rsid w:val="11D371FD"/>
    <w:rsid w:val="11DF7B3A"/>
    <w:rsid w:val="11EA25D5"/>
    <w:rsid w:val="11EE6DCA"/>
    <w:rsid w:val="11EF0378"/>
    <w:rsid w:val="11F128D4"/>
    <w:rsid w:val="11F3526B"/>
    <w:rsid w:val="11F702EF"/>
    <w:rsid w:val="11F86AFE"/>
    <w:rsid w:val="12002E3B"/>
    <w:rsid w:val="1206407A"/>
    <w:rsid w:val="120A0329"/>
    <w:rsid w:val="12120705"/>
    <w:rsid w:val="12274679"/>
    <w:rsid w:val="122B667F"/>
    <w:rsid w:val="12307737"/>
    <w:rsid w:val="12376129"/>
    <w:rsid w:val="123B714B"/>
    <w:rsid w:val="123D1C01"/>
    <w:rsid w:val="124023F6"/>
    <w:rsid w:val="12431197"/>
    <w:rsid w:val="124654AF"/>
    <w:rsid w:val="12480DE3"/>
    <w:rsid w:val="124D3BE6"/>
    <w:rsid w:val="125245BE"/>
    <w:rsid w:val="125E26F9"/>
    <w:rsid w:val="126129A3"/>
    <w:rsid w:val="12654091"/>
    <w:rsid w:val="12684E43"/>
    <w:rsid w:val="126B41F6"/>
    <w:rsid w:val="126C6635"/>
    <w:rsid w:val="128240B1"/>
    <w:rsid w:val="128E200F"/>
    <w:rsid w:val="12905F0B"/>
    <w:rsid w:val="1298260B"/>
    <w:rsid w:val="129D50AA"/>
    <w:rsid w:val="12A01EC8"/>
    <w:rsid w:val="12A37F6B"/>
    <w:rsid w:val="12A85EC5"/>
    <w:rsid w:val="12A93F60"/>
    <w:rsid w:val="12B0212D"/>
    <w:rsid w:val="12B20D6A"/>
    <w:rsid w:val="12B322E9"/>
    <w:rsid w:val="12BB2356"/>
    <w:rsid w:val="12BE5707"/>
    <w:rsid w:val="12C44259"/>
    <w:rsid w:val="12C973E9"/>
    <w:rsid w:val="12CB752C"/>
    <w:rsid w:val="12CD54BA"/>
    <w:rsid w:val="12D1493E"/>
    <w:rsid w:val="12DA4151"/>
    <w:rsid w:val="12DE5AA3"/>
    <w:rsid w:val="12E12EDF"/>
    <w:rsid w:val="12E406BC"/>
    <w:rsid w:val="12EC16B3"/>
    <w:rsid w:val="12EE094C"/>
    <w:rsid w:val="12EE3831"/>
    <w:rsid w:val="12EF39F1"/>
    <w:rsid w:val="12F53D0D"/>
    <w:rsid w:val="12FC2777"/>
    <w:rsid w:val="12FC3DC2"/>
    <w:rsid w:val="13077776"/>
    <w:rsid w:val="130969F4"/>
    <w:rsid w:val="13096C1B"/>
    <w:rsid w:val="130B5931"/>
    <w:rsid w:val="130D399B"/>
    <w:rsid w:val="130E5589"/>
    <w:rsid w:val="131C61D5"/>
    <w:rsid w:val="131C6844"/>
    <w:rsid w:val="131D7918"/>
    <w:rsid w:val="1323777A"/>
    <w:rsid w:val="13254FDA"/>
    <w:rsid w:val="132E1516"/>
    <w:rsid w:val="132F5C1E"/>
    <w:rsid w:val="1331725B"/>
    <w:rsid w:val="13362A82"/>
    <w:rsid w:val="133F4332"/>
    <w:rsid w:val="13421F12"/>
    <w:rsid w:val="13445761"/>
    <w:rsid w:val="1348283F"/>
    <w:rsid w:val="134B3396"/>
    <w:rsid w:val="134C3392"/>
    <w:rsid w:val="134D438F"/>
    <w:rsid w:val="134E7B51"/>
    <w:rsid w:val="136B2BD9"/>
    <w:rsid w:val="136E0654"/>
    <w:rsid w:val="13702E67"/>
    <w:rsid w:val="13710D11"/>
    <w:rsid w:val="13755F24"/>
    <w:rsid w:val="13763760"/>
    <w:rsid w:val="137778F1"/>
    <w:rsid w:val="137B1A63"/>
    <w:rsid w:val="137C7919"/>
    <w:rsid w:val="137D12C6"/>
    <w:rsid w:val="1386571F"/>
    <w:rsid w:val="138E4B2E"/>
    <w:rsid w:val="13926679"/>
    <w:rsid w:val="139B7900"/>
    <w:rsid w:val="13AB10C3"/>
    <w:rsid w:val="13AB32BB"/>
    <w:rsid w:val="13AF6910"/>
    <w:rsid w:val="13B66AE6"/>
    <w:rsid w:val="13B94ADF"/>
    <w:rsid w:val="13BC2027"/>
    <w:rsid w:val="13BE37A7"/>
    <w:rsid w:val="13BF1E66"/>
    <w:rsid w:val="13C92A31"/>
    <w:rsid w:val="13CC3968"/>
    <w:rsid w:val="13D31DF6"/>
    <w:rsid w:val="13D51CEE"/>
    <w:rsid w:val="13DA5CB8"/>
    <w:rsid w:val="13DD428B"/>
    <w:rsid w:val="13DF3B41"/>
    <w:rsid w:val="13E0338C"/>
    <w:rsid w:val="13EB4D36"/>
    <w:rsid w:val="13EE0E4B"/>
    <w:rsid w:val="13F40833"/>
    <w:rsid w:val="13FC25C4"/>
    <w:rsid w:val="14005C22"/>
    <w:rsid w:val="14041B5B"/>
    <w:rsid w:val="14086309"/>
    <w:rsid w:val="1413722A"/>
    <w:rsid w:val="141E453A"/>
    <w:rsid w:val="141F5AFE"/>
    <w:rsid w:val="14223823"/>
    <w:rsid w:val="142719F6"/>
    <w:rsid w:val="142E0F93"/>
    <w:rsid w:val="142F1F6D"/>
    <w:rsid w:val="143416D6"/>
    <w:rsid w:val="14397000"/>
    <w:rsid w:val="143B6C9F"/>
    <w:rsid w:val="143C1B5C"/>
    <w:rsid w:val="143C67C3"/>
    <w:rsid w:val="143E42F5"/>
    <w:rsid w:val="14612821"/>
    <w:rsid w:val="146B05E1"/>
    <w:rsid w:val="146B31C5"/>
    <w:rsid w:val="146C0821"/>
    <w:rsid w:val="14853944"/>
    <w:rsid w:val="14894E2F"/>
    <w:rsid w:val="148C1B36"/>
    <w:rsid w:val="14901548"/>
    <w:rsid w:val="14991348"/>
    <w:rsid w:val="149F3E4D"/>
    <w:rsid w:val="14B15D22"/>
    <w:rsid w:val="14B64F93"/>
    <w:rsid w:val="14B97A92"/>
    <w:rsid w:val="14C655E5"/>
    <w:rsid w:val="14C861FB"/>
    <w:rsid w:val="14CD1FF7"/>
    <w:rsid w:val="14D0360E"/>
    <w:rsid w:val="14D36B81"/>
    <w:rsid w:val="14DC30F3"/>
    <w:rsid w:val="14DD7075"/>
    <w:rsid w:val="14E1405F"/>
    <w:rsid w:val="14E562E0"/>
    <w:rsid w:val="14E845CC"/>
    <w:rsid w:val="14EA3BE1"/>
    <w:rsid w:val="14EF601F"/>
    <w:rsid w:val="14F33418"/>
    <w:rsid w:val="14FA0013"/>
    <w:rsid w:val="14FA5E80"/>
    <w:rsid w:val="14FF23E5"/>
    <w:rsid w:val="14FF6E26"/>
    <w:rsid w:val="150022D1"/>
    <w:rsid w:val="15050672"/>
    <w:rsid w:val="15074E61"/>
    <w:rsid w:val="150D4E1E"/>
    <w:rsid w:val="150F1ED6"/>
    <w:rsid w:val="15142668"/>
    <w:rsid w:val="151D206E"/>
    <w:rsid w:val="15286794"/>
    <w:rsid w:val="15286AB8"/>
    <w:rsid w:val="152A507B"/>
    <w:rsid w:val="152C765F"/>
    <w:rsid w:val="15322FA1"/>
    <w:rsid w:val="153743E1"/>
    <w:rsid w:val="15401471"/>
    <w:rsid w:val="154C4425"/>
    <w:rsid w:val="15515F87"/>
    <w:rsid w:val="155520BD"/>
    <w:rsid w:val="155F033A"/>
    <w:rsid w:val="156510DE"/>
    <w:rsid w:val="15661E7D"/>
    <w:rsid w:val="156E03F6"/>
    <w:rsid w:val="15710A67"/>
    <w:rsid w:val="15753EFF"/>
    <w:rsid w:val="15786EBF"/>
    <w:rsid w:val="157924C7"/>
    <w:rsid w:val="157F44A7"/>
    <w:rsid w:val="15823112"/>
    <w:rsid w:val="15831A68"/>
    <w:rsid w:val="158E7CA3"/>
    <w:rsid w:val="158F7009"/>
    <w:rsid w:val="15907E04"/>
    <w:rsid w:val="15913216"/>
    <w:rsid w:val="159B2DD6"/>
    <w:rsid w:val="159D06A1"/>
    <w:rsid w:val="159D726A"/>
    <w:rsid w:val="15A07313"/>
    <w:rsid w:val="15A313AC"/>
    <w:rsid w:val="15AB4039"/>
    <w:rsid w:val="15AC5474"/>
    <w:rsid w:val="15B21890"/>
    <w:rsid w:val="15BD36C0"/>
    <w:rsid w:val="15BF2D1B"/>
    <w:rsid w:val="15BF6870"/>
    <w:rsid w:val="15C51ED2"/>
    <w:rsid w:val="15CF095D"/>
    <w:rsid w:val="15D103CA"/>
    <w:rsid w:val="15D10DCA"/>
    <w:rsid w:val="15D65621"/>
    <w:rsid w:val="15D72135"/>
    <w:rsid w:val="15DC7DEF"/>
    <w:rsid w:val="15DF306C"/>
    <w:rsid w:val="15EB220D"/>
    <w:rsid w:val="15EF7E12"/>
    <w:rsid w:val="15F20A86"/>
    <w:rsid w:val="1603237C"/>
    <w:rsid w:val="160665A4"/>
    <w:rsid w:val="1607459A"/>
    <w:rsid w:val="160D3373"/>
    <w:rsid w:val="160F04AD"/>
    <w:rsid w:val="16147D16"/>
    <w:rsid w:val="161535BF"/>
    <w:rsid w:val="161C2BC7"/>
    <w:rsid w:val="16277413"/>
    <w:rsid w:val="163367B4"/>
    <w:rsid w:val="1634538F"/>
    <w:rsid w:val="16373386"/>
    <w:rsid w:val="16374A54"/>
    <w:rsid w:val="1639121D"/>
    <w:rsid w:val="163E35B0"/>
    <w:rsid w:val="163F40E2"/>
    <w:rsid w:val="16426B8B"/>
    <w:rsid w:val="16446714"/>
    <w:rsid w:val="16481886"/>
    <w:rsid w:val="164E41C9"/>
    <w:rsid w:val="165266E7"/>
    <w:rsid w:val="16542547"/>
    <w:rsid w:val="16554F76"/>
    <w:rsid w:val="165567F1"/>
    <w:rsid w:val="16564785"/>
    <w:rsid w:val="165811A6"/>
    <w:rsid w:val="165D528E"/>
    <w:rsid w:val="166313A7"/>
    <w:rsid w:val="166D7AEE"/>
    <w:rsid w:val="167006B3"/>
    <w:rsid w:val="16765CF9"/>
    <w:rsid w:val="167B0CE8"/>
    <w:rsid w:val="1680569C"/>
    <w:rsid w:val="16844690"/>
    <w:rsid w:val="168618B8"/>
    <w:rsid w:val="16886F66"/>
    <w:rsid w:val="16932C4F"/>
    <w:rsid w:val="16952D61"/>
    <w:rsid w:val="16961D80"/>
    <w:rsid w:val="169C5B4A"/>
    <w:rsid w:val="169E43BB"/>
    <w:rsid w:val="16A06998"/>
    <w:rsid w:val="16A1248C"/>
    <w:rsid w:val="16A715B4"/>
    <w:rsid w:val="16A71D6A"/>
    <w:rsid w:val="16AC1D7E"/>
    <w:rsid w:val="16AE2AD6"/>
    <w:rsid w:val="16BC3D80"/>
    <w:rsid w:val="16BD2C63"/>
    <w:rsid w:val="16C03FA8"/>
    <w:rsid w:val="16C20D93"/>
    <w:rsid w:val="16C908C1"/>
    <w:rsid w:val="16C941AB"/>
    <w:rsid w:val="16CE431A"/>
    <w:rsid w:val="16D37FC1"/>
    <w:rsid w:val="16D436D3"/>
    <w:rsid w:val="16D55A26"/>
    <w:rsid w:val="16DA6A41"/>
    <w:rsid w:val="16DF1B6A"/>
    <w:rsid w:val="16DF490F"/>
    <w:rsid w:val="16E22FFF"/>
    <w:rsid w:val="16F06188"/>
    <w:rsid w:val="16F1047C"/>
    <w:rsid w:val="16F24D6E"/>
    <w:rsid w:val="16F27B2F"/>
    <w:rsid w:val="16F34581"/>
    <w:rsid w:val="16F77670"/>
    <w:rsid w:val="16FA2F57"/>
    <w:rsid w:val="16FA6968"/>
    <w:rsid w:val="16FB0EAA"/>
    <w:rsid w:val="17080B36"/>
    <w:rsid w:val="170B1411"/>
    <w:rsid w:val="17251228"/>
    <w:rsid w:val="172C190E"/>
    <w:rsid w:val="17313DBB"/>
    <w:rsid w:val="173642F1"/>
    <w:rsid w:val="173B2CBB"/>
    <w:rsid w:val="173E6BC2"/>
    <w:rsid w:val="17442B74"/>
    <w:rsid w:val="1746166A"/>
    <w:rsid w:val="174C0B25"/>
    <w:rsid w:val="17515D17"/>
    <w:rsid w:val="175225A9"/>
    <w:rsid w:val="175E7109"/>
    <w:rsid w:val="175F762D"/>
    <w:rsid w:val="17605E59"/>
    <w:rsid w:val="176D2223"/>
    <w:rsid w:val="176E5AAD"/>
    <w:rsid w:val="176F11C2"/>
    <w:rsid w:val="17716C8E"/>
    <w:rsid w:val="17733879"/>
    <w:rsid w:val="178045D0"/>
    <w:rsid w:val="17830166"/>
    <w:rsid w:val="178555C1"/>
    <w:rsid w:val="178828FE"/>
    <w:rsid w:val="178B5941"/>
    <w:rsid w:val="179A1BF1"/>
    <w:rsid w:val="179B3199"/>
    <w:rsid w:val="17A33B89"/>
    <w:rsid w:val="17A54224"/>
    <w:rsid w:val="17A55683"/>
    <w:rsid w:val="17AD665D"/>
    <w:rsid w:val="17B03FD7"/>
    <w:rsid w:val="17B152CC"/>
    <w:rsid w:val="17B45059"/>
    <w:rsid w:val="17B8584E"/>
    <w:rsid w:val="17BE238F"/>
    <w:rsid w:val="17BF7443"/>
    <w:rsid w:val="17D65AF0"/>
    <w:rsid w:val="17DD3C4A"/>
    <w:rsid w:val="17DE2C4B"/>
    <w:rsid w:val="17F62CAF"/>
    <w:rsid w:val="17FB6335"/>
    <w:rsid w:val="17FE7193"/>
    <w:rsid w:val="180A5128"/>
    <w:rsid w:val="180C16C3"/>
    <w:rsid w:val="181227BC"/>
    <w:rsid w:val="18144B2E"/>
    <w:rsid w:val="1816449B"/>
    <w:rsid w:val="181C5707"/>
    <w:rsid w:val="18216B8A"/>
    <w:rsid w:val="18271570"/>
    <w:rsid w:val="182A77A3"/>
    <w:rsid w:val="18301DAA"/>
    <w:rsid w:val="183D5BC2"/>
    <w:rsid w:val="18406503"/>
    <w:rsid w:val="18457E93"/>
    <w:rsid w:val="184E4896"/>
    <w:rsid w:val="18544A4F"/>
    <w:rsid w:val="1855371E"/>
    <w:rsid w:val="18560CAD"/>
    <w:rsid w:val="186D2EF5"/>
    <w:rsid w:val="187362C4"/>
    <w:rsid w:val="187545CF"/>
    <w:rsid w:val="1877046D"/>
    <w:rsid w:val="187A16E0"/>
    <w:rsid w:val="187D0D0A"/>
    <w:rsid w:val="187D43CE"/>
    <w:rsid w:val="188327CB"/>
    <w:rsid w:val="18836D5B"/>
    <w:rsid w:val="188B6184"/>
    <w:rsid w:val="18A06528"/>
    <w:rsid w:val="18A31B7F"/>
    <w:rsid w:val="18AF00FC"/>
    <w:rsid w:val="18B57A11"/>
    <w:rsid w:val="18B70484"/>
    <w:rsid w:val="18B83042"/>
    <w:rsid w:val="18C120BC"/>
    <w:rsid w:val="18C1482D"/>
    <w:rsid w:val="18CA6615"/>
    <w:rsid w:val="18D712E8"/>
    <w:rsid w:val="18DE0827"/>
    <w:rsid w:val="18DF25A4"/>
    <w:rsid w:val="18E4078D"/>
    <w:rsid w:val="18EF4C22"/>
    <w:rsid w:val="18F009F7"/>
    <w:rsid w:val="18F21B8A"/>
    <w:rsid w:val="18F53D88"/>
    <w:rsid w:val="18FA37F2"/>
    <w:rsid w:val="18FC2B99"/>
    <w:rsid w:val="19010BA7"/>
    <w:rsid w:val="19076E72"/>
    <w:rsid w:val="19077523"/>
    <w:rsid w:val="190F6C58"/>
    <w:rsid w:val="191344EC"/>
    <w:rsid w:val="19161B88"/>
    <w:rsid w:val="19164014"/>
    <w:rsid w:val="19234D10"/>
    <w:rsid w:val="1925244E"/>
    <w:rsid w:val="19294D1D"/>
    <w:rsid w:val="19304F5E"/>
    <w:rsid w:val="193B58FE"/>
    <w:rsid w:val="193D5B8D"/>
    <w:rsid w:val="194F199E"/>
    <w:rsid w:val="19587032"/>
    <w:rsid w:val="195A3EF5"/>
    <w:rsid w:val="195C5F46"/>
    <w:rsid w:val="195D4D8F"/>
    <w:rsid w:val="196B1356"/>
    <w:rsid w:val="19724549"/>
    <w:rsid w:val="197431E8"/>
    <w:rsid w:val="1974743A"/>
    <w:rsid w:val="1975458D"/>
    <w:rsid w:val="197B0865"/>
    <w:rsid w:val="19831D76"/>
    <w:rsid w:val="19875DC6"/>
    <w:rsid w:val="19884618"/>
    <w:rsid w:val="198C7715"/>
    <w:rsid w:val="19900EA4"/>
    <w:rsid w:val="1998232D"/>
    <w:rsid w:val="199A2DDB"/>
    <w:rsid w:val="199D6A85"/>
    <w:rsid w:val="19A606F4"/>
    <w:rsid w:val="19B50EB0"/>
    <w:rsid w:val="19C50385"/>
    <w:rsid w:val="19CC61D4"/>
    <w:rsid w:val="19CF2CD4"/>
    <w:rsid w:val="19D42DBF"/>
    <w:rsid w:val="19D97E24"/>
    <w:rsid w:val="19DD29CA"/>
    <w:rsid w:val="19DF0D01"/>
    <w:rsid w:val="19E44EFF"/>
    <w:rsid w:val="19EB0279"/>
    <w:rsid w:val="19F53808"/>
    <w:rsid w:val="19F7674A"/>
    <w:rsid w:val="19FC0C40"/>
    <w:rsid w:val="19FF2A68"/>
    <w:rsid w:val="1A0207E5"/>
    <w:rsid w:val="1A055CE3"/>
    <w:rsid w:val="1A063C69"/>
    <w:rsid w:val="1A065B0A"/>
    <w:rsid w:val="1A200EBD"/>
    <w:rsid w:val="1A2519F7"/>
    <w:rsid w:val="1A2D2C6A"/>
    <w:rsid w:val="1A2E565B"/>
    <w:rsid w:val="1A3129A2"/>
    <w:rsid w:val="1A3168F5"/>
    <w:rsid w:val="1A332F12"/>
    <w:rsid w:val="1A3A0BE6"/>
    <w:rsid w:val="1A3B3FC5"/>
    <w:rsid w:val="1A3B753C"/>
    <w:rsid w:val="1A3B7C41"/>
    <w:rsid w:val="1A3D4271"/>
    <w:rsid w:val="1A3E1DA3"/>
    <w:rsid w:val="1A4110F6"/>
    <w:rsid w:val="1A413622"/>
    <w:rsid w:val="1A413FFF"/>
    <w:rsid w:val="1A4243BB"/>
    <w:rsid w:val="1A430892"/>
    <w:rsid w:val="1A437302"/>
    <w:rsid w:val="1A471FA2"/>
    <w:rsid w:val="1A4951D6"/>
    <w:rsid w:val="1A50401A"/>
    <w:rsid w:val="1A514B3A"/>
    <w:rsid w:val="1A537FE8"/>
    <w:rsid w:val="1A547060"/>
    <w:rsid w:val="1A551D7A"/>
    <w:rsid w:val="1A591588"/>
    <w:rsid w:val="1A625D39"/>
    <w:rsid w:val="1A67242B"/>
    <w:rsid w:val="1A673513"/>
    <w:rsid w:val="1A676FD2"/>
    <w:rsid w:val="1A6B1D7F"/>
    <w:rsid w:val="1A73531D"/>
    <w:rsid w:val="1A785DD9"/>
    <w:rsid w:val="1A7C2A99"/>
    <w:rsid w:val="1A872451"/>
    <w:rsid w:val="1A8A7D99"/>
    <w:rsid w:val="1A93317C"/>
    <w:rsid w:val="1AA440D0"/>
    <w:rsid w:val="1AAA1233"/>
    <w:rsid w:val="1AAA75F2"/>
    <w:rsid w:val="1AC031C9"/>
    <w:rsid w:val="1AC80F8A"/>
    <w:rsid w:val="1AC84BC7"/>
    <w:rsid w:val="1ACE4AD7"/>
    <w:rsid w:val="1AD060DB"/>
    <w:rsid w:val="1AD20B1D"/>
    <w:rsid w:val="1ADC4E7D"/>
    <w:rsid w:val="1AE156E8"/>
    <w:rsid w:val="1AE33CF4"/>
    <w:rsid w:val="1AF4060B"/>
    <w:rsid w:val="1AFB485C"/>
    <w:rsid w:val="1AFE7E88"/>
    <w:rsid w:val="1B09577A"/>
    <w:rsid w:val="1B0C1569"/>
    <w:rsid w:val="1B152A52"/>
    <w:rsid w:val="1B156AB7"/>
    <w:rsid w:val="1B1612B6"/>
    <w:rsid w:val="1B1B46BD"/>
    <w:rsid w:val="1B264AB8"/>
    <w:rsid w:val="1B2B6878"/>
    <w:rsid w:val="1B2D4374"/>
    <w:rsid w:val="1B320CED"/>
    <w:rsid w:val="1B375393"/>
    <w:rsid w:val="1B3B5530"/>
    <w:rsid w:val="1B4368FA"/>
    <w:rsid w:val="1B4542E3"/>
    <w:rsid w:val="1B4668E5"/>
    <w:rsid w:val="1B4A664B"/>
    <w:rsid w:val="1B4B0E3A"/>
    <w:rsid w:val="1B5138A0"/>
    <w:rsid w:val="1B572293"/>
    <w:rsid w:val="1B586C82"/>
    <w:rsid w:val="1B5B71A3"/>
    <w:rsid w:val="1B5F0ECC"/>
    <w:rsid w:val="1B65563D"/>
    <w:rsid w:val="1B67685E"/>
    <w:rsid w:val="1B6C1C04"/>
    <w:rsid w:val="1B6E70A2"/>
    <w:rsid w:val="1B702451"/>
    <w:rsid w:val="1B7061E0"/>
    <w:rsid w:val="1B7D3B7E"/>
    <w:rsid w:val="1B8B5A27"/>
    <w:rsid w:val="1B99573B"/>
    <w:rsid w:val="1BA52C65"/>
    <w:rsid w:val="1BA61A88"/>
    <w:rsid w:val="1BAC5BFB"/>
    <w:rsid w:val="1BB03CEA"/>
    <w:rsid w:val="1BB47C6B"/>
    <w:rsid w:val="1BB728F1"/>
    <w:rsid w:val="1BB94C5E"/>
    <w:rsid w:val="1BBD78EF"/>
    <w:rsid w:val="1BBF3DF4"/>
    <w:rsid w:val="1BC944CA"/>
    <w:rsid w:val="1BDA3373"/>
    <w:rsid w:val="1BE97D47"/>
    <w:rsid w:val="1BED4C63"/>
    <w:rsid w:val="1BF07F0D"/>
    <w:rsid w:val="1BFB3F9C"/>
    <w:rsid w:val="1BFD7805"/>
    <w:rsid w:val="1BFE40D3"/>
    <w:rsid w:val="1BFF6E19"/>
    <w:rsid w:val="1C0A2CDF"/>
    <w:rsid w:val="1C0A3A2D"/>
    <w:rsid w:val="1C0C46AE"/>
    <w:rsid w:val="1C175818"/>
    <w:rsid w:val="1C19604A"/>
    <w:rsid w:val="1C1A5E23"/>
    <w:rsid w:val="1C2712FA"/>
    <w:rsid w:val="1C2A5F1F"/>
    <w:rsid w:val="1C2D0830"/>
    <w:rsid w:val="1C311EC8"/>
    <w:rsid w:val="1C393F7F"/>
    <w:rsid w:val="1C3D6B63"/>
    <w:rsid w:val="1C453B8A"/>
    <w:rsid w:val="1C4D24E6"/>
    <w:rsid w:val="1C4F4B73"/>
    <w:rsid w:val="1C534CC0"/>
    <w:rsid w:val="1C562F08"/>
    <w:rsid w:val="1C591898"/>
    <w:rsid w:val="1C630A87"/>
    <w:rsid w:val="1C7872F8"/>
    <w:rsid w:val="1C82618D"/>
    <w:rsid w:val="1C856E3E"/>
    <w:rsid w:val="1C8D68FE"/>
    <w:rsid w:val="1C8D7615"/>
    <w:rsid w:val="1C913CA3"/>
    <w:rsid w:val="1C937D88"/>
    <w:rsid w:val="1C946292"/>
    <w:rsid w:val="1C98111A"/>
    <w:rsid w:val="1CAA7BAF"/>
    <w:rsid w:val="1CB6203D"/>
    <w:rsid w:val="1CBE58E5"/>
    <w:rsid w:val="1CC41DE5"/>
    <w:rsid w:val="1CC45194"/>
    <w:rsid w:val="1CC7317A"/>
    <w:rsid w:val="1CD121FE"/>
    <w:rsid w:val="1CD60AC2"/>
    <w:rsid w:val="1CD62583"/>
    <w:rsid w:val="1CD824EF"/>
    <w:rsid w:val="1CDB2883"/>
    <w:rsid w:val="1CE11909"/>
    <w:rsid w:val="1CE50BAF"/>
    <w:rsid w:val="1CE53F61"/>
    <w:rsid w:val="1CE9015E"/>
    <w:rsid w:val="1CEB100A"/>
    <w:rsid w:val="1CEF3834"/>
    <w:rsid w:val="1CF05482"/>
    <w:rsid w:val="1CF21FA7"/>
    <w:rsid w:val="1CF40B98"/>
    <w:rsid w:val="1D037DF0"/>
    <w:rsid w:val="1D1241CC"/>
    <w:rsid w:val="1D151B49"/>
    <w:rsid w:val="1D1A61C7"/>
    <w:rsid w:val="1D1C63EE"/>
    <w:rsid w:val="1D1D310C"/>
    <w:rsid w:val="1D1F1BCA"/>
    <w:rsid w:val="1D216171"/>
    <w:rsid w:val="1D255157"/>
    <w:rsid w:val="1D284DD9"/>
    <w:rsid w:val="1D2B2847"/>
    <w:rsid w:val="1D2B4BDB"/>
    <w:rsid w:val="1D31038F"/>
    <w:rsid w:val="1D3339E6"/>
    <w:rsid w:val="1D3645D7"/>
    <w:rsid w:val="1D3836AD"/>
    <w:rsid w:val="1D3A6AAF"/>
    <w:rsid w:val="1D490CFC"/>
    <w:rsid w:val="1D494834"/>
    <w:rsid w:val="1D4F1310"/>
    <w:rsid w:val="1D543505"/>
    <w:rsid w:val="1D5A22B2"/>
    <w:rsid w:val="1D69785E"/>
    <w:rsid w:val="1D6F2115"/>
    <w:rsid w:val="1D717800"/>
    <w:rsid w:val="1D722A11"/>
    <w:rsid w:val="1D73437F"/>
    <w:rsid w:val="1D7B731D"/>
    <w:rsid w:val="1D80405F"/>
    <w:rsid w:val="1D8612F4"/>
    <w:rsid w:val="1D95191E"/>
    <w:rsid w:val="1DA05543"/>
    <w:rsid w:val="1DA36DB0"/>
    <w:rsid w:val="1DA70405"/>
    <w:rsid w:val="1DA7671B"/>
    <w:rsid w:val="1DAD467B"/>
    <w:rsid w:val="1DBC4C99"/>
    <w:rsid w:val="1DBE402F"/>
    <w:rsid w:val="1DC440DC"/>
    <w:rsid w:val="1DC44B42"/>
    <w:rsid w:val="1DCA27AD"/>
    <w:rsid w:val="1DCA598A"/>
    <w:rsid w:val="1DCC7247"/>
    <w:rsid w:val="1DD22E92"/>
    <w:rsid w:val="1DD52E51"/>
    <w:rsid w:val="1DDF50C5"/>
    <w:rsid w:val="1DE33AED"/>
    <w:rsid w:val="1DE85A1C"/>
    <w:rsid w:val="1DF548F1"/>
    <w:rsid w:val="1DFD6276"/>
    <w:rsid w:val="1DFF24FD"/>
    <w:rsid w:val="1E035B0C"/>
    <w:rsid w:val="1E0C0CAD"/>
    <w:rsid w:val="1E0D6AC0"/>
    <w:rsid w:val="1E0E5C41"/>
    <w:rsid w:val="1E106F71"/>
    <w:rsid w:val="1E14112E"/>
    <w:rsid w:val="1E14276A"/>
    <w:rsid w:val="1E184A44"/>
    <w:rsid w:val="1E242060"/>
    <w:rsid w:val="1E2B0555"/>
    <w:rsid w:val="1E2B5075"/>
    <w:rsid w:val="1E2E10EA"/>
    <w:rsid w:val="1E3320D1"/>
    <w:rsid w:val="1E3A1BC8"/>
    <w:rsid w:val="1E3B1E06"/>
    <w:rsid w:val="1E42337D"/>
    <w:rsid w:val="1E4473B7"/>
    <w:rsid w:val="1E474640"/>
    <w:rsid w:val="1E4B3DCC"/>
    <w:rsid w:val="1E4D0DE6"/>
    <w:rsid w:val="1E5168B8"/>
    <w:rsid w:val="1E5833F9"/>
    <w:rsid w:val="1E5E5C25"/>
    <w:rsid w:val="1E635478"/>
    <w:rsid w:val="1E651F92"/>
    <w:rsid w:val="1E684069"/>
    <w:rsid w:val="1E6912CF"/>
    <w:rsid w:val="1E691D5F"/>
    <w:rsid w:val="1E7F090B"/>
    <w:rsid w:val="1E821B6B"/>
    <w:rsid w:val="1E8645D2"/>
    <w:rsid w:val="1E895372"/>
    <w:rsid w:val="1E8A4F5E"/>
    <w:rsid w:val="1E8D4D16"/>
    <w:rsid w:val="1E9027B4"/>
    <w:rsid w:val="1E97635B"/>
    <w:rsid w:val="1E9A5B08"/>
    <w:rsid w:val="1E9A5D49"/>
    <w:rsid w:val="1EA22DB2"/>
    <w:rsid w:val="1EA3006D"/>
    <w:rsid w:val="1EAA0F84"/>
    <w:rsid w:val="1EB72233"/>
    <w:rsid w:val="1EBA3082"/>
    <w:rsid w:val="1EBE2D46"/>
    <w:rsid w:val="1EBE5C51"/>
    <w:rsid w:val="1EC27D37"/>
    <w:rsid w:val="1ECC0EC0"/>
    <w:rsid w:val="1ECD0713"/>
    <w:rsid w:val="1ED422F9"/>
    <w:rsid w:val="1EDC3068"/>
    <w:rsid w:val="1EDD28D0"/>
    <w:rsid w:val="1EDE7E55"/>
    <w:rsid w:val="1EDF4E49"/>
    <w:rsid w:val="1EE14B15"/>
    <w:rsid w:val="1EE500D2"/>
    <w:rsid w:val="1EE852F2"/>
    <w:rsid w:val="1EE935B0"/>
    <w:rsid w:val="1EEF6BF1"/>
    <w:rsid w:val="1EF6452E"/>
    <w:rsid w:val="1EF739A4"/>
    <w:rsid w:val="1EFF0091"/>
    <w:rsid w:val="1F0A472B"/>
    <w:rsid w:val="1F0B7557"/>
    <w:rsid w:val="1F124E9D"/>
    <w:rsid w:val="1F176A0C"/>
    <w:rsid w:val="1F254183"/>
    <w:rsid w:val="1F255242"/>
    <w:rsid w:val="1F262716"/>
    <w:rsid w:val="1F2F3FB8"/>
    <w:rsid w:val="1F3B649C"/>
    <w:rsid w:val="1F3E1E3C"/>
    <w:rsid w:val="1F401A4C"/>
    <w:rsid w:val="1F42633F"/>
    <w:rsid w:val="1F453002"/>
    <w:rsid w:val="1F463769"/>
    <w:rsid w:val="1F4B2E82"/>
    <w:rsid w:val="1F54672C"/>
    <w:rsid w:val="1F5C1132"/>
    <w:rsid w:val="1F5E455B"/>
    <w:rsid w:val="1F613B6F"/>
    <w:rsid w:val="1F641E59"/>
    <w:rsid w:val="1F686726"/>
    <w:rsid w:val="1F6A49CB"/>
    <w:rsid w:val="1F700828"/>
    <w:rsid w:val="1F79272A"/>
    <w:rsid w:val="1F7D6C75"/>
    <w:rsid w:val="1F7E73A0"/>
    <w:rsid w:val="1F7F40BC"/>
    <w:rsid w:val="1F837E86"/>
    <w:rsid w:val="1F9008C7"/>
    <w:rsid w:val="1F913CCE"/>
    <w:rsid w:val="1F984549"/>
    <w:rsid w:val="1F9E4FAC"/>
    <w:rsid w:val="1F9F1506"/>
    <w:rsid w:val="1F9F3DD7"/>
    <w:rsid w:val="1FA303D2"/>
    <w:rsid w:val="1FA87A7C"/>
    <w:rsid w:val="1FAF067B"/>
    <w:rsid w:val="1FAF7572"/>
    <w:rsid w:val="1FB5719D"/>
    <w:rsid w:val="1FB64867"/>
    <w:rsid w:val="1FB64B58"/>
    <w:rsid w:val="1FB95506"/>
    <w:rsid w:val="1FC0516E"/>
    <w:rsid w:val="1FCA5891"/>
    <w:rsid w:val="1FCC3EC3"/>
    <w:rsid w:val="1FD06938"/>
    <w:rsid w:val="1FDE0DD5"/>
    <w:rsid w:val="1FDF12CA"/>
    <w:rsid w:val="1FE41A6F"/>
    <w:rsid w:val="1FE649E0"/>
    <w:rsid w:val="1FE725D4"/>
    <w:rsid w:val="1FEF407A"/>
    <w:rsid w:val="1FF62530"/>
    <w:rsid w:val="1FF64103"/>
    <w:rsid w:val="1FF904FF"/>
    <w:rsid w:val="20000A88"/>
    <w:rsid w:val="200229D7"/>
    <w:rsid w:val="200452EB"/>
    <w:rsid w:val="20081CC2"/>
    <w:rsid w:val="200E4CFF"/>
    <w:rsid w:val="201D0606"/>
    <w:rsid w:val="2025262A"/>
    <w:rsid w:val="202674E0"/>
    <w:rsid w:val="20286D41"/>
    <w:rsid w:val="202D3CDB"/>
    <w:rsid w:val="202F7BED"/>
    <w:rsid w:val="2035450A"/>
    <w:rsid w:val="20377FDE"/>
    <w:rsid w:val="204216B7"/>
    <w:rsid w:val="205265CF"/>
    <w:rsid w:val="205F243C"/>
    <w:rsid w:val="20695741"/>
    <w:rsid w:val="20723CD9"/>
    <w:rsid w:val="20771C9C"/>
    <w:rsid w:val="20776D72"/>
    <w:rsid w:val="207B5526"/>
    <w:rsid w:val="208C709E"/>
    <w:rsid w:val="2093368B"/>
    <w:rsid w:val="209926BA"/>
    <w:rsid w:val="20A448B5"/>
    <w:rsid w:val="20A80165"/>
    <w:rsid w:val="20AA45D9"/>
    <w:rsid w:val="20AB4430"/>
    <w:rsid w:val="20AC0A19"/>
    <w:rsid w:val="20B21721"/>
    <w:rsid w:val="20BE4B78"/>
    <w:rsid w:val="20C04B03"/>
    <w:rsid w:val="20C26108"/>
    <w:rsid w:val="20C73D28"/>
    <w:rsid w:val="20CF6B4B"/>
    <w:rsid w:val="20D06FB6"/>
    <w:rsid w:val="20D141E6"/>
    <w:rsid w:val="20D502B5"/>
    <w:rsid w:val="20D8148B"/>
    <w:rsid w:val="20D8469D"/>
    <w:rsid w:val="20DD6D05"/>
    <w:rsid w:val="20E94561"/>
    <w:rsid w:val="20ED6F48"/>
    <w:rsid w:val="20F032C8"/>
    <w:rsid w:val="20F03951"/>
    <w:rsid w:val="20F066AA"/>
    <w:rsid w:val="20F13673"/>
    <w:rsid w:val="20F13CB2"/>
    <w:rsid w:val="20F35D3A"/>
    <w:rsid w:val="20F4340B"/>
    <w:rsid w:val="20FC4C02"/>
    <w:rsid w:val="20FC697C"/>
    <w:rsid w:val="20FE49D2"/>
    <w:rsid w:val="210214C7"/>
    <w:rsid w:val="2102385C"/>
    <w:rsid w:val="2104291D"/>
    <w:rsid w:val="210E11B1"/>
    <w:rsid w:val="21224DFC"/>
    <w:rsid w:val="21260482"/>
    <w:rsid w:val="212962EB"/>
    <w:rsid w:val="212A0A23"/>
    <w:rsid w:val="213223DB"/>
    <w:rsid w:val="213759BD"/>
    <w:rsid w:val="213765BD"/>
    <w:rsid w:val="213A18C0"/>
    <w:rsid w:val="213B7211"/>
    <w:rsid w:val="21406BA5"/>
    <w:rsid w:val="21430E98"/>
    <w:rsid w:val="2145170C"/>
    <w:rsid w:val="214D33D3"/>
    <w:rsid w:val="214D5702"/>
    <w:rsid w:val="215B04E6"/>
    <w:rsid w:val="21643CDF"/>
    <w:rsid w:val="216B2BAC"/>
    <w:rsid w:val="216D38B3"/>
    <w:rsid w:val="216E2B4D"/>
    <w:rsid w:val="217400F5"/>
    <w:rsid w:val="21742526"/>
    <w:rsid w:val="21765197"/>
    <w:rsid w:val="217666E8"/>
    <w:rsid w:val="2177156C"/>
    <w:rsid w:val="217F1BE7"/>
    <w:rsid w:val="2187085A"/>
    <w:rsid w:val="21887B9A"/>
    <w:rsid w:val="21887E60"/>
    <w:rsid w:val="218C0698"/>
    <w:rsid w:val="21932CF6"/>
    <w:rsid w:val="21935DF5"/>
    <w:rsid w:val="2195358B"/>
    <w:rsid w:val="219F55B8"/>
    <w:rsid w:val="21A15907"/>
    <w:rsid w:val="21A72709"/>
    <w:rsid w:val="21A83508"/>
    <w:rsid w:val="21AD5C84"/>
    <w:rsid w:val="21B32404"/>
    <w:rsid w:val="21B36825"/>
    <w:rsid w:val="21BF6973"/>
    <w:rsid w:val="21C220F9"/>
    <w:rsid w:val="21C3448E"/>
    <w:rsid w:val="21C55387"/>
    <w:rsid w:val="21C645A3"/>
    <w:rsid w:val="21C7631E"/>
    <w:rsid w:val="21CC3855"/>
    <w:rsid w:val="21CE2CE8"/>
    <w:rsid w:val="21D13DA9"/>
    <w:rsid w:val="21D575C7"/>
    <w:rsid w:val="21D64DEF"/>
    <w:rsid w:val="21D65308"/>
    <w:rsid w:val="21DA417D"/>
    <w:rsid w:val="21DC78EE"/>
    <w:rsid w:val="21DE0ED6"/>
    <w:rsid w:val="21EB5344"/>
    <w:rsid w:val="21EC32B3"/>
    <w:rsid w:val="21EF1233"/>
    <w:rsid w:val="21F558EA"/>
    <w:rsid w:val="21F717EA"/>
    <w:rsid w:val="220009B9"/>
    <w:rsid w:val="22024694"/>
    <w:rsid w:val="220C363D"/>
    <w:rsid w:val="221241E9"/>
    <w:rsid w:val="221C734E"/>
    <w:rsid w:val="221E3217"/>
    <w:rsid w:val="222C0C2F"/>
    <w:rsid w:val="222E13BD"/>
    <w:rsid w:val="22321F70"/>
    <w:rsid w:val="223936E3"/>
    <w:rsid w:val="223A7025"/>
    <w:rsid w:val="223C5A50"/>
    <w:rsid w:val="223E64A5"/>
    <w:rsid w:val="223E7D91"/>
    <w:rsid w:val="223F7FF0"/>
    <w:rsid w:val="224475FD"/>
    <w:rsid w:val="22475131"/>
    <w:rsid w:val="224A7D89"/>
    <w:rsid w:val="22536A17"/>
    <w:rsid w:val="225739A3"/>
    <w:rsid w:val="225873F9"/>
    <w:rsid w:val="2261131F"/>
    <w:rsid w:val="226250E7"/>
    <w:rsid w:val="226A758E"/>
    <w:rsid w:val="226F3FF1"/>
    <w:rsid w:val="227441FD"/>
    <w:rsid w:val="227606F7"/>
    <w:rsid w:val="22793D81"/>
    <w:rsid w:val="227E166C"/>
    <w:rsid w:val="22853E7D"/>
    <w:rsid w:val="22860C3B"/>
    <w:rsid w:val="228B5B70"/>
    <w:rsid w:val="22922B90"/>
    <w:rsid w:val="229A5C0C"/>
    <w:rsid w:val="229A65A0"/>
    <w:rsid w:val="229F3787"/>
    <w:rsid w:val="22A80A6F"/>
    <w:rsid w:val="22AF7551"/>
    <w:rsid w:val="22B44F83"/>
    <w:rsid w:val="22B619B9"/>
    <w:rsid w:val="22B774B7"/>
    <w:rsid w:val="22C43B6A"/>
    <w:rsid w:val="22CA66D9"/>
    <w:rsid w:val="22D33D77"/>
    <w:rsid w:val="22E01C4A"/>
    <w:rsid w:val="22E0563C"/>
    <w:rsid w:val="22E06246"/>
    <w:rsid w:val="22E30FDA"/>
    <w:rsid w:val="22EA1A1C"/>
    <w:rsid w:val="22EB4105"/>
    <w:rsid w:val="22F35ED0"/>
    <w:rsid w:val="22F40325"/>
    <w:rsid w:val="22F707ED"/>
    <w:rsid w:val="22FC1BE8"/>
    <w:rsid w:val="2301032C"/>
    <w:rsid w:val="230118FC"/>
    <w:rsid w:val="23011A41"/>
    <w:rsid w:val="23012ED8"/>
    <w:rsid w:val="230570F4"/>
    <w:rsid w:val="23086B36"/>
    <w:rsid w:val="23097103"/>
    <w:rsid w:val="230E5A39"/>
    <w:rsid w:val="230F0364"/>
    <w:rsid w:val="23110081"/>
    <w:rsid w:val="231742F7"/>
    <w:rsid w:val="2318254F"/>
    <w:rsid w:val="231C2868"/>
    <w:rsid w:val="231C353B"/>
    <w:rsid w:val="232F27BC"/>
    <w:rsid w:val="233444B0"/>
    <w:rsid w:val="233F1560"/>
    <w:rsid w:val="234206CF"/>
    <w:rsid w:val="2342266F"/>
    <w:rsid w:val="23453A6C"/>
    <w:rsid w:val="235000DF"/>
    <w:rsid w:val="23512959"/>
    <w:rsid w:val="23544C74"/>
    <w:rsid w:val="2356019B"/>
    <w:rsid w:val="235A0199"/>
    <w:rsid w:val="23651F0A"/>
    <w:rsid w:val="23667DB0"/>
    <w:rsid w:val="23715623"/>
    <w:rsid w:val="23753C96"/>
    <w:rsid w:val="237A64BB"/>
    <w:rsid w:val="2386084A"/>
    <w:rsid w:val="23875708"/>
    <w:rsid w:val="238B77AB"/>
    <w:rsid w:val="238E53E2"/>
    <w:rsid w:val="238F076D"/>
    <w:rsid w:val="238F6217"/>
    <w:rsid w:val="23942FC4"/>
    <w:rsid w:val="2397265A"/>
    <w:rsid w:val="23986020"/>
    <w:rsid w:val="239A0508"/>
    <w:rsid w:val="239E30FB"/>
    <w:rsid w:val="239E53CD"/>
    <w:rsid w:val="23A42E49"/>
    <w:rsid w:val="23A64C5F"/>
    <w:rsid w:val="23A8354F"/>
    <w:rsid w:val="23AA1F31"/>
    <w:rsid w:val="23AD51E3"/>
    <w:rsid w:val="23B72747"/>
    <w:rsid w:val="23BA6729"/>
    <w:rsid w:val="23BD0C21"/>
    <w:rsid w:val="23C140C7"/>
    <w:rsid w:val="23C30A44"/>
    <w:rsid w:val="23CA3793"/>
    <w:rsid w:val="23D13078"/>
    <w:rsid w:val="23D465CA"/>
    <w:rsid w:val="23D82027"/>
    <w:rsid w:val="23DC1A0A"/>
    <w:rsid w:val="23E66EB3"/>
    <w:rsid w:val="23E70DCF"/>
    <w:rsid w:val="23E81DFF"/>
    <w:rsid w:val="23E9382E"/>
    <w:rsid w:val="23EC75A8"/>
    <w:rsid w:val="23EE01FE"/>
    <w:rsid w:val="23FF6309"/>
    <w:rsid w:val="24013F40"/>
    <w:rsid w:val="240C649E"/>
    <w:rsid w:val="24130C58"/>
    <w:rsid w:val="241E7B09"/>
    <w:rsid w:val="241F06C5"/>
    <w:rsid w:val="2424431C"/>
    <w:rsid w:val="242550C6"/>
    <w:rsid w:val="24346493"/>
    <w:rsid w:val="243720F7"/>
    <w:rsid w:val="243879F5"/>
    <w:rsid w:val="243C5FB6"/>
    <w:rsid w:val="244A2A19"/>
    <w:rsid w:val="244C4F41"/>
    <w:rsid w:val="244F7A42"/>
    <w:rsid w:val="245A5AFD"/>
    <w:rsid w:val="245E11B6"/>
    <w:rsid w:val="246048C9"/>
    <w:rsid w:val="246127DE"/>
    <w:rsid w:val="2464434D"/>
    <w:rsid w:val="24664C5E"/>
    <w:rsid w:val="24664D43"/>
    <w:rsid w:val="246B50FB"/>
    <w:rsid w:val="247C4BD3"/>
    <w:rsid w:val="247F38A4"/>
    <w:rsid w:val="248A1279"/>
    <w:rsid w:val="248C6D46"/>
    <w:rsid w:val="248F0548"/>
    <w:rsid w:val="24913D04"/>
    <w:rsid w:val="24A425A4"/>
    <w:rsid w:val="24A658B5"/>
    <w:rsid w:val="24AB01DF"/>
    <w:rsid w:val="24AB6A99"/>
    <w:rsid w:val="24AE6F27"/>
    <w:rsid w:val="24AF6DB6"/>
    <w:rsid w:val="24B51FCD"/>
    <w:rsid w:val="24B849F2"/>
    <w:rsid w:val="24BC3AFD"/>
    <w:rsid w:val="24BC6B56"/>
    <w:rsid w:val="24C51BB3"/>
    <w:rsid w:val="24CA1DE2"/>
    <w:rsid w:val="24CB03F3"/>
    <w:rsid w:val="24CC031F"/>
    <w:rsid w:val="24D178D4"/>
    <w:rsid w:val="24DC15C5"/>
    <w:rsid w:val="24DC41B9"/>
    <w:rsid w:val="24DC6462"/>
    <w:rsid w:val="24DF14C8"/>
    <w:rsid w:val="24DF3759"/>
    <w:rsid w:val="24E46DA4"/>
    <w:rsid w:val="24EB05A3"/>
    <w:rsid w:val="24F239C2"/>
    <w:rsid w:val="24F60563"/>
    <w:rsid w:val="24F72D0E"/>
    <w:rsid w:val="25057999"/>
    <w:rsid w:val="25134ECC"/>
    <w:rsid w:val="25135AE0"/>
    <w:rsid w:val="251C70E2"/>
    <w:rsid w:val="252E4D73"/>
    <w:rsid w:val="253057DC"/>
    <w:rsid w:val="253464F0"/>
    <w:rsid w:val="253737AF"/>
    <w:rsid w:val="253854C9"/>
    <w:rsid w:val="253C0C8C"/>
    <w:rsid w:val="2540723C"/>
    <w:rsid w:val="2541192A"/>
    <w:rsid w:val="254556A0"/>
    <w:rsid w:val="25515149"/>
    <w:rsid w:val="25540AD8"/>
    <w:rsid w:val="2559616C"/>
    <w:rsid w:val="255A3DCC"/>
    <w:rsid w:val="25604869"/>
    <w:rsid w:val="25636515"/>
    <w:rsid w:val="256445D0"/>
    <w:rsid w:val="256858AD"/>
    <w:rsid w:val="256B3641"/>
    <w:rsid w:val="256C63D2"/>
    <w:rsid w:val="256D47A1"/>
    <w:rsid w:val="25793335"/>
    <w:rsid w:val="257B2563"/>
    <w:rsid w:val="257C674E"/>
    <w:rsid w:val="257D18E8"/>
    <w:rsid w:val="25852F1A"/>
    <w:rsid w:val="25886157"/>
    <w:rsid w:val="258C1137"/>
    <w:rsid w:val="258D1F5D"/>
    <w:rsid w:val="258F2D0C"/>
    <w:rsid w:val="25926362"/>
    <w:rsid w:val="259D1D20"/>
    <w:rsid w:val="259D4978"/>
    <w:rsid w:val="25A4422E"/>
    <w:rsid w:val="25B457F5"/>
    <w:rsid w:val="25BC277D"/>
    <w:rsid w:val="25C012CF"/>
    <w:rsid w:val="25C05349"/>
    <w:rsid w:val="25C0627B"/>
    <w:rsid w:val="25C3495D"/>
    <w:rsid w:val="25CF4F3E"/>
    <w:rsid w:val="25D01E05"/>
    <w:rsid w:val="25D067DE"/>
    <w:rsid w:val="25D53721"/>
    <w:rsid w:val="25D62DCA"/>
    <w:rsid w:val="25E8340C"/>
    <w:rsid w:val="25E86F52"/>
    <w:rsid w:val="25EA14D2"/>
    <w:rsid w:val="25ED1812"/>
    <w:rsid w:val="26004B08"/>
    <w:rsid w:val="260735C4"/>
    <w:rsid w:val="2617413D"/>
    <w:rsid w:val="261B18AC"/>
    <w:rsid w:val="261C7C2F"/>
    <w:rsid w:val="261E04EC"/>
    <w:rsid w:val="2625669C"/>
    <w:rsid w:val="262824A1"/>
    <w:rsid w:val="262D1B8D"/>
    <w:rsid w:val="262D7300"/>
    <w:rsid w:val="26386355"/>
    <w:rsid w:val="26432077"/>
    <w:rsid w:val="264D6FFF"/>
    <w:rsid w:val="264F73E3"/>
    <w:rsid w:val="26503D40"/>
    <w:rsid w:val="26525BA6"/>
    <w:rsid w:val="265924F7"/>
    <w:rsid w:val="265E11B7"/>
    <w:rsid w:val="265F6258"/>
    <w:rsid w:val="266D6216"/>
    <w:rsid w:val="267277FD"/>
    <w:rsid w:val="26734F59"/>
    <w:rsid w:val="267833BD"/>
    <w:rsid w:val="267A700A"/>
    <w:rsid w:val="268A4EA5"/>
    <w:rsid w:val="268B46F4"/>
    <w:rsid w:val="268F391F"/>
    <w:rsid w:val="26917709"/>
    <w:rsid w:val="2692086C"/>
    <w:rsid w:val="2696018B"/>
    <w:rsid w:val="269D15F5"/>
    <w:rsid w:val="26A20122"/>
    <w:rsid w:val="26A55682"/>
    <w:rsid w:val="26A649C4"/>
    <w:rsid w:val="26A914B8"/>
    <w:rsid w:val="26AC45D7"/>
    <w:rsid w:val="26B1293B"/>
    <w:rsid w:val="26B76058"/>
    <w:rsid w:val="26BA11E9"/>
    <w:rsid w:val="26BD2AC6"/>
    <w:rsid w:val="26BF25FF"/>
    <w:rsid w:val="26C423C5"/>
    <w:rsid w:val="26C866B6"/>
    <w:rsid w:val="26D55208"/>
    <w:rsid w:val="26DB4D75"/>
    <w:rsid w:val="26DC2861"/>
    <w:rsid w:val="26E035B3"/>
    <w:rsid w:val="26E432B5"/>
    <w:rsid w:val="26EA3EBD"/>
    <w:rsid w:val="26EA66F8"/>
    <w:rsid w:val="26EA6C05"/>
    <w:rsid w:val="26EE290F"/>
    <w:rsid w:val="26F33AC0"/>
    <w:rsid w:val="26F71023"/>
    <w:rsid w:val="26F84F6E"/>
    <w:rsid w:val="26FE1B3E"/>
    <w:rsid w:val="270050EB"/>
    <w:rsid w:val="270D4E06"/>
    <w:rsid w:val="271D6187"/>
    <w:rsid w:val="272048E8"/>
    <w:rsid w:val="272A5167"/>
    <w:rsid w:val="27304EA0"/>
    <w:rsid w:val="27384A24"/>
    <w:rsid w:val="273C2787"/>
    <w:rsid w:val="273D285F"/>
    <w:rsid w:val="273F21C5"/>
    <w:rsid w:val="2740230A"/>
    <w:rsid w:val="2749537C"/>
    <w:rsid w:val="275236A0"/>
    <w:rsid w:val="27554C49"/>
    <w:rsid w:val="27557969"/>
    <w:rsid w:val="275B15D2"/>
    <w:rsid w:val="276346A7"/>
    <w:rsid w:val="276A1519"/>
    <w:rsid w:val="276F4446"/>
    <w:rsid w:val="276F7DD7"/>
    <w:rsid w:val="277A3F27"/>
    <w:rsid w:val="277E2092"/>
    <w:rsid w:val="27827416"/>
    <w:rsid w:val="278378EC"/>
    <w:rsid w:val="27922E98"/>
    <w:rsid w:val="27965A2C"/>
    <w:rsid w:val="27970AF8"/>
    <w:rsid w:val="27990CD3"/>
    <w:rsid w:val="279C5FC5"/>
    <w:rsid w:val="279E1AD0"/>
    <w:rsid w:val="27A147E9"/>
    <w:rsid w:val="27A33307"/>
    <w:rsid w:val="27A35122"/>
    <w:rsid w:val="27A45927"/>
    <w:rsid w:val="27A6094B"/>
    <w:rsid w:val="27A857C8"/>
    <w:rsid w:val="27B061AE"/>
    <w:rsid w:val="27B243BD"/>
    <w:rsid w:val="27BD52AC"/>
    <w:rsid w:val="27C17151"/>
    <w:rsid w:val="27CB205F"/>
    <w:rsid w:val="27DE182B"/>
    <w:rsid w:val="27E03DA4"/>
    <w:rsid w:val="27E1774D"/>
    <w:rsid w:val="27E27F6B"/>
    <w:rsid w:val="27E673FB"/>
    <w:rsid w:val="27E80F2E"/>
    <w:rsid w:val="27EE66DC"/>
    <w:rsid w:val="27FA5F0A"/>
    <w:rsid w:val="27FC5672"/>
    <w:rsid w:val="27FE0ECF"/>
    <w:rsid w:val="27FE2719"/>
    <w:rsid w:val="28040FB8"/>
    <w:rsid w:val="280E18FD"/>
    <w:rsid w:val="28113320"/>
    <w:rsid w:val="28135A4F"/>
    <w:rsid w:val="28156A14"/>
    <w:rsid w:val="281703EE"/>
    <w:rsid w:val="28171D77"/>
    <w:rsid w:val="281771B9"/>
    <w:rsid w:val="28420B04"/>
    <w:rsid w:val="284A360F"/>
    <w:rsid w:val="284A491C"/>
    <w:rsid w:val="284C3C44"/>
    <w:rsid w:val="284F43FC"/>
    <w:rsid w:val="28506B1F"/>
    <w:rsid w:val="2859612C"/>
    <w:rsid w:val="285963AC"/>
    <w:rsid w:val="28615204"/>
    <w:rsid w:val="28644F63"/>
    <w:rsid w:val="286C7375"/>
    <w:rsid w:val="286D5A2A"/>
    <w:rsid w:val="286D7FD0"/>
    <w:rsid w:val="2875007A"/>
    <w:rsid w:val="287514C3"/>
    <w:rsid w:val="28762075"/>
    <w:rsid w:val="287D0CE8"/>
    <w:rsid w:val="28915383"/>
    <w:rsid w:val="289E499F"/>
    <w:rsid w:val="28AA6AAF"/>
    <w:rsid w:val="28AC366B"/>
    <w:rsid w:val="28AF12C9"/>
    <w:rsid w:val="28B1703A"/>
    <w:rsid w:val="28B52245"/>
    <w:rsid w:val="28BE7876"/>
    <w:rsid w:val="28C159B6"/>
    <w:rsid w:val="28C23162"/>
    <w:rsid w:val="28C4286B"/>
    <w:rsid w:val="28C63BB0"/>
    <w:rsid w:val="28D05857"/>
    <w:rsid w:val="28D15BA8"/>
    <w:rsid w:val="28E07DBD"/>
    <w:rsid w:val="28E24EAF"/>
    <w:rsid w:val="28E50736"/>
    <w:rsid w:val="28E536A6"/>
    <w:rsid w:val="28E83A37"/>
    <w:rsid w:val="28E91743"/>
    <w:rsid w:val="28E97A66"/>
    <w:rsid w:val="28EA30D6"/>
    <w:rsid w:val="28EF2F3E"/>
    <w:rsid w:val="28F0211B"/>
    <w:rsid w:val="2907663E"/>
    <w:rsid w:val="29087E38"/>
    <w:rsid w:val="291D635C"/>
    <w:rsid w:val="291E60A2"/>
    <w:rsid w:val="29200184"/>
    <w:rsid w:val="292763F7"/>
    <w:rsid w:val="292A7911"/>
    <w:rsid w:val="292C6EE3"/>
    <w:rsid w:val="29302117"/>
    <w:rsid w:val="293456EF"/>
    <w:rsid w:val="29350F17"/>
    <w:rsid w:val="293810D2"/>
    <w:rsid w:val="29446A13"/>
    <w:rsid w:val="294503C2"/>
    <w:rsid w:val="294B7412"/>
    <w:rsid w:val="294D4875"/>
    <w:rsid w:val="294F258F"/>
    <w:rsid w:val="2953583E"/>
    <w:rsid w:val="29575DA9"/>
    <w:rsid w:val="295C1F8A"/>
    <w:rsid w:val="29625B47"/>
    <w:rsid w:val="2968160A"/>
    <w:rsid w:val="29687041"/>
    <w:rsid w:val="296E261B"/>
    <w:rsid w:val="296E5220"/>
    <w:rsid w:val="297210DF"/>
    <w:rsid w:val="297B3876"/>
    <w:rsid w:val="29850B19"/>
    <w:rsid w:val="29862DCE"/>
    <w:rsid w:val="299D315A"/>
    <w:rsid w:val="29AB0A13"/>
    <w:rsid w:val="29B0603E"/>
    <w:rsid w:val="29B52408"/>
    <w:rsid w:val="29B52B8B"/>
    <w:rsid w:val="29B62FCD"/>
    <w:rsid w:val="29BD4AB0"/>
    <w:rsid w:val="29C81E06"/>
    <w:rsid w:val="29E05655"/>
    <w:rsid w:val="29E54B26"/>
    <w:rsid w:val="29EC111F"/>
    <w:rsid w:val="29EE10E9"/>
    <w:rsid w:val="2A01089E"/>
    <w:rsid w:val="2A022271"/>
    <w:rsid w:val="2A05422A"/>
    <w:rsid w:val="2A096DBA"/>
    <w:rsid w:val="2A15648E"/>
    <w:rsid w:val="2A182C42"/>
    <w:rsid w:val="2A191F64"/>
    <w:rsid w:val="2A2A29FA"/>
    <w:rsid w:val="2A3508F0"/>
    <w:rsid w:val="2A39367F"/>
    <w:rsid w:val="2A465D7B"/>
    <w:rsid w:val="2A467AD0"/>
    <w:rsid w:val="2A4D15D2"/>
    <w:rsid w:val="2A5051D5"/>
    <w:rsid w:val="2A5230B5"/>
    <w:rsid w:val="2A6343B1"/>
    <w:rsid w:val="2A661808"/>
    <w:rsid w:val="2A66740E"/>
    <w:rsid w:val="2A6D36AB"/>
    <w:rsid w:val="2A6F238A"/>
    <w:rsid w:val="2A76333C"/>
    <w:rsid w:val="2A8F131A"/>
    <w:rsid w:val="2A9023B8"/>
    <w:rsid w:val="2A9A71B6"/>
    <w:rsid w:val="2AA5680E"/>
    <w:rsid w:val="2AAA4630"/>
    <w:rsid w:val="2AAC37BD"/>
    <w:rsid w:val="2ABC05D0"/>
    <w:rsid w:val="2AC07AF8"/>
    <w:rsid w:val="2AC17847"/>
    <w:rsid w:val="2AC57AC5"/>
    <w:rsid w:val="2AC6433D"/>
    <w:rsid w:val="2AC9019E"/>
    <w:rsid w:val="2ACD3D87"/>
    <w:rsid w:val="2AD6293F"/>
    <w:rsid w:val="2AD63F69"/>
    <w:rsid w:val="2ADE64A0"/>
    <w:rsid w:val="2AE06023"/>
    <w:rsid w:val="2AE30293"/>
    <w:rsid w:val="2AE35EF1"/>
    <w:rsid w:val="2AF658DD"/>
    <w:rsid w:val="2B022474"/>
    <w:rsid w:val="2B080186"/>
    <w:rsid w:val="2B097A82"/>
    <w:rsid w:val="2B111BC2"/>
    <w:rsid w:val="2B12715D"/>
    <w:rsid w:val="2B180B49"/>
    <w:rsid w:val="2B181675"/>
    <w:rsid w:val="2B1D471A"/>
    <w:rsid w:val="2B222B9A"/>
    <w:rsid w:val="2B24245E"/>
    <w:rsid w:val="2B25391D"/>
    <w:rsid w:val="2B277338"/>
    <w:rsid w:val="2B2A1FF9"/>
    <w:rsid w:val="2B32467C"/>
    <w:rsid w:val="2B352C03"/>
    <w:rsid w:val="2B3D6A4C"/>
    <w:rsid w:val="2B3E06C1"/>
    <w:rsid w:val="2B403DBE"/>
    <w:rsid w:val="2B430848"/>
    <w:rsid w:val="2B464ADB"/>
    <w:rsid w:val="2B465CAB"/>
    <w:rsid w:val="2B4A56C8"/>
    <w:rsid w:val="2B4D6EDD"/>
    <w:rsid w:val="2B603C0A"/>
    <w:rsid w:val="2B6A090C"/>
    <w:rsid w:val="2B7852D9"/>
    <w:rsid w:val="2B812B2F"/>
    <w:rsid w:val="2B867208"/>
    <w:rsid w:val="2B880A01"/>
    <w:rsid w:val="2B936B61"/>
    <w:rsid w:val="2B9667B8"/>
    <w:rsid w:val="2B99302E"/>
    <w:rsid w:val="2BA23047"/>
    <w:rsid w:val="2BA51723"/>
    <w:rsid w:val="2BBC69E7"/>
    <w:rsid w:val="2BBE7124"/>
    <w:rsid w:val="2BC44A9D"/>
    <w:rsid w:val="2BC94338"/>
    <w:rsid w:val="2BCD455F"/>
    <w:rsid w:val="2BD56A9A"/>
    <w:rsid w:val="2BD827BC"/>
    <w:rsid w:val="2BE3160B"/>
    <w:rsid w:val="2BEE1B84"/>
    <w:rsid w:val="2BF404A2"/>
    <w:rsid w:val="2BF64985"/>
    <w:rsid w:val="2BF84A69"/>
    <w:rsid w:val="2BFB4885"/>
    <w:rsid w:val="2BFD19C7"/>
    <w:rsid w:val="2BFE7CB4"/>
    <w:rsid w:val="2C032AB5"/>
    <w:rsid w:val="2C0B5494"/>
    <w:rsid w:val="2C0B57D0"/>
    <w:rsid w:val="2C0C5B36"/>
    <w:rsid w:val="2C101493"/>
    <w:rsid w:val="2C1E3C70"/>
    <w:rsid w:val="2C270DFF"/>
    <w:rsid w:val="2C3116AE"/>
    <w:rsid w:val="2C3D5F7D"/>
    <w:rsid w:val="2C4007D1"/>
    <w:rsid w:val="2C4176C9"/>
    <w:rsid w:val="2C437A60"/>
    <w:rsid w:val="2C4408FE"/>
    <w:rsid w:val="2C4469C5"/>
    <w:rsid w:val="2C473DB1"/>
    <w:rsid w:val="2C4B420E"/>
    <w:rsid w:val="2C4E60C6"/>
    <w:rsid w:val="2C520EE3"/>
    <w:rsid w:val="2C592095"/>
    <w:rsid w:val="2C636632"/>
    <w:rsid w:val="2C66306C"/>
    <w:rsid w:val="2C6F6E34"/>
    <w:rsid w:val="2C7C7DFC"/>
    <w:rsid w:val="2C7D1E7E"/>
    <w:rsid w:val="2C7E2FC9"/>
    <w:rsid w:val="2C80596B"/>
    <w:rsid w:val="2C822090"/>
    <w:rsid w:val="2C884C15"/>
    <w:rsid w:val="2C8A0C31"/>
    <w:rsid w:val="2C8A0E53"/>
    <w:rsid w:val="2C8C1B11"/>
    <w:rsid w:val="2C8C7708"/>
    <w:rsid w:val="2C9863C1"/>
    <w:rsid w:val="2C996A30"/>
    <w:rsid w:val="2C9C141F"/>
    <w:rsid w:val="2CA52CE7"/>
    <w:rsid w:val="2CA74B07"/>
    <w:rsid w:val="2CAA27D0"/>
    <w:rsid w:val="2CC029C9"/>
    <w:rsid w:val="2CC32D54"/>
    <w:rsid w:val="2CC71902"/>
    <w:rsid w:val="2CC90A3F"/>
    <w:rsid w:val="2CCD1E4D"/>
    <w:rsid w:val="2CCF6792"/>
    <w:rsid w:val="2CD4013B"/>
    <w:rsid w:val="2CD43E1A"/>
    <w:rsid w:val="2CDA6A99"/>
    <w:rsid w:val="2CE371C3"/>
    <w:rsid w:val="2CE633BB"/>
    <w:rsid w:val="2CEF3FEC"/>
    <w:rsid w:val="2CF62289"/>
    <w:rsid w:val="2CF90183"/>
    <w:rsid w:val="2CFB096F"/>
    <w:rsid w:val="2CFC31F5"/>
    <w:rsid w:val="2CFF08AE"/>
    <w:rsid w:val="2CFF50AA"/>
    <w:rsid w:val="2D0827E9"/>
    <w:rsid w:val="2D112A5E"/>
    <w:rsid w:val="2D135AEA"/>
    <w:rsid w:val="2D141BAC"/>
    <w:rsid w:val="2D174F98"/>
    <w:rsid w:val="2D1820A6"/>
    <w:rsid w:val="2D1D39B7"/>
    <w:rsid w:val="2D1D4682"/>
    <w:rsid w:val="2D254B45"/>
    <w:rsid w:val="2D3844A2"/>
    <w:rsid w:val="2D415B95"/>
    <w:rsid w:val="2D436353"/>
    <w:rsid w:val="2D4878E2"/>
    <w:rsid w:val="2D587DCD"/>
    <w:rsid w:val="2D5A1664"/>
    <w:rsid w:val="2D5F0BD4"/>
    <w:rsid w:val="2D616996"/>
    <w:rsid w:val="2D663AAE"/>
    <w:rsid w:val="2D6D7E92"/>
    <w:rsid w:val="2D6F73AA"/>
    <w:rsid w:val="2D73211B"/>
    <w:rsid w:val="2D7370A3"/>
    <w:rsid w:val="2D793988"/>
    <w:rsid w:val="2D7B4DF8"/>
    <w:rsid w:val="2D7F78E6"/>
    <w:rsid w:val="2D8104E0"/>
    <w:rsid w:val="2D871DDA"/>
    <w:rsid w:val="2D8761F7"/>
    <w:rsid w:val="2D8A057B"/>
    <w:rsid w:val="2D8A676C"/>
    <w:rsid w:val="2D930F7C"/>
    <w:rsid w:val="2D9B29F2"/>
    <w:rsid w:val="2D9C2F9A"/>
    <w:rsid w:val="2DA73441"/>
    <w:rsid w:val="2DB022C3"/>
    <w:rsid w:val="2DB240A4"/>
    <w:rsid w:val="2DBA5C7F"/>
    <w:rsid w:val="2DBC2F37"/>
    <w:rsid w:val="2DC11E02"/>
    <w:rsid w:val="2DC53B0F"/>
    <w:rsid w:val="2DC62737"/>
    <w:rsid w:val="2DD40EFF"/>
    <w:rsid w:val="2DD66B87"/>
    <w:rsid w:val="2DD7560C"/>
    <w:rsid w:val="2DDA689D"/>
    <w:rsid w:val="2DE229A9"/>
    <w:rsid w:val="2DE22CEF"/>
    <w:rsid w:val="2DE53C7A"/>
    <w:rsid w:val="2DE67D12"/>
    <w:rsid w:val="2DE91597"/>
    <w:rsid w:val="2DEE1FB5"/>
    <w:rsid w:val="2DF17C9F"/>
    <w:rsid w:val="2DF50941"/>
    <w:rsid w:val="2DF533FA"/>
    <w:rsid w:val="2DFA596E"/>
    <w:rsid w:val="2E00373F"/>
    <w:rsid w:val="2E044389"/>
    <w:rsid w:val="2E0C7022"/>
    <w:rsid w:val="2E0F2818"/>
    <w:rsid w:val="2E1100DC"/>
    <w:rsid w:val="2E140964"/>
    <w:rsid w:val="2E157168"/>
    <w:rsid w:val="2E1C61FD"/>
    <w:rsid w:val="2E1E4596"/>
    <w:rsid w:val="2E3373FE"/>
    <w:rsid w:val="2E352548"/>
    <w:rsid w:val="2E3F49B6"/>
    <w:rsid w:val="2E481797"/>
    <w:rsid w:val="2E4919D4"/>
    <w:rsid w:val="2E4C5497"/>
    <w:rsid w:val="2E526984"/>
    <w:rsid w:val="2E5764CF"/>
    <w:rsid w:val="2E594A91"/>
    <w:rsid w:val="2E5D5D84"/>
    <w:rsid w:val="2E5E578C"/>
    <w:rsid w:val="2E5F4BFA"/>
    <w:rsid w:val="2E5F65D4"/>
    <w:rsid w:val="2E6471FE"/>
    <w:rsid w:val="2E657BA1"/>
    <w:rsid w:val="2E69489B"/>
    <w:rsid w:val="2E6978C1"/>
    <w:rsid w:val="2E6A798A"/>
    <w:rsid w:val="2E793B4B"/>
    <w:rsid w:val="2E797076"/>
    <w:rsid w:val="2E7B76A0"/>
    <w:rsid w:val="2E7B7FD4"/>
    <w:rsid w:val="2E876D0F"/>
    <w:rsid w:val="2E8976BE"/>
    <w:rsid w:val="2E8D25CA"/>
    <w:rsid w:val="2E991A74"/>
    <w:rsid w:val="2E9B7AC3"/>
    <w:rsid w:val="2E9D7479"/>
    <w:rsid w:val="2E9E6408"/>
    <w:rsid w:val="2E9F5C16"/>
    <w:rsid w:val="2EA2680E"/>
    <w:rsid w:val="2EAC3728"/>
    <w:rsid w:val="2EAF7A45"/>
    <w:rsid w:val="2EB236FA"/>
    <w:rsid w:val="2EB82AFC"/>
    <w:rsid w:val="2EBA1C1D"/>
    <w:rsid w:val="2EBD2FAC"/>
    <w:rsid w:val="2EC3080B"/>
    <w:rsid w:val="2EC4073F"/>
    <w:rsid w:val="2EC72B66"/>
    <w:rsid w:val="2ECB29E0"/>
    <w:rsid w:val="2ECB684F"/>
    <w:rsid w:val="2ED0761C"/>
    <w:rsid w:val="2ED22020"/>
    <w:rsid w:val="2EDF4BED"/>
    <w:rsid w:val="2EE2010F"/>
    <w:rsid w:val="2EE52E7A"/>
    <w:rsid w:val="2EE967CC"/>
    <w:rsid w:val="2EEB240B"/>
    <w:rsid w:val="2EEC39DA"/>
    <w:rsid w:val="2EF34088"/>
    <w:rsid w:val="2EFD2D95"/>
    <w:rsid w:val="2F0509C8"/>
    <w:rsid w:val="2F0E197A"/>
    <w:rsid w:val="2F1A5B77"/>
    <w:rsid w:val="2F1C166C"/>
    <w:rsid w:val="2F2200D1"/>
    <w:rsid w:val="2F260BCD"/>
    <w:rsid w:val="2F2651F9"/>
    <w:rsid w:val="2F367804"/>
    <w:rsid w:val="2F3777A2"/>
    <w:rsid w:val="2F3B7C88"/>
    <w:rsid w:val="2F3C4594"/>
    <w:rsid w:val="2F4A6576"/>
    <w:rsid w:val="2F512CA1"/>
    <w:rsid w:val="2F56141E"/>
    <w:rsid w:val="2F5911EC"/>
    <w:rsid w:val="2F5E487A"/>
    <w:rsid w:val="2F663F21"/>
    <w:rsid w:val="2F6D62ED"/>
    <w:rsid w:val="2F6E4DD1"/>
    <w:rsid w:val="2F701BB3"/>
    <w:rsid w:val="2F7E578B"/>
    <w:rsid w:val="2F7F5816"/>
    <w:rsid w:val="2F826B26"/>
    <w:rsid w:val="2F8A245B"/>
    <w:rsid w:val="2F9D6150"/>
    <w:rsid w:val="2FA9542F"/>
    <w:rsid w:val="2FAB077E"/>
    <w:rsid w:val="2FB20885"/>
    <w:rsid w:val="2FBA41F1"/>
    <w:rsid w:val="2FBB70F0"/>
    <w:rsid w:val="2FC07315"/>
    <w:rsid w:val="2FC92443"/>
    <w:rsid w:val="2FCC25E8"/>
    <w:rsid w:val="2FCE1FD8"/>
    <w:rsid w:val="2FD60B28"/>
    <w:rsid w:val="2FD66FE4"/>
    <w:rsid w:val="2FDF2E92"/>
    <w:rsid w:val="2FDF75A1"/>
    <w:rsid w:val="2FF52865"/>
    <w:rsid w:val="2FF53A53"/>
    <w:rsid w:val="2FF754B6"/>
    <w:rsid w:val="2FF86CE1"/>
    <w:rsid w:val="2FFA2AC6"/>
    <w:rsid w:val="30065C29"/>
    <w:rsid w:val="3012023F"/>
    <w:rsid w:val="301228F5"/>
    <w:rsid w:val="30160883"/>
    <w:rsid w:val="301B42CD"/>
    <w:rsid w:val="301D0F52"/>
    <w:rsid w:val="301D13AA"/>
    <w:rsid w:val="301E2F1D"/>
    <w:rsid w:val="30214554"/>
    <w:rsid w:val="302C018D"/>
    <w:rsid w:val="302D1551"/>
    <w:rsid w:val="302D4DBE"/>
    <w:rsid w:val="30341D03"/>
    <w:rsid w:val="3034598E"/>
    <w:rsid w:val="30397F2A"/>
    <w:rsid w:val="30413874"/>
    <w:rsid w:val="30471F01"/>
    <w:rsid w:val="304D0844"/>
    <w:rsid w:val="304F0C6D"/>
    <w:rsid w:val="3052188E"/>
    <w:rsid w:val="30526B66"/>
    <w:rsid w:val="305F4B6C"/>
    <w:rsid w:val="30636928"/>
    <w:rsid w:val="30700DB3"/>
    <w:rsid w:val="3071406C"/>
    <w:rsid w:val="30721BE5"/>
    <w:rsid w:val="307F31C1"/>
    <w:rsid w:val="308049D5"/>
    <w:rsid w:val="308F2E2D"/>
    <w:rsid w:val="309713E7"/>
    <w:rsid w:val="30985121"/>
    <w:rsid w:val="309B6C76"/>
    <w:rsid w:val="309E53AE"/>
    <w:rsid w:val="30AC19DA"/>
    <w:rsid w:val="30B54A3C"/>
    <w:rsid w:val="30C05643"/>
    <w:rsid w:val="30CB7BAF"/>
    <w:rsid w:val="30CF4321"/>
    <w:rsid w:val="30DE3B39"/>
    <w:rsid w:val="30DE6902"/>
    <w:rsid w:val="30E00C15"/>
    <w:rsid w:val="30E14352"/>
    <w:rsid w:val="30F3210E"/>
    <w:rsid w:val="30F3258F"/>
    <w:rsid w:val="30F95331"/>
    <w:rsid w:val="30F958CD"/>
    <w:rsid w:val="30FB3737"/>
    <w:rsid w:val="31015E9B"/>
    <w:rsid w:val="3102157F"/>
    <w:rsid w:val="3105096D"/>
    <w:rsid w:val="310B29E8"/>
    <w:rsid w:val="3114696A"/>
    <w:rsid w:val="31152233"/>
    <w:rsid w:val="31185F87"/>
    <w:rsid w:val="311E1473"/>
    <w:rsid w:val="311E15CF"/>
    <w:rsid w:val="312325DD"/>
    <w:rsid w:val="31287E99"/>
    <w:rsid w:val="312B0725"/>
    <w:rsid w:val="312C6D4B"/>
    <w:rsid w:val="313B0890"/>
    <w:rsid w:val="313E6FAC"/>
    <w:rsid w:val="313F6535"/>
    <w:rsid w:val="31425D39"/>
    <w:rsid w:val="314341EB"/>
    <w:rsid w:val="31442DAD"/>
    <w:rsid w:val="31456675"/>
    <w:rsid w:val="314D5BC5"/>
    <w:rsid w:val="31547E55"/>
    <w:rsid w:val="3159398D"/>
    <w:rsid w:val="31686DEF"/>
    <w:rsid w:val="316B0BE0"/>
    <w:rsid w:val="316B5930"/>
    <w:rsid w:val="316F5599"/>
    <w:rsid w:val="31722577"/>
    <w:rsid w:val="3176767E"/>
    <w:rsid w:val="317B3226"/>
    <w:rsid w:val="317C5D75"/>
    <w:rsid w:val="317C76E8"/>
    <w:rsid w:val="31814C71"/>
    <w:rsid w:val="31847851"/>
    <w:rsid w:val="318E49C4"/>
    <w:rsid w:val="31994DC9"/>
    <w:rsid w:val="319B4325"/>
    <w:rsid w:val="319E38E6"/>
    <w:rsid w:val="319F18FA"/>
    <w:rsid w:val="31A822C6"/>
    <w:rsid w:val="31B23571"/>
    <w:rsid w:val="31BD1BAA"/>
    <w:rsid w:val="31BF7E6F"/>
    <w:rsid w:val="31BF7FA9"/>
    <w:rsid w:val="31C164F2"/>
    <w:rsid w:val="31C27DF6"/>
    <w:rsid w:val="31C33A63"/>
    <w:rsid w:val="31C36609"/>
    <w:rsid w:val="31CB729F"/>
    <w:rsid w:val="31CF026E"/>
    <w:rsid w:val="31D35C35"/>
    <w:rsid w:val="31D969BB"/>
    <w:rsid w:val="31DB640D"/>
    <w:rsid w:val="31E2726A"/>
    <w:rsid w:val="31E31A66"/>
    <w:rsid w:val="31E83339"/>
    <w:rsid w:val="31EA5372"/>
    <w:rsid w:val="31F139CC"/>
    <w:rsid w:val="31F322C3"/>
    <w:rsid w:val="31F4145D"/>
    <w:rsid w:val="31F9572A"/>
    <w:rsid w:val="31FD44AD"/>
    <w:rsid w:val="31FF1BD1"/>
    <w:rsid w:val="320015FF"/>
    <w:rsid w:val="32004878"/>
    <w:rsid w:val="32012DCD"/>
    <w:rsid w:val="32040940"/>
    <w:rsid w:val="320846FC"/>
    <w:rsid w:val="320C4458"/>
    <w:rsid w:val="32167D97"/>
    <w:rsid w:val="32197E14"/>
    <w:rsid w:val="321C3752"/>
    <w:rsid w:val="3221335A"/>
    <w:rsid w:val="32235C15"/>
    <w:rsid w:val="32260C39"/>
    <w:rsid w:val="322B01D6"/>
    <w:rsid w:val="322B24E6"/>
    <w:rsid w:val="322D58C8"/>
    <w:rsid w:val="322E5D4F"/>
    <w:rsid w:val="32376659"/>
    <w:rsid w:val="323D5104"/>
    <w:rsid w:val="323F16B2"/>
    <w:rsid w:val="324447FA"/>
    <w:rsid w:val="324A02CD"/>
    <w:rsid w:val="324C4E84"/>
    <w:rsid w:val="325702BC"/>
    <w:rsid w:val="32586479"/>
    <w:rsid w:val="325C782C"/>
    <w:rsid w:val="3265649B"/>
    <w:rsid w:val="326C49CB"/>
    <w:rsid w:val="327524C7"/>
    <w:rsid w:val="32770997"/>
    <w:rsid w:val="32781CC3"/>
    <w:rsid w:val="32794ADC"/>
    <w:rsid w:val="328A40FE"/>
    <w:rsid w:val="328D15BA"/>
    <w:rsid w:val="328F22A1"/>
    <w:rsid w:val="32977C77"/>
    <w:rsid w:val="329840D0"/>
    <w:rsid w:val="329B2555"/>
    <w:rsid w:val="329D39A8"/>
    <w:rsid w:val="329F3F57"/>
    <w:rsid w:val="32A24832"/>
    <w:rsid w:val="32A96648"/>
    <w:rsid w:val="32AD62C1"/>
    <w:rsid w:val="32AF0C88"/>
    <w:rsid w:val="32B8314F"/>
    <w:rsid w:val="32B92B1F"/>
    <w:rsid w:val="32BB2A65"/>
    <w:rsid w:val="32BC6DB1"/>
    <w:rsid w:val="32CB53A3"/>
    <w:rsid w:val="32CB5F46"/>
    <w:rsid w:val="32CC0321"/>
    <w:rsid w:val="32D05126"/>
    <w:rsid w:val="32D612B8"/>
    <w:rsid w:val="32D901C0"/>
    <w:rsid w:val="32DB5FE2"/>
    <w:rsid w:val="32DC1884"/>
    <w:rsid w:val="32E56661"/>
    <w:rsid w:val="32E73164"/>
    <w:rsid w:val="32E91504"/>
    <w:rsid w:val="32EB72A4"/>
    <w:rsid w:val="32EF0D5F"/>
    <w:rsid w:val="32F3740F"/>
    <w:rsid w:val="32FA214B"/>
    <w:rsid w:val="32FB096E"/>
    <w:rsid w:val="32FC65D9"/>
    <w:rsid w:val="32FE7A85"/>
    <w:rsid w:val="330B4D4D"/>
    <w:rsid w:val="330E138F"/>
    <w:rsid w:val="331306F6"/>
    <w:rsid w:val="33165AD1"/>
    <w:rsid w:val="33173DF0"/>
    <w:rsid w:val="331C44DE"/>
    <w:rsid w:val="331C6C97"/>
    <w:rsid w:val="332572EB"/>
    <w:rsid w:val="332E3E61"/>
    <w:rsid w:val="33315ADC"/>
    <w:rsid w:val="33325244"/>
    <w:rsid w:val="333308E2"/>
    <w:rsid w:val="333A0622"/>
    <w:rsid w:val="33417D52"/>
    <w:rsid w:val="334350DD"/>
    <w:rsid w:val="33472100"/>
    <w:rsid w:val="33491C41"/>
    <w:rsid w:val="33492444"/>
    <w:rsid w:val="334B65B8"/>
    <w:rsid w:val="334C3096"/>
    <w:rsid w:val="33567698"/>
    <w:rsid w:val="335679A2"/>
    <w:rsid w:val="3358507C"/>
    <w:rsid w:val="335B786E"/>
    <w:rsid w:val="33665CF5"/>
    <w:rsid w:val="33711EAC"/>
    <w:rsid w:val="33744C89"/>
    <w:rsid w:val="337723B7"/>
    <w:rsid w:val="33780F46"/>
    <w:rsid w:val="33820DF1"/>
    <w:rsid w:val="338311EA"/>
    <w:rsid w:val="33841CA4"/>
    <w:rsid w:val="3386671F"/>
    <w:rsid w:val="338B5D97"/>
    <w:rsid w:val="338D1597"/>
    <w:rsid w:val="338E7B0A"/>
    <w:rsid w:val="33973FAA"/>
    <w:rsid w:val="339A4918"/>
    <w:rsid w:val="339E2886"/>
    <w:rsid w:val="339E3F59"/>
    <w:rsid w:val="33A56DAF"/>
    <w:rsid w:val="33AC69A6"/>
    <w:rsid w:val="33AD1EA0"/>
    <w:rsid w:val="33AF2474"/>
    <w:rsid w:val="33B53522"/>
    <w:rsid w:val="33B60790"/>
    <w:rsid w:val="33C459D3"/>
    <w:rsid w:val="33C87FC3"/>
    <w:rsid w:val="33C917A9"/>
    <w:rsid w:val="33CD688F"/>
    <w:rsid w:val="33CF1F91"/>
    <w:rsid w:val="33DA6B7D"/>
    <w:rsid w:val="33DD69CB"/>
    <w:rsid w:val="33F225C8"/>
    <w:rsid w:val="33F33DE9"/>
    <w:rsid w:val="33F36DFE"/>
    <w:rsid w:val="33F42391"/>
    <w:rsid w:val="3402521F"/>
    <w:rsid w:val="340351F3"/>
    <w:rsid w:val="340B4474"/>
    <w:rsid w:val="340E172D"/>
    <w:rsid w:val="34105B7E"/>
    <w:rsid w:val="341B1031"/>
    <w:rsid w:val="342227D5"/>
    <w:rsid w:val="3424620C"/>
    <w:rsid w:val="342462AC"/>
    <w:rsid w:val="34271E21"/>
    <w:rsid w:val="3437217D"/>
    <w:rsid w:val="343F1929"/>
    <w:rsid w:val="34450011"/>
    <w:rsid w:val="34451F15"/>
    <w:rsid w:val="34496A89"/>
    <w:rsid w:val="344D0963"/>
    <w:rsid w:val="34552EAA"/>
    <w:rsid w:val="345A3D79"/>
    <w:rsid w:val="345A7BD9"/>
    <w:rsid w:val="3463005F"/>
    <w:rsid w:val="34650620"/>
    <w:rsid w:val="346A737D"/>
    <w:rsid w:val="34845DAA"/>
    <w:rsid w:val="3496715F"/>
    <w:rsid w:val="349D6D6F"/>
    <w:rsid w:val="34A17DC6"/>
    <w:rsid w:val="34A708A0"/>
    <w:rsid w:val="34AA7088"/>
    <w:rsid w:val="34B42DD9"/>
    <w:rsid w:val="34BD218A"/>
    <w:rsid w:val="34BD66CA"/>
    <w:rsid w:val="34C87E6E"/>
    <w:rsid w:val="34D37DF5"/>
    <w:rsid w:val="34D40E4C"/>
    <w:rsid w:val="34D4539E"/>
    <w:rsid w:val="34D713CC"/>
    <w:rsid w:val="34D91B12"/>
    <w:rsid w:val="34D92306"/>
    <w:rsid w:val="350A615D"/>
    <w:rsid w:val="35114FCA"/>
    <w:rsid w:val="35116F72"/>
    <w:rsid w:val="35120070"/>
    <w:rsid w:val="351345B8"/>
    <w:rsid w:val="35142A05"/>
    <w:rsid w:val="35143462"/>
    <w:rsid w:val="351806D9"/>
    <w:rsid w:val="3519266C"/>
    <w:rsid w:val="351933DD"/>
    <w:rsid w:val="351C3B08"/>
    <w:rsid w:val="35254E77"/>
    <w:rsid w:val="35261501"/>
    <w:rsid w:val="35272C7A"/>
    <w:rsid w:val="352F4AF4"/>
    <w:rsid w:val="35322102"/>
    <w:rsid w:val="353B5C4C"/>
    <w:rsid w:val="353C3D5B"/>
    <w:rsid w:val="354112A0"/>
    <w:rsid w:val="35434E54"/>
    <w:rsid w:val="35484DE1"/>
    <w:rsid w:val="354C0942"/>
    <w:rsid w:val="35560CE7"/>
    <w:rsid w:val="35574CCB"/>
    <w:rsid w:val="355C0723"/>
    <w:rsid w:val="355E6476"/>
    <w:rsid w:val="355F4704"/>
    <w:rsid w:val="3561572E"/>
    <w:rsid w:val="35654C6E"/>
    <w:rsid w:val="356F1599"/>
    <w:rsid w:val="357B730B"/>
    <w:rsid w:val="358071CF"/>
    <w:rsid w:val="35807E8D"/>
    <w:rsid w:val="3583402F"/>
    <w:rsid w:val="3589384B"/>
    <w:rsid w:val="358B5E9B"/>
    <w:rsid w:val="3595370D"/>
    <w:rsid w:val="359B3FD1"/>
    <w:rsid w:val="35A00AB6"/>
    <w:rsid w:val="35A05D04"/>
    <w:rsid w:val="35A0786C"/>
    <w:rsid w:val="35A2660C"/>
    <w:rsid w:val="35AD2682"/>
    <w:rsid w:val="35B11EE8"/>
    <w:rsid w:val="35B322DB"/>
    <w:rsid w:val="35B60C78"/>
    <w:rsid w:val="35B97173"/>
    <w:rsid w:val="35BC4127"/>
    <w:rsid w:val="35C501CC"/>
    <w:rsid w:val="35C52E9D"/>
    <w:rsid w:val="35CC2608"/>
    <w:rsid w:val="35DD3ADA"/>
    <w:rsid w:val="35E60260"/>
    <w:rsid w:val="35EC0F9A"/>
    <w:rsid w:val="35F20D74"/>
    <w:rsid w:val="35F4027C"/>
    <w:rsid w:val="35F96F1F"/>
    <w:rsid w:val="35FF206E"/>
    <w:rsid w:val="36020E80"/>
    <w:rsid w:val="3605477E"/>
    <w:rsid w:val="360F7C99"/>
    <w:rsid w:val="36185EC4"/>
    <w:rsid w:val="361A1EA9"/>
    <w:rsid w:val="361A5C33"/>
    <w:rsid w:val="3626311A"/>
    <w:rsid w:val="36270F15"/>
    <w:rsid w:val="362A3C16"/>
    <w:rsid w:val="362E2D64"/>
    <w:rsid w:val="36334C83"/>
    <w:rsid w:val="36375887"/>
    <w:rsid w:val="363E1359"/>
    <w:rsid w:val="36520A8E"/>
    <w:rsid w:val="365B1505"/>
    <w:rsid w:val="365B24B1"/>
    <w:rsid w:val="36616745"/>
    <w:rsid w:val="36651C38"/>
    <w:rsid w:val="36686DFB"/>
    <w:rsid w:val="36757F9E"/>
    <w:rsid w:val="367722B5"/>
    <w:rsid w:val="36776596"/>
    <w:rsid w:val="367C31A6"/>
    <w:rsid w:val="36816E19"/>
    <w:rsid w:val="36817D34"/>
    <w:rsid w:val="368F1A74"/>
    <w:rsid w:val="369275E2"/>
    <w:rsid w:val="369367DB"/>
    <w:rsid w:val="36944903"/>
    <w:rsid w:val="36965924"/>
    <w:rsid w:val="36A026F4"/>
    <w:rsid w:val="36A64A39"/>
    <w:rsid w:val="36AC4D3C"/>
    <w:rsid w:val="36B3080C"/>
    <w:rsid w:val="36BD1DAC"/>
    <w:rsid w:val="36C159CE"/>
    <w:rsid w:val="36C906E2"/>
    <w:rsid w:val="36D5466E"/>
    <w:rsid w:val="36D74B8C"/>
    <w:rsid w:val="36D75467"/>
    <w:rsid w:val="36DA5A9D"/>
    <w:rsid w:val="36E03B81"/>
    <w:rsid w:val="36E126B2"/>
    <w:rsid w:val="36E432CF"/>
    <w:rsid w:val="36F77B2C"/>
    <w:rsid w:val="36FA5C24"/>
    <w:rsid w:val="36FC3404"/>
    <w:rsid w:val="36FE3930"/>
    <w:rsid w:val="37056E2D"/>
    <w:rsid w:val="370B6BBD"/>
    <w:rsid w:val="370E7BA7"/>
    <w:rsid w:val="37100BB6"/>
    <w:rsid w:val="37103543"/>
    <w:rsid w:val="37150452"/>
    <w:rsid w:val="371878E0"/>
    <w:rsid w:val="371A3D26"/>
    <w:rsid w:val="371A4CCE"/>
    <w:rsid w:val="371C7817"/>
    <w:rsid w:val="371D2610"/>
    <w:rsid w:val="371F7325"/>
    <w:rsid w:val="37214FEA"/>
    <w:rsid w:val="37222FEF"/>
    <w:rsid w:val="37244B71"/>
    <w:rsid w:val="373A038D"/>
    <w:rsid w:val="373B0DD4"/>
    <w:rsid w:val="37432D9D"/>
    <w:rsid w:val="374407B3"/>
    <w:rsid w:val="37444456"/>
    <w:rsid w:val="374F6BD6"/>
    <w:rsid w:val="374F6BFE"/>
    <w:rsid w:val="375F7DDA"/>
    <w:rsid w:val="376D4330"/>
    <w:rsid w:val="3779232F"/>
    <w:rsid w:val="37843DF9"/>
    <w:rsid w:val="378914FD"/>
    <w:rsid w:val="378E02F2"/>
    <w:rsid w:val="37943AD2"/>
    <w:rsid w:val="37981FA0"/>
    <w:rsid w:val="379A016C"/>
    <w:rsid w:val="37A61E6C"/>
    <w:rsid w:val="37B46271"/>
    <w:rsid w:val="37B66BE9"/>
    <w:rsid w:val="37B93FEF"/>
    <w:rsid w:val="37BE13BB"/>
    <w:rsid w:val="37BF123D"/>
    <w:rsid w:val="37C3062E"/>
    <w:rsid w:val="37C52C6D"/>
    <w:rsid w:val="37CB2FAE"/>
    <w:rsid w:val="37D05380"/>
    <w:rsid w:val="37D71178"/>
    <w:rsid w:val="37DD26D9"/>
    <w:rsid w:val="37E261BB"/>
    <w:rsid w:val="37E369F7"/>
    <w:rsid w:val="37E52D87"/>
    <w:rsid w:val="37E70063"/>
    <w:rsid w:val="37E956B8"/>
    <w:rsid w:val="37EC1388"/>
    <w:rsid w:val="37F16953"/>
    <w:rsid w:val="37F21C9F"/>
    <w:rsid w:val="37F3056F"/>
    <w:rsid w:val="37F50A5C"/>
    <w:rsid w:val="37FD135B"/>
    <w:rsid w:val="37FF7456"/>
    <w:rsid w:val="380662A1"/>
    <w:rsid w:val="38072390"/>
    <w:rsid w:val="38090F60"/>
    <w:rsid w:val="380A669C"/>
    <w:rsid w:val="380B2301"/>
    <w:rsid w:val="380D1DF6"/>
    <w:rsid w:val="381A6E57"/>
    <w:rsid w:val="38233BE0"/>
    <w:rsid w:val="382A1B29"/>
    <w:rsid w:val="382D0AB9"/>
    <w:rsid w:val="382F0FB3"/>
    <w:rsid w:val="383315F7"/>
    <w:rsid w:val="383D5DF2"/>
    <w:rsid w:val="383D767B"/>
    <w:rsid w:val="383F74F8"/>
    <w:rsid w:val="38402FE3"/>
    <w:rsid w:val="38487D19"/>
    <w:rsid w:val="384C2AFE"/>
    <w:rsid w:val="384E2E58"/>
    <w:rsid w:val="3851076E"/>
    <w:rsid w:val="38537DA2"/>
    <w:rsid w:val="38553124"/>
    <w:rsid w:val="38557066"/>
    <w:rsid w:val="38562292"/>
    <w:rsid w:val="38616AEB"/>
    <w:rsid w:val="38630259"/>
    <w:rsid w:val="38665C5E"/>
    <w:rsid w:val="3867704F"/>
    <w:rsid w:val="38683139"/>
    <w:rsid w:val="386A34F6"/>
    <w:rsid w:val="386C72A0"/>
    <w:rsid w:val="3872134D"/>
    <w:rsid w:val="387A70D9"/>
    <w:rsid w:val="388A00D1"/>
    <w:rsid w:val="388B382C"/>
    <w:rsid w:val="389051DB"/>
    <w:rsid w:val="38914698"/>
    <w:rsid w:val="389C3A5F"/>
    <w:rsid w:val="38A17A1B"/>
    <w:rsid w:val="38A57578"/>
    <w:rsid w:val="38A6468E"/>
    <w:rsid w:val="38AB0B8E"/>
    <w:rsid w:val="38B05CB9"/>
    <w:rsid w:val="38B2718F"/>
    <w:rsid w:val="38B31DD0"/>
    <w:rsid w:val="38BA1F3F"/>
    <w:rsid w:val="38BC5DAE"/>
    <w:rsid w:val="38BD15BF"/>
    <w:rsid w:val="38BD5504"/>
    <w:rsid w:val="38C1453E"/>
    <w:rsid w:val="38C25553"/>
    <w:rsid w:val="38C26BC5"/>
    <w:rsid w:val="38C31B56"/>
    <w:rsid w:val="38C4174D"/>
    <w:rsid w:val="38C54F09"/>
    <w:rsid w:val="38C67EE1"/>
    <w:rsid w:val="38C93DBD"/>
    <w:rsid w:val="38CC1313"/>
    <w:rsid w:val="38CC283F"/>
    <w:rsid w:val="38D754AF"/>
    <w:rsid w:val="38DA6338"/>
    <w:rsid w:val="38DB4C2A"/>
    <w:rsid w:val="38E42C1F"/>
    <w:rsid w:val="38E84D2E"/>
    <w:rsid w:val="38F12E40"/>
    <w:rsid w:val="38FA05FE"/>
    <w:rsid w:val="3900087B"/>
    <w:rsid w:val="3908788E"/>
    <w:rsid w:val="390C3A72"/>
    <w:rsid w:val="390F08FA"/>
    <w:rsid w:val="390F2EDB"/>
    <w:rsid w:val="39103812"/>
    <w:rsid w:val="39103E8A"/>
    <w:rsid w:val="39132F0F"/>
    <w:rsid w:val="39140253"/>
    <w:rsid w:val="391C19FF"/>
    <w:rsid w:val="391E4DC6"/>
    <w:rsid w:val="39234319"/>
    <w:rsid w:val="39234C5A"/>
    <w:rsid w:val="392422F3"/>
    <w:rsid w:val="39245314"/>
    <w:rsid w:val="393A3F4D"/>
    <w:rsid w:val="393F393D"/>
    <w:rsid w:val="39424ECD"/>
    <w:rsid w:val="39491E1E"/>
    <w:rsid w:val="394D2426"/>
    <w:rsid w:val="394E38F4"/>
    <w:rsid w:val="39504F46"/>
    <w:rsid w:val="39521196"/>
    <w:rsid w:val="39535B3E"/>
    <w:rsid w:val="39567680"/>
    <w:rsid w:val="3957017A"/>
    <w:rsid w:val="395954D0"/>
    <w:rsid w:val="3961613B"/>
    <w:rsid w:val="397035AE"/>
    <w:rsid w:val="397113EA"/>
    <w:rsid w:val="39735BE3"/>
    <w:rsid w:val="3989360B"/>
    <w:rsid w:val="39934DBC"/>
    <w:rsid w:val="39953609"/>
    <w:rsid w:val="39957403"/>
    <w:rsid w:val="399B2ADB"/>
    <w:rsid w:val="399E2047"/>
    <w:rsid w:val="39A55B71"/>
    <w:rsid w:val="39A87935"/>
    <w:rsid w:val="39C021F4"/>
    <w:rsid w:val="39C30A82"/>
    <w:rsid w:val="39C57800"/>
    <w:rsid w:val="39CF0200"/>
    <w:rsid w:val="39D25DF9"/>
    <w:rsid w:val="39D56468"/>
    <w:rsid w:val="39DD0323"/>
    <w:rsid w:val="39DE22CE"/>
    <w:rsid w:val="39DE68B6"/>
    <w:rsid w:val="39E31AC7"/>
    <w:rsid w:val="39EF3AE4"/>
    <w:rsid w:val="39F42954"/>
    <w:rsid w:val="39F46D3B"/>
    <w:rsid w:val="39F71186"/>
    <w:rsid w:val="39FC3A8A"/>
    <w:rsid w:val="39FD6980"/>
    <w:rsid w:val="39FE0BC6"/>
    <w:rsid w:val="39FF69F2"/>
    <w:rsid w:val="3A0D3AEB"/>
    <w:rsid w:val="3A135B82"/>
    <w:rsid w:val="3A157F9F"/>
    <w:rsid w:val="3A1A4296"/>
    <w:rsid w:val="3A2021F2"/>
    <w:rsid w:val="3A2424CB"/>
    <w:rsid w:val="3A290338"/>
    <w:rsid w:val="3A3306A7"/>
    <w:rsid w:val="3A392ADD"/>
    <w:rsid w:val="3A3A1D9A"/>
    <w:rsid w:val="3A3B08A4"/>
    <w:rsid w:val="3A3E110A"/>
    <w:rsid w:val="3A4037CF"/>
    <w:rsid w:val="3A496805"/>
    <w:rsid w:val="3A595E0E"/>
    <w:rsid w:val="3A5D48A3"/>
    <w:rsid w:val="3A612389"/>
    <w:rsid w:val="3A6A32E7"/>
    <w:rsid w:val="3A6F2F27"/>
    <w:rsid w:val="3A745A3F"/>
    <w:rsid w:val="3A75135C"/>
    <w:rsid w:val="3A75795C"/>
    <w:rsid w:val="3A7C538A"/>
    <w:rsid w:val="3A8213AC"/>
    <w:rsid w:val="3A82483A"/>
    <w:rsid w:val="3A8933FE"/>
    <w:rsid w:val="3A8F7C91"/>
    <w:rsid w:val="3A950B7C"/>
    <w:rsid w:val="3A981693"/>
    <w:rsid w:val="3AA069CF"/>
    <w:rsid w:val="3AA7293C"/>
    <w:rsid w:val="3AA92AFA"/>
    <w:rsid w:val="3AAF4827"/>
    <w:rsid w:val="3AB26CC5"/>
    <w:rsid w:val="3AB54018"/>
    <w:rsid w:val="3AB55C15"/>
    <w:rsid w:val="3ABD02F4"/>
    <w:rsid w:val="3ABF3981"/>
    <w:rsid w:val="3AC154CA"/>
    <w:rsid w:val="3AC505A2"/>
    <w:rsid w:val="3ACA18AD"/>
    <w:rsid w:val="3ACD373D"/>
    <w:rsid w:val="3ACD45D4"/>
    <w:rsid w:val="3AD037E9"/>
    <w:rsid w:val="3AD556A6"/>
    <w:rsid w:val="3AD76D8B"/>
    <w:rsid w:val="3AD93CF0"/>
    <w:rsid w:val="3ADE63B0"/>
    <w:rsid w:val="3AE112FF"/>
    <w:rsid w:val="3AEE367E"/>
    <w:rsid w:val="3AF73F8E"/>
    <w:rsid w:val="3AF83408"/>
    <w:rsid w:val="3AFA3AA5"/>
    <w:rsid w:val="3AFA6DC9"/>
    <w:rsid w:val="3AFD3322"/>
    <w:rsid w:val="3B002B9D"/>
    <w:rsid w:val="3B0C2497"/>
    <w:rsid w:val="3B0C4F93"/>
    <w:rsid w:val="3B0F2C71"/>
    <w:rsid w:val="3B1669C2"/>
    <w:rsid w:val="3B186FE9"/>
    <w:rsid w:val="3B1A392B"/>
    <w:rsid w:val="3B1C3234"/>
    <w:rsid w:val="3B210EB7"/>
    <w:rsid w:val="3B212A16"/>
    <w:rsid w:val="3B2468B3"/>
    <w:rsid w:val="3B256536"/>
    <w:rsid w:val="3B2B2D99"/>
    <w:rsid w:val="3B330DC7"/>
    <w:rsid w:val="3B3635AB"/>
    <w:rsid w:val="3B452C50"/>
    <w:rsid w:val="3B4C53B1"/>
    <w:rsid w:val="3B4E14F1"/>
    <w:rsid w:val="3B505A1C"/>
    <w:rsid w:val="3B5865B2"/>
    <w:rsid w:val="3B59301C"/>
    <w:rsid w:val="3B5A25D6"/>
    <w:rsid w:val="3B5B3975"/>
    <w:rsid w:val="3B5E09D7"/>
    <w:rsid w:val="3B651DF0"/>
    <w:rsid w:val="3B707906"/>
    <w:rsid w:val="3B731D7A"/>
    <w:rsid w:val="3B7451C0"/>
    <w:rsid w:val="3B791E90"/>
    <w:rsid w:val="3B7B74E1"/>
    <w:rsid w:val="3B821C9A"/>
    <w:rsid w:val="3B837671"/>
    <w:rsid w:val="3B880A4A"/>
    <w:rsid w:val="3B89300D"/>
    <w:rsid w:val="3B8A6EC2"/>
    <w:rsid w:val="3B8C5732"/>
    <w:rsid w:val="3B8D15FA"/>
    <w:rsid w:val="3B8E4AB8"/>
    <w:rsid w:val="3B9440A1"/>
    <w:rsid w:val="3B94652B"/>
    <w:rsid w:val="3B9621E2"/>
    <w:rsid w:val="3B970117"/>
    <w:rsid w:val="3B9D5379"/>
    <w:rsid w:val="3BA14FDC"/>
    <w:rsid w:val="3BA24786"/>
    <w:rsid w:val="3BA9146E"/>
    <w:rsid w:val="3BB82E25"/>
    <w:rsid w:val="3BB95194"/>
    <w:rsid w:val="3BBA1ACD"/>
    <w:rsid w:val="3BBF3CBC"/>
    <w:rsid w:val="3BC26D55"/>
    <w:rsid w:val="3BC85F21"/>
    <w:rsid w:val="3BC93F63"/>
    <w:rsid w:val="3BD20A4B"/>
    <w:rsid w:val="3BD20BEC"/>
    <w:rsid w:val="3BD31D84"/>
    <w:rsid w:val="3BD35EB2"/>
    <w:rsid w:val="3BE258F2"/>
    <w:rsid w:val="3BE77112"/>
    <w:rsid w:val="3BE932D3"/>
    <w:rsid w:val="3BF85EE4"/>
    <w:rsid w:val="3BFB7E78"/>
    <w:rsid w:val="3BFE0432"/>
    <w:rsid w:val="3C00317A"/>
    <w:rsid w:val="3C03300E"/>
    <w:rsid w:val="3C070F17"/>
    <w:rsid w:val="3C085888"/>
    <w:rsid w:val="3C0A656E"/>
    <w:rsid w:val="3C15066D"/>
    <w:rsid w:val="3C1A7707"/>
    <w:rsid w:val="3C205BC3"/>
    <w:rsid w:val="3C2201D1"/>
    <w:rsid w:val="3C28729F"/>
    <w:rsid w:val="3C2A741A"/>
    <w:rsid w:val="3C2A794A"/>
    <w:rsid w:val="3C3710FF"/>
    <w:rsid w:val="3C401F31"/>
    <w:rsid w:val="3C411AB8"/>
    <w:rsid w:val="3C4353FE"/>
    <w:rsid w:val="3C4608AC"/>
    <w:rsid w:val="3C4E6265"/>
    <w:rsid w:val="3C54160F"/>
    <w:rsid w:val="3C577D4F"/>
    <w:rsid w:val="3C5C41E1"/>
    <w:rsid w:val="3C6127E8"/>
    <w:rsid w:val="3C624A28"/>
    <w:rsid w:val="3C682C34"/>
    <w:rsid w:val="3C734ABD"/>
    <w:rsid w:val="3C773190"/>
    <w:rsid w:val="3C793E68"/>
    <w:rsid w:val="3C797CBA"/>
    <w:rsid w:val="3C7B5ACE"/>
    <w:rsid w:val="3C7C7F0F"/>
    <w:rsid w:val="3C8043F6"/>
    <w:rsid w:val="3C82043C"/>
    <w:rsid w:val="3C82216B"/>
    <w:rsid w:val="3C833300"/>
    <w:rsid w:val="3C833E98"/>
    <w:rsid w:val="3C84785B"/>
    <w:rsid w:val="3C886F15"/>
    <w:rsid w:val="3C8B109E"/>
    <w:rsid w:val="3C8B67DD"/>
    <w:rsid w:val="3C8D7814"/>
    <w:rsid w:val="3C942A66"/>
    <w:rsid w:val="3C9730DE"/>
    <w:rsid w:val="3C9A328E"/>
    <w:rsid w:val="3C9A4085"/>
    <w:rsid w:val="3C9B7D26"/>
    <w:rsid w:val="3CA044DB"/>
    <w:rsid w:val="3CA3632E"/>
    <w:rsid w:val="3CA70778"/>
    <w:rsid w:val="3CAC0138"/>
    <w:rsid w:val="3CB43F91"/>
    <w:rsid w:val="3CB77EFD"/>
    <w:rsid w:val="3CB80646"/>
    <w:rsid w:val="3CB95734"/>
    <w:rsid w:val="3CBC7F19"/>
    <w:rsid w:val="3CC20B2A"/>
    <w:rsid w:val="3CC354DD"/>
    <w:rsid w:val="3CCA0EB2"/>
    <w:rsid w:val="3CCF05E4"/>
    <w:rsid w:val="3CD479FE"/>
    <w:rsid w:val="3CD8518C"/>
    <w:rsid w:val="3CDB027D"/>
    <w:rsid w:val="3CDE45A1"/>
    <w:rsid w:val="3CE2143C"/>
    <w:rsid w:val="3CE4052E"/>
    <w:rsid w:val="3CF0656E"/>
    <w:rsid w:val="3CF32F6E"/>
    <w:rsid w:val="3CF83B2E"/>
    <w:rsid w:val="3CF957C1"/>
    <w:rsid w:val="3CFA4C9E"/>
    <w:rsid w:val="3CFB2368"/>
    <w:rsid w:val="3D016024"/>
    <w:rsid w:val="3D0A066C"/>
    <w:rsid w:val="3D103E71"/>
    <w:rsid w:val="3D142619"/>
    <w:rsid w:val="3D1638F5"/>
    <w:rsid w:val="3D1850D7"/>
    <w:rsid w:val="3D200A5A"/>
    <w:rsid w:val="3D210EEF"/>
    <w:rsid w:val="3D224F2D"/>
    <w:rsid w:val="3D291937"/>
    <w:rsid w:val="3D294205"/>
    <w:rsid w:val="3D2B4034"/>
    <w:rsid w:val="3D363C80"/>
    <w:rsid w:val="3D3D6946"/>
    <w:rsid w:val="3D3E7332"/>
    <w:rsid w:val="3D412A08"/>
    <w:rsid w:val="3D4C6FC6"/>
    <w:rsid w:val="3D517B3F"/>
    <w:rsid w:val="3D5428F6"/>
    <w:rsid w:val="3D5B5C86"/>
    <w:rsid w:val="3D5F0D8C"/>
    <w:rsid w:val="3D620236"/>
    <w:rsid w:val="3D685FA3"/>
    <w:rsid w:val="3D7E52BE"/>
    <w:rsid w:val="3D83315B"/>
    <w:rsid w:val="3D8812AE"/>
    <w:rsid w:val="3D9C0F77"/>
    <w:rsid w:val="3DA209BD"/>
    <w:rsid w:val="3DA66963"/>
    <w:rsid w:val="3DAA2A50"/>
    <w:rsid w:val="3DAE72B1"/>
    <w:rsid w:val="3DAF498D"/>
    <w:rsid w:val="3DB31E07"/>
    <w:rsid w:val="3DB77267"/>
    <w:rsid w:val="3DBD0653"/>
    <w:rsid w:val="3DBF046C"/>
    <w:rsid w:val="3DC13666"/>
    <w:rsid w:val="3DC86DB6"/>
    <w:rsid w:val="3DCB79FF"/>
    <w:rsid w:val="3DD37AE2"/>
    <w:rsid w:val="3DD6554A"/>
    <w:rsid w:val="3DDA4854"/>
    <w:rsid w:val="3DE22A9D"/>
    <w:rsid w:val="3DE91D93"/>
    <w:rsid w:val="3DEF3562"/>
    <w:rsid w:val="3DF158A0"/>
    <w:rsid w:val="3DF20129"/>
    <w:rsid w:val="3DF21721"/>
    <w:rsid w:val="3DF32C81"/>
    <w:rsid w:val="3DF33FCC"/>
    <w:rsid w:val="3DF63BF2"/>
    <w:rsid w:val="3DF67E14"/>
    <w:rsid w:val="3E03148D"/>
    <w:rsid w:val="3E0C5AC9"/>
    <w:rsid w:val="3E0E4D85"/>
    <w:rsid w:val="3E1019BB"/>
    <w:rsid w:val="3E110A29"/>
    <w:rsid w:val="3E1F38B2"/>
    <w:rsid w:val="3E20295D"/>
    <w:rsid w:val="3E2657D5"/>
    <w:rsid w:val="3E293584"/>
    <w:rsid w:val="3E3647AA"/>
    <w:rsid w:val="3E414626"/>
    <w:rsid w:val="3E4F243E"/>
    <w:rsid w:val="3E4F4E8E"/>
    <w:rsid w:val="3E5164BF"/>
    <w:rsid w:val="3E520CD7"/>
    <w:rsid w:val="3E527378"/>
    <w:rsid w:val="3E544C9D"/>
    <w:rsid w:val="3E5A1951"/>
    <w:rsid w:val="3E5B529D"/>
    <w:rsid w:val="3E627616"/>
    <w:rsid w:val="3E7212ED"/>
    <w:rsid w:val="3E73685A"/>
    <w:rsid w:val="3E7E460F"/>
    <w:rsid w:val="3E8311E0"/>
    <w:rsid w:val="3E8B26FE"/>
    <w:rsid w:val="3E921326"/>
    <w:rsid w:val="3E922536"/>
    <w:rsid w:val="3E9A4BB1"/>
    <w:rsid w:val="3E9C40D7"/>
    <w:rsid w:val="3EA3414C"/>
    <w:rsid w:val="3EA54914"/>
    <w:rsid w:val="3EA73DBC"/>
    <w:rsid w:val="3EB01AC7"/>
    <w:rsid w:val="3EB041C9"/>
    <w:rsid w:val="3EB1054C"/>
    <w:rsid w:val="3EB13C76"/>
    <w:rsid w:val="3EB14E3A"/>
    <w:rsid w:val="3EB349B6"/>
    <w:rsid w:val="3EBD3F95"/>
    <w:rsid w:val="3EC25CA0"/>
    <w:rsid w:val="3EC7163A"/>
    <w:rsid w:val="3EC96566"/>
    <w:rsid w:val="3ECD16C8"/>
    <w:rsid w:val="3ECF3772"/>
    <w:rsid w:val="3ED2172D"/>
    <w:rsid w:val="3ED218A5"/>
    <w:rsid w:val="3EE0190B"/>
    <w:rsid w:val="3EE14C32"/>
    <w:rsid w:val="3EE27A1E"/>
    <w:rsid w:val="3EEE2BE8"/>
    <w:rsid w:val="3EFC1D80"/>
    <w:rsid w:val="3F004991"/>
    <w:rsid w:val="3F023D3C"/>
    <w:rsid w:val="3F080204"/>
    <w:rsid w:val="3F0B2670"/>
    <w:rsid w:val="3F12278F"/>
    <w:rsid w:val="3F13251A"/>
    <w:rsid w:val="3F136010"/>
    <w:rsid w:val="3F1365F0"/>
    <w:rsid w:val="3F153FB9"/>
    <w:rsid w:val="3F161F42"/>
    <w:rsid w:val="3F1E3820"/>
    <w:rsid w:val="3F2B53F6"/>
    <w:rsid w:val="3F2C3DE7"/>
    <w:rsid w:val="3F2D0248"/>
    <w:rsid w:val="3F2F5872"/>
    <w:rsid w:val="3F3D5BD4"/>
    <w:rsid w:val="3F411CE0"/>
    <w:rsid w:val="3F417E0B"/>
    <w:rsid w:val="3F427E21"/>
    <w:rsid w:val="3F43603E"/>
    <w:rsid w:val="3F44276C"/>
    <w:rsid w:val="3F4A1C8B"/>
    <w:rsid w:val="3F4A6ABF"/>
    <w:rsid w:val="3F4C0C38"/>
    <w:rsid w:val="3F58403A"/>
    <w:rsid w:val="3F661102"/>
    <w:rsid w:val="3F666903"/>
    <w:rsid w:val="3F6D2629"/>
    <w:rsid w:val="3F720E02"/>
    <w:rsid w:val="3F722C41"/>
    <w:rsid w:val="3F7A6B03"/>
    <w:rsid w:val="3F807E25"/>
    <w:rsid w:val="3F892E15"/>
    <w:rsid w:val="3F8A5BAA"/>
    <w:rsid w:val="3F8B020A"/>
    <w:rsid w:val="3F8E2F0B"/>
    <w:rsid w:val="3F92136C"/>
    <w:rsid w:val="3F9E1960"/>
    <w:rsid w:val="3F9E4CF2"/>
    <w:rsid w:val="3FA933A2"/>
    <w:rsid w:val="3FAD2022"/>
    <w:rsid w:val="3FAE3F57"/>
    <w:rsid w:val="3FAE4204"/>
    <w:rsid w:val="3FAF181F"/>
    <w:rsid w:val="3FB254D7"/>
    <w:rsid w:val="3FB43FB9"/>
    <w:rsid w:val="3FB479A0"/>
    <w:rsid w:val="3FB6220A"/>
    <w:rsid w:val="3FB77D6F"/>
    <w:rsid w:val="3FC815AF"/>
    <w:rsid w:val="3FD404AB"/>
    <w:rsid w:val="3FD94300"/>
    <w:rsid w:val="3FD97438"/>
    <w:rsid w:val="3FDA067E"/>
    <w:rsid w:val="3FDE72C9"/>
    <w:rsid w:val="3FE635F3"/>
    <w:rsid w:val="3FEE0241"/>
    <w:rsid w:val="3FF141E9"/>
    <w:rsid w:val="3FF46EAC"/>
    <w:rsid w:val="3FF53BC5"/>
    <w:rsid w:val="3FF54E76"/>
    <w:rsid w:val="3FF85BCF"/>
    <w:rsid w:val="3FFE23B2"/>
    <w:rsid w:val="401F2835"/>
    <w:rsid w:val="40250F8B"/>
    <w:rsid w:val="40270AF7"/>
    <w:rsid w:val="40292CCE"/>
    <w:rsid w:val="40412C3B"/>
    <w:rsid w:val="404C022A"/>
    <w:rsid w:val="404D6A5F"/>
    <w:rsid w:val="404E04A7"/>
    <w:rsid w:val="404E1AD9"/>
    <w:rsid w:val="405668D4"/>
    <w:rsid w:val="4062348D"/>
    <w:rsid w:val="406234C5"/>
    <w:rsid w:val="40641EAB"/>
    <w:rsid w:val="40653646"/>
    <w:rsid w:val="40681B0B"/>
    <w:rsid w:val="406E1146"/>
    <w:rsid w:val="406E7CC6"/>
    <w:rsid w:val="406F602F"/>
    <w:rsid w:val="40712660"/>
    <w:rsid w:val="40797595"/>
    <w:rsid w:val="407E0656"/>
    <w:rsid w:val="407E1DAB"/>
    <w:rsid w:val="407F3787"/>
    <w:rsid w:val="40805F80"/>
    <w:rsid w:val="40813BEC"/>
    <w:rsid w:val="4084385D"/>
    <w:rsid w:val="40850AD3"/>
    <w:rsid w:val="408F6CEC"/>
    <w:rsid w:val="409232C7"/>
    <w:rsid w:val="40936F19"/>
    <w:rsid w:val="4094009F"/>
    <w:rsid w:val="4097140E"/>
    <w:rsid w:val="40A61EC4"/>
    <w:rsid w:val="40B25D80"/>
    <w:rsid w:val="40C42D24"/>
    <w:rsid w:val="40C55D36"/>
    <w:rsid w:val="40C82C14"/>
    <w:rsid w:val="40CC096F"/>
    <w:rsid w:val="40CF749B"/>
    <w:rsid w:val="40D03DBA"/>
    <w:rsid w:val="40D173B5"/>
    <w:rsid w:val="40D84655"/>
    <w:rsid w:val="40DF3A71"/>
    <w:rsid w:val="40E727D9"/>
    <w:rsid w:val="40EA007D"/>
    <w:rsid w:val="40F23623"/>
    <w:rsid w:val="40F26FED"/>
    <w:rsid w:val="40F435F1"/>
    <w:rsid w:val="40F75BC6"/>
    <w:rsid w:val="40FD51AA"/>
    <w:rsid w:val="4102170A"/>
    <w:rsid w:val="41083CBA"/>
    <w:rsid w:val="41094141"/>
    <w:rsid w:val="4109443A"/>
    <w:rsid w:val="41194DCA"/>
    <w:rsid w:val="411A643C"/>
    <w:rsid w:val="411E1620"/>
    <w:rsid w:val="411F2B4B"/>
    <w:rsid w:val="41213BE8"/>
    <w:rsid w:val="41227067"/>
    <w:rsid w:val="41294129"/>
    <w:rsid w:val="41303E98"/>
    <w:rsid w:val="41333E97"/>
    <w:rsid w:val="41386742"/>
    <w:rsid w:val="41392B23"/>
    <w:rsid w:val="413C0CAB"/>
    <w:rsid w:val="4144054F"/>
    <w:rsid w:val="41461AE8"/>
    <w:rsid w:val="414733AD"/>
    <w:rsid w:val="41480D53"/>
    <w:rsid w:val="41495228"/>
    <w:rsid w:val="414B35E7"/>
    <w:rsid w:val="41506F12"/>
    <w:rsid w:val="41525B90"/>
    <w:rsid w:val="41555250"/>
    <w:rsid w:val="415E67A5"/>
    <w:rsid w:val="415F7D88"/>
    <w:rsid w:val="41651D3A"/>
    <w:rsid w:val="416858EB"/>
    <w:rsid w:val="41694704"/>
    <w:rsid w:val="41694A56"/>
    <w:rsid w:val="416A76F6"/>
    <w:rsid w:val="417048C0"/>
    <w:rsid w:val="41706740"/>
    <w:rsid w:val="417325E3"/>
    <w:rsid w:val="417742AC"/>
    <w:rsid w:val="4179238C"/>
    <w:rsid w:val="418249C7"/>
    <w:rsid w:val="41837D60"/>
    <w:rsid w:val="418B34E4"/>
    <w:rsid w:val="418F69E1"/>
    <w:rsid w:val="419433DE"/>
    <w:rsid w:val="41963A7A"/>
    <w:rsid w:val="419F1BE4"/>
    <w:rsid w:val="419F4083"/>
    <w:rsid w:val="41A7530E"/>
    <w:rsid w:val="41AE7AB9"/>
    <w:rsid w:val="41AF3F94"/>
    <w:rsid w:val="41AF6CA0"/>
    <w:rsid w:val="41B20C20"/>
    <w:rsid w:val="41BC6779"/>
    <w:rsid w:val="41C032CF"/>
    <w:rsid w:val="41C213BA"/>
    <w:rsid w:val="41C25F97"/>
    <w:rsid w:val="41C4063B"/>
    <w:rsid w:val="41C82ECA"/>
    <w:rsid w:val="41CB7430"/>
    <w:rsid w:val="41CC40FF"/>
    <w:rsid w:val="41CD3BB9"/>
    <w:rsid w:val="41D34E7E"/>
    <w:rsid w:val="41D448DE"/>
    <w:rsid w:val="41DC6A82"/>
    <w:rsid w:val="41DE71D2"/>
    <w:rsid w:val="41E10958"/>
    <w:rsid w:val="41E33D30"/>
    <w:rsid w:val="41E80C89"/>
    <w:rsid w:val="41F1341F"/>
    <w:rsid w:val="41F149D3"/>
    <w:rsid w:val="41F54DD6"/>
    <w:rsid w:val="42067189"/>
    <w:rsid w:val="420A22A0"/>
    <w:rsid w:val="420B609C"/>
    <w:rsid w:val="420C5943"/>
    <w:rsid w:val="42111431"/>
    <w:rsid w:val="42112A44"/>
    <w:rsid w:val="421C258C"/>
    <w:rsid w:val="422851E6"/>
    <w:rsid w:val="422870D4"/>
    <w:rsid w:val="422C6C39"/>
    <w:rsid w:val="422D3041"/>
    <w:rsid w:val="422E76A1"/>
    <w:rsid w:val="42433416"/>
    <w:rsid w:val="424F27EE"/>
    <w:rsid w:val="42591948"/>
    <w:rsid w:val="4259274E"/>
    <w:rsid w:val="425D181A"/>
    <w:rsid w:val="42661088"/>
    <w:rsid w:val="426806F4"/>
    <w:rsid w:val="42716473"/>
    <w:rsid w:val="42756068"/>
    <w:rsid w:val="42785A22"/>
    <w:rsid w:val="42785B8C"/>
    <w:rsid w:val="427B1A08"/>
    <w:rsid w:val="427D2F21"/>
    <w:rsid w:val="4288614E"/>
    <w:rsid w:val="4288648A"/>
    <w:rsid w:val="428D045B"/>
    <w:rsid w:val="4292322F"/>
    <w:rsid w:val="429B2B21"/>
    <w:rsid w:val="429D17B5"/>
    <w:rsid w:val="42A35E64"/>
    <w:rsid w:val="42A62228"/>
    <w:rsid w:val="42AB4FE5"/>
    <w:rsid w:val="42B4050E"/>
    <w:rsid w:val="42BC7587"/>
    <w:rsid w:val="42C22E3B"/>
    <w:rsid w:val="42C36CD5"/>
    <w:rsid w:val="42C41FE4"/>
    <w:rsid w:val="42C53953"/>
    <w:rsid w:val="42D74758"/>
    <w:rsid w:val="42D77E08"/>
    <w:rsid w:val="42DD60FE"/>
    <w:rsid w:val="42DF3109"/>
    <w:rsid w:val="42E54ED7"/>
    <w:rsid w:val="42E5558B"/>
    <w:rsid w:val="42F009CC"/>
    <w:rsid w:val="42F05A7C"/>
    <w:rsid w:val="42F13273"/>
    <w:rsid w:val="42FA34CA"/>
    <w:rsid w:val="42FA47A5"/>
    <w:rsid w:val="43034F44"/>
    <w:rsid w:val="43061E6A"/>
    <w:rsid w:val="4312661B"/>
    <w:rsid w:val="43131AD8"/>
    <w:rsid w:val="43300A36"/>
    <w:rsid w:val="43327FC2"/>
    <w:rsid w:val="433A791D"/>
    <w:rsid w:val="433D18C7"/>
    <w:rsid w:val="433F1262"/>
    <w:rsid w:val="43455BBB"/>
    <w:rsid w:val="434A3295"/>
    <w:rsid w:val="434A7154"/>
    <w:rsid w:val="43537F4B"/>
    <w:rsid w:val="435E03EB"/>
    <w:rsid w:val="436029A5"/>
    <w:rsid w:val="43621F79"/>
    <w:rsid w:val="43676D85"/>
    <w:rsid w:val="4369397F"/>
    <w:rsid w:val="43721FD6"/>
    <w:rsid w:val="4375205B"/>
    <w:rsid w:val="43793542"/>
    <w:rsid w:val="43815BC1"/>
    <w:rsid w:val="438666A4"/>
    <w:rsid w:val="43961C3B"/>
    <w:rsid w:val="43963AF8"/>
    <w:rsid w:val="43A04F14"/>
    <w:rsid w:val="43A21FD3"/>
    <w:rsid w:val="43B345AB"/>
    <w:rsid w:val="43B36449"/>
    <w:rsid w:val="43B52F2F"/>
    <w:rsid w:val="43B810FA"/>
    <w:rsid w:val="43C00DA4"/>
    <w:rsid w:val="43CB318B"/>
    <w:rsid w:val="43CC01C3"/>
    <w:rsid w:val="43D40D25"/>
    <w:rsid w:val="43EB0169"/>
    <w:rsid w:val="43EF4A13"/>
    <w:rsid w:val="43F763EA"/>
    <w:rsid w:val="43F95F54"/>
    <w:rsid w:val="43FE1B4F"/>
    <w:rsid w:val="440756DA"/>
    <w:rsid w:val="440B2872"/>
    <w:rsid w:val="4418484A"/>
    <w:rsid w:val="441D117C"/>
    <w:rsid w:val="441E0811"/>
    <w:rsid w:val="44230FA4"/>
    <w:rsid w:val="44287D15"/>
    <w:rsid w:val="44291AFF"/>
    <w:rsid w:val="443315B5"/>
    <w:rsid w:val="44333EE3"/>
    <w:rsid w:val="44367F55"/>
    <w:rsid w:val="443E05F7"/>
    <w:rsid w:val="44534EE3"/>
    <w:rsid w:val="44583CD8"/>
    <w:rsid w:val="445B013B"/>
    <w:rsid w:val="44602AA9"/>
    <w:rsid w:val="44623A64"/>
    <w:rsid w:val="44663932"/>
    <w:rsid w:val="446D7208"/>
    <w:rsid w:val="446E1DC1"/>
    <w:rsid w:val="447E4F37"/>
    <w:rsid w:val="447E71AC"/>
    <w:rsid w:val="44812D72"/>
    <w:rsid w:val="44813040"/>
    <w:rsid w:val="44846F5D"/>
    <w:rsid w:val="44850C92"/>
    <w:rsid w:val="44853513"/>
    <w:rsid w:val="44860D83"/>
    <w:rsid w:val="4489526B"/>
    <w:rsid w:val="44897EE1"/>
    <w:rsid w:val="448A00DF"/>
    <w:rsid w:val="448B57D9"/>
    <w:rsid w:val="44954BB9"/>
    <w:rsid w:val="449824EC"/>
    <w:rsid w:val="44995D36"/>
    <w:rsid w:val="449B220F"/>
    <w:rsid w:val="449F7087"/>
    <w:rsid w:val="44A201BA"/>
    <w:rsid w:val="44A71F1F"/>
    <w:rsid w:val="44B157B6"/>
    <w:rsid w:val="44B216CC"/>
    <w:rsid w:val="44BD6614"/>
    <w:rsid w:val="44C1683E"/>
    <w:rsid w:val="44C570D6"/>
    <w:rsid w:val="44C57A9D"/>
    <w:rsid w:val="44CC022E"/>
    <w:rsid w:val="44D00359"/>
    <w:rsid w:val="44D1062D"/>
    <w:rsid w:val="44D456EB"/>
    <w:rsid w:val="44D56356"/>
    <w:rsid w:val="44D72E8E"/>
    <w:rsid w:val="44DB61C5"/>
    <w:rsid w:val="44DC09F8"/>
    <w:rsid w:val="44E637E8"/>
    <w:rsid w:val="44EA096F"/>
    <w:rsid w:val="44EE114C"/>
    <w:rsid w:val="44F17AC1"/>
    <w:rsid w:val="44F50B70"/>
    <w:rsid w:val="44F510CB"/>
    <w:rsid w:val="44F84979"/>
    <w:rsid w:val="44F90F58"/>
    <w:rsid w:val="44FB1427"/>
    <w:rsid w:val="44FC530F"/>
    <w:rsid w:val="44FD49B4"/>
    <w:rsid w:val="45071C88"/>
    <w:rsid w:val="450A16FF"/>
    <w:rsid w:val="450B6DD7"/>
    <w:rsid w:val="450C25DC"/>
    <w:rsid w:val="45122E52"/>
    <w:rsid w:val="45134CA2"/>
    <w:rsid w:val="451362FD"/>
    <w:rsid w:val="451A5CDD"/>
    <w:rsid w:val="451D6C73"/>
    <w:rsid w:val="452B4795"/>
    <w:rsid w:val="452C76AE"/>
    <w:rsid w:val="452D030C"/>
    <w:rsid w:val="45391754"/>
    <w:rsid w:val="45391C5E"/>
    <w:rsid w:val="4540282F"/>
    <w:rsid w:val="45404374"/>
    <w:rsid w:val="45451C5A"/>
    <w:rsid w:val="45461FBC"/>
    <w:rsid w:val="4555591D"/>
    <w:rsid w:val="45567D79"/>
    <w:rsid w:val="455A6B7E"/>
    <w:rsid w:val="455C139D"/>
    <w:rsid w:val="45607684"/>
    <w:rsid w:val="4563661C"/>
    <w:rsid w:val="45663B9B"/>
    <w:rsid w:val="45664A59"/>
    <w:rsid w:val="456E50EF"/>
    <w:rsid w:val="45721926"/>
    <w:rsid w:val="45760E04"/>
    <w:rsid w:val="45765F5F"/>
    <w:rsid w:val="45781C39"/>
    <w:rsid w:val="45793699"/>
    <w:rsid w:val="457D2DE9"/>
    <w:rsid w:val="45992930"/>
    <w:rsid w:val="459C6D6A"/>
    <w:rsid w:val="459E128F"/>
    <w:rsid w:val="45A33B0B"/>
    <w:rsid w:val="45A87F33"/>
    <w:rsid w:val="45A96DD0"/>
    <w:rsid w:val="45AC7703"/>
    <w:rsid w:val="45AD1072"/>
    <w:rsid w:val="45B557E9"/>
    <w:rsid w:val="45B633EC"/>
    <w:rsid w:val="45BD5D17"/>
    <w:rsid w:val="45C00B79"/>
    <w:rsid w:val="45C8771A"/>
    <w:rsid w:val="45C91687"/>
    <w:rsid w:val="45CB47A1"/>
    <w:rsid w:val="45CC2615"/>
    <w:rsid w:val="45D53351"/>
    <w:rsid w:val="45DF41B2"/>
    <w:rsid w:val="45F0737D"/>
    <w:rsid w:val="45FD3EBA"/>
    <w:rsid w:val="46020FCD"/>
    <w:rsid w:val="46031D7B"/>
    <w:rsid w:val="46050266"/>
    <w:rsid w:val="46050BD4"/>
    <w:rsid w:val="4608264A"/>
    <w:rsid w:val="461341EB"/>
    <w:rsid w:val="461D09DE"/>
    <w:rsid w:val="462733C7"/>
    <w:rsid w:val="46276F1A"/>
    <w:rsid w:val="462B0D86"/>
    <w:rsid w:val="462C2D98"/>
    <w:rsid w:val="46300C97"/>
    <w:rsid w:val="463C2476"/>
    <w:rsid w:val="463D281E"/>
    <w:rsid w:val="463E40DC"/>
    <w:rsid w:val="463F2434"/>
    <w:rsid w:val="464D46BF"/>
    <w:rsid w:val="464E2853"/>
    <w:rsid w:val="46514E54"/>
    <w:rsid w:val="46533945"/>
    <w:rsid w:val="4655332E"/>
    <w:rsid w:val="466064E6"/>
    <w:rsid w:val="46614F86"/>
    <w:rsid w:val="46636785"/>
    <w:rsid w:val="46692341"/>
    <w:rsid w:val="46731A20"/>
    <w:rsid w:val="46747CC0"/>
    <w:rsid w:val="467629F6"/>
    <w:rsid w:val="46785B8E"/>
    <w:rsid w:val="46786CCD"/>
    <w:rsid w:val="46811E41"/>
    <w:rsid w:val="46816807"/>
    <w:rsid w:val="468C1E1A"/>
    <w:rsid w:val="469253FB"/>
    <w:rsid w:val="46952EF6"/>
    <w:rsid w:val="469F30AC"/>
    <w:rsid w:val="46A03FA7"/>
    <w:rsid w:val="46A4258B"/>
    <w:rsid w:val="46A53F97"/>
    <w:rsid w:val="46A61F3C"/>
    <w:rsid w:val="46A66917"/>
    <w:rsid w:val="46AD7C79"/>
    <w:rsid w:val="46B975B3"/>
    <w:rsid w:val="46BC12E2"/>
    <w:rsid w:val="46BD2833"/>
    <w:rsid w:val="46C3645D"/>
    <w:rsid w:val="46D6756B"/>
    <w:rsid w:val="46D76DB1"/>
    <w:rsid w:val="46DE1B1F"/>
    <w:rsid w:val="46DE3D4F"/>
    <w:rsid w:val="46E07084"/>
    <w:rsid w:val="46E22F15"/>
    <w:rsid w:val="46E3679D"/>
    <w:rsid w:val="46E578CE"/>
    <w:rsid w:val="46E86E2E"/>
    <w:rsid w:val="46EE16EC"/>
    <w:rsid w:val="46EE19DD"/>
    <w:rsid w:val="46EF01DD"/>
    <w:rsid w:val="46F036ED"/>
    <w:rsid w:val="46F30D3B"/>
    <w:rsid w:val="46F32BB7"/>
    <w:rsid w:val="46F4052D"/>
    <w:rsid w:val="46F530C2"/>
    <w:rsid w:val="46F907F4"/>
    <w:rsid w:val="46FB2AD2"/>
    <w:rsid w:val="47027441"/>
    <w:rsid w:val="47076519"/>
    <w:rsid w:val="47081552"/>
    <w:rsid w:val="470A6E9A"/>
    <w:rsid w:val="470A7736"/>
    <w:rsid w:val="471340D6"/>
    <w:rsid w:val="471640D1"/>
    <w:rsid w:val="47192863"/>
    <w:rsid w:val="471A1505"/>
    <w:rsid w:val="471C62B9"/>
    <w:rsid w:val="473123A3"/>
    <w:rsid w:val="47390859"/>
    <w:rsid w:val="473B2DFD"/>
    <w:rsid w:val="47405EDE"/>
    <w:rsid w:val="47411689"/>
    <w:rsid w:val="47441A65"/>
    <w:rsid w:val="47491465"/>
    <w:rsid w:val="474A64BE"/>
    <w:rsid w:val="474D38BC"/>
    <w:rsid w:val="47533F0A"/>
    <w:rsid w:val="475444CC"/>
    <w:rsid w:val="476007AB"/>
    <w:rsid w:val="476055C2"/>
    <w:rsid w:val="476349C7"/>
    <w:rsid w:val="47673586"/>
    <w:rsid w:val="47692431"/>
    <w:rsid w:val="476E5E9C"/>
    <w:rsid w:val="477F25CC"/>
    <w:rsid w:val="47841526"/>
    <w:rsid w:val="478C68E9"/>
    <w:rsid w:val="478F4E9E"/>
    <w:rsid w:val="478F5B1C"/>
    <w:rsid w:val="479C23CF"/>
    <w:rsid w:val="47A734B8"/>
    <w:rsid w:val="47AA428D"/>
    <w:rsid w:val="47AD44AD"/>
    <w:rsid w:val="47AE3E5F"/>
    <w:rsid w:val="47B04607"/>
    <w:rsid w:val="47BD2AFD"/>
    <w:rsid w:val="47C50580"/>
    <w:rsid w:val="47C64383"/>
    <w:rsid w:val="47C65442"/>
    <w:rsid w:val="47CA3977"/>
    <w:rsid w:val="47CA47DB"/>
    <w:rsid w:val="47CE219D"/>
    <w:rsid w:val="47D4346A"/>
    <w:rsid w:val="47D9038B"/>
    <w:rsid w:val="47DB3FA0"/>
    <w:rsid w:val="47E007BE"/>
    <w:rsid w:val="47E706C8"/>
    <w:rsid w:val="47EA0846"/>
    <w:rsid w:val="47EB5033"/>
    <w:rsid w:val="47EB55C4"/>
    <w:rsid w:val="47F1125D"/>
    <w:rsid w:val="47F3693A"/>
    <w:rsid w:val="47F76B04"/>
    <w:rsid w:val="47F819D9"/>
    <w:rsid w:val="47FD0731"/>
    <w:rsid w:val="48072AAD"/>
    <w:rsid w:val="48084E26"/>
    <w:rsid w:val="480E563D"/>
    <w:rsid w:val="48136E36"/>
    <w:rsid w:val="48154B58"/>
    <w:rsid w:val="48194259"/>
    <w:rsid w:val="481F63D7"/>
    <w:rsid w:val="482043AB"/>
    <w:rsid w:val="48204895"/>
    <w:rsid w:val="482154DD"/>
    <w:rsid w:val="482477FD"/>
    <w:rsid w:val="48260D22"/>
    <w:rsid w:val="482E75E1"/>
    <w:rsid w:val="48300ADD"/>
    <w:rsid w:val="4836448F"/>
    <w:rsid w:val="483F03DA"/>
    <w:rsid w:val="484074F7"/>
    <w:rsid w:val="48492C81"/>
    <w:rsid w:val="4858093C"/>
    <w:rsid w:val="485F5D0A"/>
    <w:rsid w:val="48621E6E"/>
    <w:rsid w:val="48643CCC"/>
    <w:rsid w:val="4873031B"/>
    <w:rsid w:val="48735116"/>
    <w:rsid w:val="487853E3"/>
    <w:rsid w:val="48814261"/>
    <w:rsid w:val="48855130"/>
    <w:rsid w:val="488D1FCA"/>
    <w:rsid w:val="48934E08"/>
    <w:rsid w:val="489B4AC8"/>
    <w:rsid w:val="48A05411"/>
    <w:rsid w:val="48A217F1"/>
    <w:rsid w:val="48A77074"/>
    <w:rsid w:val="48AA5D88"/>
    <w:rsid w:val="48AD3A15"/>
    <w:rsid w:val="48B20A75"/>
    <w:rsid w:val="48BB32CA"/>
    <w:rsid w:val="48BD0E4E"/>
    <w:rsid w:val="48BF6A91"/>
    <w:rsid w:val="48C801FD"/>
    <w:rsid w:val="48CB0322"/>
    <w:rsid w:val="48CB598C"/>
    <w:rsid w:val="48CF1C1A"/>
    <w:rsid w:val="48D4450F"/>
    <w:rsid w:val="48D801B3"/>
    <w:rsid w:val="48DC2688"/>
    <w:rsid w:val="48E43750"/>
    <w:rsid w:val="48E637E8"/>
    <w:rsid w:val="48E8336D"/>
    <w:rsid w:val="48EC5370"/>
    <w:rsid w:val="48EF440C"/>
    <w:rsid w:val="48F86760"/>
    <w:rsid w:val="48F86CF9"/>
    <w:rsid w:val="48FB6BA9"/>
    <w:rsid w:val="48FE01EA"/>
    <w:rsid w:val="48FE34AA"/>
    <w:rsid w:val="490B4941"/>
    <w:rsid w:val="49105D9B"/>
    <w:rsid w:val="491A1426"/>
    <w:rsid w:val="491A2FC0"/>
    <w:rsid w:val="491D4222"/>
    <w:rsid w:val="492561FD"/>
    <w:rsid w:val="49271B6C"/>
    <w:rsid w:val="49312E4C"/>
    <w:rsid w:val="4931518F"/>
    <w:rsid w:val="49337132"/>
    <w:rsid w:val="49343D09"/>
    <w:rsid w:val="49482465"/>
    <w:rsid w:val="49495815"/>
    <w:rsid w:val="494F7D0B"/>
    <w:rsid w:val="495A38DB"/>
    <w:rsid w:val="496332E8"/>
    <w:rsid w:val="49644316"/>
    <w:rsid w:val="49674BC9"/>
    <w:rsid w:val="49694007"/>
    <w:rsid w:val="49710F45"/>
    <w:rsid w:val="49722044"/>
    <w:rsid w:val="49736F4E"/>
    <w:rsid w:val="497D55A1"/>
    <w:rsid w:val="498777B2"/>
    <w:rsid w:val="498A095F"/>
    <w:rsid w:val="499004D9"/>
    <w:rsid w:val="49A7015D"/>
    <w:rsid w:val="49A94E13"/>
    <w:rsid w:val="49B108DF"/>
    <w:rsid w:val="49B36284"/>
    <w:rsid w:val="49B461FE"/>
    <w:rsid w:val="49BD4B5D"/>
    <w:rsid w:val="49C7397E"/>
    <w:rsid w:val="49CD06E7"/>
    <w:rsid w:val="49D1559F"/>
    <w:rsid w:val="49DF4FBB"/>
    <w:rsid w:val="49E63903"/>
    <w:rsid w:val="49EB3FF7"/>
    <w:rsid w:val="49F103CA"/>
    <w:rsid w:val="49F2328C"/>
    <w:rsid w:val="49F70C32"/>
    <w:rsid w:val="49F85431"/>
    <w:rsid w:val="49F95D74"/>
    <w:rsid w:val="49F95F31"/>
    <w:rsid w:val="49FB71AD"/>
    <w:rsid w:val="49FD3AC3"/>
    <w:rsid w:val="4A042828"/>
    <w:rsid w:val="4A113C53"/>
    <w:rsid w:val="4A116ABE"/>
    <w:rsid w:val="4A117BE9"/>
    <w:rsid w:val="4A1E0E70"/>
    <w:rsid w:val="4A1F20A8"/>
    <w:rsid w:val="4A20025C"/>
    <w:rsid w:val="4A222D48"/>
    <w:rsid w:val="4A227D12"/>
    <w:rsid w:val="4A24691C"/>
    <w:rsid w:val="4A294A72"/>
    <w:rsid w:val="4A2A45CD"/>
    <w:rsid w:val="4A2B7F50"/>
    <w:rsid w:val="4A334EE3"/>
    <w:rsid w:val="4A347333"/>
    <w:rsid w:val="4A353DE2"/>
    <w:rsid w:val="4A357539"/>
    <w:rsid w:val="4A360C07"/>
    <w:rsid w:val="4A36444B"/>
    <w:rsid w:val="4A401353"/>
    <w:rsid w:val="4A450EB7"/>
    <w:rsid w:val="4A51015B"/>
    <w:rsid w:val="4A5A6D4E"/>
    <w:rsid w:val="4A5B6DC5"/>
    <w:rsid w:val="4A6464FA"/>
    <w:rsid w:val="4A650664"/>
    <w:rsid w:val="4A6678FA"/>
    <w:rsid w:val="4A6A792D"/>
    <w:rsid w:val="4A6C3E8D"/>
    <w:rsid w:val="4A7625EF"/>
    <w:rsid w:val="4A762BBA"/>
    <w:rsid w:val="4A7D7D0C"/>
    <w:rsid w:val="4A863639"/>
    <w:rsid w:val="4A8C27C3"/>
    <w:rsid w:val="4A8D04A3"/>
    <w:rsid w:val="4A901507"/>
    <w:rsid w:val="4A956920"/>
    <w:rsid w:val="4AA25265"/>
    <w:rsid w:val="4AA62F5B"/>
    <w:rsid w:val="4AA77D9E"/>
    <w:rsid w:val="4AC31B50"/>
    <w:rsid w:val="4AC46E2F"/>
    <w:rsid w:val="4AC64A0A"/>
    <w:rsid w:val="4AC744C9"/>
    <w:rsid w:val="4AC90C03"/>
    <w:rsid w:val="4ACA0754"/>
    <w:rsid w:val="4ACA6CF5"/>
    <w:rsid w:val="4AD4423F"/>
    <w:rsid w:val="4ADD501A"/>
    <w:rsid w:val="4AE73C76"/>
    <w:rsid w:val="4AE87BFB"/>
    <w:rsid w:val="4AEA6392"/>
    <w:rsid w:val="4AF0330D"/>
    <w:rsid w:val="4B03091B"/>
    <w:rsid w:val="4B053C58"/>
    <w:rsid w:val="4B065404"/>
    <w:rsid w:val="4B0A261C"/>
    <w:rsid w:val="4B0D26F9"/>
    <w:rsid w:val="4B0D402B"/>
    <w:rsid w:val="4B0F1454"/>
    <w:rsid w:val="4B14271E"/>
    <w:rsid w:val="4B3249D9"/>
    <w:rsid w:val="4B363F8C"/>
    <w:rsid w:val="4B384E1A"/>
    <w:rsid w:val="4B385E4C"/>
    <w:rsid w:val="4B3E344D"/>
    <w:rsid w:val="4B4400A6"/>
    <w:rsid w:val="4B4F3D5F"/>
    <w:rsid w:val="4B536976"/>
    <w:rsid w:val="4B631836"/>
    <w:rsid w:val="4B6467F1"/>
    <w:rsid w:val="4B6C2991"/>
    <w:rsid w:val="4B737E69"/>
    <w:rsid w:val="4B757CC4"/>
    <w:rsid w:val="4B76193C"/>
    <w:rsid w:val="4B785146"/>
    <w:rsid w:val="4B7E315B"/>
    <w:rsid w:val="4B813CBE"/>
    <w:rsid w:val="4B977AC9"/>
    <w:rsid w:val="4B982B3F"/>
    <w:rsid w:val="4B9E30B8"/>
    <w:rsid w:val="4BA57DE6"/>
    <w:rsid w:val="4BA84FE4"/>
    <w:rsid w:val="4BAD1CEA"/>
    <w:rsid w:val="4BAE1201"/>
    <w:rsid w:val="4BAE1440"/>
    <w:rsid w:val="4BB56469"/>
    <w:rsid w:val="4BBF3561"/>
    <w:rsid w:val="4BBF4D7C"/>
    <w:rsid w:val="4BCA42BD"/>
    <w:rsid w:val="4BDA642E"/>
    <w:rsid w:val="4BF60202"/>
    <w:rsid w:val="4BF87979"/>
    <w:rsid w:val="4BFA6898"/>
    <w:rsid w:val="4BFC303D"/>
    <w:rsid w:val="4BFD6717"/>
    <w:rsid w:val="4C0D045A"/>
    <w:rsid w:val="4C1400F3"/>
    <w:rsid w:val="4C1432FB"/>
    <w:rsid w:val="4C1E1719"/>
    <w:rsid w:val="4C1E3988"/>
    <w:rsid w:val="4C266E71"/>
    <w:rsid w:val="4C27117E"/>
    <w:rsid w:val="4C294E52"/>
    <w:rsid w:val="4C2A0976"/>
    <w:rsid w:val="4C3A6B00"/>
    <w:rsid w:val="4C49528A"/>
    <w:rsid w:val="4C4E16F5"/>
    <w:rsid w:val="4C5C6EDD"/>
    <w:rsid w:val="4C5D0CF9"/>
    <w:rsid w:val="4C69273F"/>
    <w:rsid w:val="4C713868"/>
    <w:rsid w:val="4C732F5E"/>
    <w:rsid w:val="4C7A6D44"/>
    <w:rsid w:val="4C7B15F6"/>
    <w:rsid w:val="4C7D159E"/>
    <w:rsid w:val="4C7F283E"/>
    <w:rsid w:val="4C913047"/>
    <w:rsid w:val="4C92465C"/>
    <w:rsid w:val="4C930425"/>
    <w:rsid w:val="4C933478"/>
    <w:rsid w:val="4C955857"/>
    <w:rsid w:val="4C965F85"/>
    <w:rsid w:val="4C9A3849"/>
    <w:rsid w:val="4C9D5B46"/>
    <w:rsid w:val="4C9F03A0"/>
    <w:rsid w:val="4CA322F1"/>
    <w:rsid w:val="4CB53B29"/>
    <w:rsid w:val="4CBA74DA"/>
    <w:rsid w:val="4CBB2691"/>
    <w:rsid w:val="4CBC4E24"/>
    <w:rsid w:val="4CC96872"/>
    <w:rsid w:val="4CD7565B"/>
    <w:rsid w:val="4CD866D9"/>
    <w:rsid w:val="4CD916F0"/>
    <w:rsid w:val="4CDB7CFA"/>
    <w:rsid w:val="4CE15FF3"/>
    <w:rsid w:val="4CE42065"/>
    <w:rsid w:val="4CEB6FA1"/>
    <w:rsid w:val="4CF62D02"/>
    <w:rsid w:val="4CF71914"/>
    <w:rsid w:val="4CFA2F72"/>
    <w:rsid w:val="4D0A3177"/>
    <w:rsid w:val="4D0F48C4"/>
    <w:rsid w:val="4D181EFF"/>
    <w:rsid w:val="4D1C12F1"/>
    <w:rsid w:val="4D2B569B"/>
    <w:rsid w:val="4D2C7EEB"/>
    <w:rsid w:val="4D2D4B24"/>
    <w:rsid w:val="4D2F61DE"/>
    <w:rsid w:val="4D34790D"/>
    <w:rsid w:val="4D43236B"/>
    <w:rsid w:val="4D457526"/>
    <w:rsid w:val="4D496F49"/>
    <w:rsid w:val="4D4B0D6F"/>
    <w:rsid w:val="4D554B17"/>
    <w:rsid w:val="4D575C85"/>
    <w:rsid w:val="4D592608"/>
    <w:rsid w:val="4D597EE0"/>
    <w:rsid w:val="4D5F04A8"/>
    <w:rsid w:val="4D6C438C"/>
    <w:rsid w:val="4D730873"/>
    <w:rsid w:val="4D7358E3"/>
    <w:rsid w:val="4D737216"/>
    <w:rsid w:val="4D786349"/>
    <w:rsid w:val="4D932CCA"/>
    <w:rsid w:val="4D9448B9"/>
    <w:rsid w:val="4D9535C7"/>
    <w:rsid w:val="4D955FCC"/>
    <w:rsid w:val="4D9660D9"/>
    <w:rsid w:val="4D9A2320"/>
    <w:rsid w:val="4D9E57B3"/>
    <w:rsid w:val="4DA8351A"/>
    <w:rsid w:val="4DAD465D"/>
    <w:rsid w:val="4DB13EFE"/>
    <w:rsid w:val="4DB36946"/>
    <w:rsid w:val="4DB42272"/>
    <w:rsid w:val="4DC034A1"/>
    <w:rsid w:val="4DC46226"/>
    <w:rsid w:val="4DCE0C9C"/>
    <w:rsid w:val="4DD45B03"/>
    <w:rsid w:val="4DD60B2B"/>
    <w:rsid w:val="4DDA0452"/>
    <w:rsid w:val="4DDA674E"/>
    <w:rsid w:val="4DE10FE4"/>
    <w:rsid w:val="4DEC5E41"/>
    <w:rsid w:val="4DEF7B07"/>
    <w:rsid w:val="4DF95F13"/>
    <w:rsid w:val="4DFA5D2E"/>
    <w:rsid w:val="4DFB5241"/>
    <w:rsid w:val="4DFC665D"/>
    <w:rsid w:val="4E01603E"/>
    <w:rsid w:val="4E0A5145"/>
    <w:rsid w:val="4E0C3F5C"/>
    <w:rsid w:val="4E0D2463"/>
    <w:rsid w:val="4E0F7532"/>
    <w:rsid w:val="4E104024"/>
    <w:rsid w:val="4E1A05B2"/>
    <w:rsid w:val="4E217D45"/>
    <w:rsid w:val="4E2423FB"/>
    <w:rsid w:val="4E290652"/>
    <w:rsid w:val="4E2A0DA2"/>
    <w:rsid w:val="4E3118A2"/>
    <w:rsid w:val="4E326083"/>
    <w:rsid w:val="4E34529B"/>
    <w:rsid w:val="4E3D3829"/>
    <w:rsid w:val="4E431A1C"/>
    <w:rsid w:val="4E4B1117"/>
    <w:rsid w:val="4E4C0581"/>
    <w:rsid w:val="4E4C4C04"/>
    <w:rsid w:val="4E4D15C5"/>
    <w:rsid w:val="4E5665B2"/>
    <w:rsid w:val="4E571DF7"/>
    <w:rsid w:val="4E575257"/>
    <w:rsid w:val="4E5767E1"/>
    <w:rsid w:val="4E5C19ED"/>
    <w:rsid w:val="4E690508"/>
    <w:rsid w:val="4E696971"/>
    <w:rsid w:val="4E6A4DD8"/>
    <w:rsid w:val="4E6A6854"/>
    <w:rsid w:val="4E6E6ED6"/>
    <w:rsid w:val="4E7253CD"/>
    <w:rsid w:val="4E7270B3"/>
    <w:rsid w:val="4E730CFB"/>
    <w:rsid w:val="4E752B16"/>
    <w:rsid w:val="4E7577FC"/>
    <w:rsid w:val="4E8B4E7F"/>
    <w:rsid w:val="4E914CCF"/>
    <w:rsid w:val="4E915B2A"/>
    <w:rsid w:val="4E923593"/>
    <w:rsid w:val="4E950BA1"/>
    <w:rsid w:val="4E9552D0"/>
    <w:rsid w:val="4E96777E"/>
    <w:rsid w:val="4E9A5006"/>
    <w:rsid w:val="4E9E6D8C"/>
    <w:rsid w:val="4EA26ABF"/>
    <w:rsid w:val="4EA80992"/>
    <w:rsid w:val="4EA91CD2"/>
    <w:rsid w:val="4EAE7876"/>
    <w:rsid w:val="4EB84F37"/>
    <w:rsid w:val="4EB927F7"/>
    <w:rsid w:val="4EB929DF"/>
    <w:rsid w:val="4EC03DB9"/>
    <w:rsid w:val="4ED85A88"/>
    <w:rsid w:val="4EE63509"/>
    <w:rsid w:val="4EE74154"/>
    <w:rsid w:val="4EEA695E"/>
    <w:rsid w:val="4EEC6B85"/>
    <w:rsid w:val="4EF5262F"/>
    <w:rsid w:val="4EF96A2A"/>
    <w:rsid w:val="4F011851"/>
    <w:rsid w:val="4F0A4781"/>
    <w:rsid w:val="4F0B5BAD"/>
    <w:rsid w:val="4F152818"/>
    <w:rsid w:val="4F1A65AE"/>
    <w:rsid w:val="4F1C6BD3"/>
    <w:rsid w:val="4F1C7EF0"/>
    <w:rsid w:val="4F1E7A43"/>
    <w:rsid w:val="4F241536"/>
    <w:rsid w:val="4F272D15"/>
    <w:rsid w:val="4F2861BC"/>
    <w:rsid w:val="4F291195"/>
    <w:rsid w:val="4F2C7DC8"/>
    <w:rsid w:val="4F2D5CFC"/>
    <w:rsid w:val="4F406768"/>
    <w:rsid w:val="4F44461B"/>
    <w:rsid w:val="4F470BF8"/>
    <w:rsid w:val="4F4C6E5F"/>
    <w:rsid w:val="4F4D187E"/>
    <w:rsid w:val="4F4D288C"/>
    <w:rsid w:val="4F4D5F76"/>
    <w:rsid w:val="4F5077B5"/>
    <w:rsid w:val="4F554494"/>
    <w:rsid w:val="4F5F2E1B"/>
    <w:rsid w:val="4F5F6EE1"/>
    <w:rsid w:val="4F667E55"/>
    <w:rsid w:val="4F700EB6"/>
    <w:rsid w:val="4F771A62"/>
    <w:rsid w:val="4F7A53A2"/>
    <w:rsid w:val="4F8103E5"/>
    <w:rsid w:val="4F8421AE"/>
    <w:rsid w:val="4F894EB8"/>
    <w:rsid w:val="4F8B3325"/>
    <w:rsid w:val="4F931B33"/>
    <w:rsid w:val="4F953B7B"/>
    <w:rsid w:val="4F95596D"/>
    <w:rsid w:val="4F9848FB"/>
    <w:rsid w:val="4F9E209A"/>
    <w:rsid w:val="4F9E716D"/>
    <w:rsid w:val="4FA519B3"/>
    <w:rsid w:val="4FA61710"/>
    <w:rsid w:val="4FA92BC7"/>
    <w:rsid w:val="4FBA78C4"/>
    <w:rsid w:val="4FC145DA"/>
    <w:rsid w:val="4FC30482"/>
    <w:rsid w:val="4FC457A9"/>
    <w:rsid w:val="4FCD2362"/>
    <w:rsid w:val="4FD67734"/>
    <w:rsid w:val="4FD830B6"/>
    <w:rsid w:val="4FD876AC"/>
    <w:rsid w:val="4FDE48D1"/>
    <w:rsid w:val="4FDF2D03"/>
    <w:rsid w:val="4FE3237D"/>
    <w:rsid w:val="4FE62190"/>
    <w:rsid w:val="4FE67B8F"/>
    <w:rsid w:val="4FE813DF"/>
    <w:rsid w:val="4FEC0D3F"/>
    <w:rsid w:val="4FED3160"/>
    <w:rsid w:val="4FF3099E"/>
    <w:rsid w:val="4FF602BE"/>
    <w:rsid w:val="4FF7129E"/>
    <w:rsid w:val="4FFD5EFF"/>
    <w:rsid w:val="50013F1F"/>
    <w:rsid w:val="50016317"/>
    <w:rsid w:val="50024F1E"/>
    <w:rsid w:val="50041757"/>
    <w:rsid w:val="50043685"/>
    <w:rsid w:val="50051B5E"/>
    <w:rsid w:val="50062153"/>
    <w:rsid w:val="500F1540"/>
    <w:rsid w:val="501E5D33"/>
    <w:rsid w:val="50201442"/>
    <w:rsid w:val="50221170"/>
    <w:rsid w:val="50297503"/>
    <w:rsid w:val="502A1E70"/>
    <w:rsid w:val="503015E0"/>
    <w:rsid w:val="503540C2"/>
    <w:rsid w:val="503B46AD"/>
    <w:rsid w:val="50434F83"/>
    <w:rsid w:val="50445D1C"/>
    <w:rsid w:val="50474A92"/>
    <w:rsid w:val="504B2C3E"/>
    <w:rsid w:val="504C57FA"/>
    <w:rsid w:val="504C5F7E"/>
    <w:rsid w:val="504D275C"/>
    <w:rsid w:val="504D2CCD"/>
    <w:rsid w:val="50506DE6"/>
    <w:rsid w:val="505C5BA2"/>
    <w:rsid w:val="505E606E"/>
    <w:rsid w:val="505F0F12"/>
    <w:rsid w:val="505F6E2D"/>
    <w:rsid w:val="506866AB"/>
    <w:rsid w:val="5069244F"/>
    <w:rsid w:val="506961B1"/>
    <w:rsid w:val="506C7BB3"/>
    <w:rsid w:val="506E4214"/>
    <w:rsid w:val="50783260"/>
    <w:rsid w:val="50880DB8"/>
    <w:rsid w:val="509543FE"/>
    <w:rsid w:val="50967EE6"/>
    <w:rsid w:val="509A2BC2"/>
    <w:rsid w:val="50A45DE9"/>
    <w:rsid w:val="50A905B2"/>
    <w:rsid w:val="50AA0D3D"/>
    <w:rsid w:val="50B0015B"/>
    <w:rsid w:val="50B14B7E"/>
    <w:rsid w:val="50B2666C"/>
    <w:rsid w:val="50B37CA4"/>
    <w:rsid w:val="50B52C22"/>
    <w:rsid w:val="50B57E06"/>
    <w:rsid w:val="50BB2DDB"/>
    <w:rsid w:val="50BD024F"/>
    <w:rsid w:val="50C13D72"/>
    <w:rsid w:val="50C41328"/>
    <w:rsid w:val="50D10219"/>
    <w:rsid w:val="50D4548E"/>
    <w:rsid w:val="50D93FAE"/>
    <w:rsid w:val="50DA3166"/>
    <w:rsid w:val="50DA3269"/>
    <w:rsid w:val="50DE0B85"/>
    <w:rsid w:val="50E01DC1"/>
    <w:rsid w:val="50E16BE3"/>
    <w:rsid w:val="50EF4F59"/>
    <w:rsid w:val="50F01AF0"/>
    <w:rsid w:val="50F07030"/>
    <w:rsid w:val="50F41B04"/>
    <w:rsid w:val="50F436C8"/>
    <w:rsid w:val="51015D45"/>
    <w:rsid w:val="51026A07"/>
    <w:rsid w:val="510D2916"/>
    <w:rsid w:val="510F1C3D"/>
    <w:rsid w:val="510F6214"/>
    <w:rsid w:val="51132039"/>
    <w:rsid w:val="5116587F"/>
    <w:rsid w:val="51187826"/>
    <w:rsid w:val="511F1A60"/>
    <w:rsid w:val="51280590"/>
    <w:rsid w:val="512E3ED3"/>
    <w:rsid w:val="51315B0F"/>
    <w:rsid w:val="513632B0"/>
    <w:rsid w:val="51365C91"/>
    <w:rsid w:val="51372FE5"/>
    <w:rsid w:val="51394E3F"/>
    <w:rsid w:val="513A0B65"/>
    <w:rsid w:val="5142016A"/>
    <w:rsid w:val="514A7B88"/>
    <w:rsid w:val="514C12B8"/>
    <w:rsid w:val="514C78C0"/>
    <w:rsid w:val="51501E4F"/>
    <w:rsid w:val="51536481"/>
    <w:rsid w:val="515552AA"/>
    <w:rsid w:val="515A43B1"/>
    <w:rsid w:val="51656088"/>
    <w:rsid w:val="516A60A2"/>
    <w:rsid w:val="51705D14"/>
    <w:rsid w:val="51722153"/>
    <w:rsid w:val="51793826"/>
    <w:rsid w:val="518274CB"/>
    <w:rsid w:val="51940769"/>
    <w:rsid w:val="519A5C79"/>
    <w:rsid w:val="51A5699E"/>
    <w:rsid w:val="51AA4D1F"/>
    <w:rsid w:val="51B44263"/>
    <w:rsid w:val="51B85B99"/>
    <w:rsid w:val="51BF5CAC"/>
    <w:rsid w:val="51C7527F"/>
    <w:rsid w:val="51CF23D3"/>
    <w:rsid w:val="51D074EA"/>
    <w:rsid w:val="51DF1844"/>
    <w:rsid w:val="51E37040"/>
    <w:rsid w:val="51E82DF1"/>
    <w:rsid w:val="51EE14DA"/>
    <w:rsid w:val="51F6629E"/>
    <w:rsid w:val="51F8649C"/>
    <w:rsid w:val="52014BA7"/>
    <w:rsid w:val="52021F05"/>
    <w:rsid w:val="52022A4F"/>
    <w:rsid w:val="52045A95"/>
    <w:rsid w:val="52080C18"/>
    <w:rsid w:val="520B4A8B"/>
    <w:rsid w:val="52112C10"/>
    <w:rsid w:val="521145FF"/>
    <w:rsid w:val="521436D2"/>
    <w:rsid w:val="52194CE3"/>
    <w:rsid w:val="521A51D2"/>
    <w:rsid w:val="521C67BC"/>
    <w:rsid w:val="522179A9"/>
    <w:rsid w:val="52233220"/>
    <w:rsid w:val="522A5D95"/>
    <w:rsid w:val="522A64D2"/>
    <w:rsid w:val="522D4C62"/>
    <w:rsid w:val="523A36F8"/>
    <w:rsid w:val="523C386A"/>
    <w:rsid w:val="52477DD7"/>
    <w:rsid w:val="524A2225"/>
    <w:rsid w:val="524C1AD1"/>
    <w:rsid w:val="52541950"/>
    <w:rsid w:val="5258568F"/>
    <w:rsid w:val="52593133"/>
    <w:rsid w:val="525B1F64"/>
    <w:rsid w:val="525E372A"/>
    <w:rsid w:val="52606C59"/>
    <w:rsid w:val="526202FC"/>
    <w:rsid w:val="52652E81"/>
    <w:rsid w:val="5271698F"/>
    <w:rsid w:val="5273545C"/>
    <w:rsid w:val="52753392"/>
    <w:rsid w:val="527725E7"/>
    <w:rsid w:val="527D5A39"/>
    <w:rsid w:val="52837FD3"/>
    <w:rsid w:val="528413E5"/>
    <w:rsid w:val="528F6C64"/>
    <w:rsid w:val="52915AF1"/>
    <w:rsid w:val="529A4A48"/>
    <w:rsid w:val="529E6965"/>
    <w:rsid w:val="52A00B02"/>
    <w:rsid w:val="52A15BED"/>
    <w:rsid w:val="52A51DA6"/>
    <w:rsid w:val="52A73E7A"/>
    <w:rsid w:val="52AA38AE"/>
    <w:rsid w:val="52AD67F6"/>
    <w:rsid w:val="52B21E57"/>
    <w:rsid w:val="52BD47EA"/>
    <w:rsid w:val="52CA397A"/>
    <w:rsid w:val="52CC095C"/>
    <w:rsid w:val="52CF7A97"/>
    <w:rsid w:val="52D17F85"/>
    <w:rsid w:val="52D30B75"/>
    <w:rsid w:val="52D7336F"/>
    <w:rsid w:val="52DB3440"/>
    <w:rsid w:val="52EC3000"/>
    <w:rsid w:val="52F366EE"/>
    <w:rsid w:val="52F402B7"/>
    <w:rsid w:val="52F95DBD"/>
    <w:rsid w:val="52FD3B6C"/>
    <w:rsid w:val="52FE161B"/>
    <w:rsid w:val="53026716"/>
    <w:rsid w:val="53084309"/>
    <w:rsid w:val="5309158B"/>
    <w:rsid w:val="530A638A"/>
    <w:rsid w:val="530E51CA"/>
    <w:rsid w:val="53134248"/>
    <w:rsid w:val="531474F1"/>
    <w:rsid w:val="531C1071"/>
    <w:rsid w:val="531D610D"/>
    <w:rsid w:val="53200CCD"/>
    <w:rsid w:val="532053FA"/>
    <w:rsid w:val="53214E45"/>
    <w:rsid w:val="532F3B1A"/>
    <w:rsid w:val="533A542C"/>
    <w:rsid w:val="53402D3D"/>
    <w:rsid w:val="53435358"/>
    <w:rsid w:val="53447ABE"/>
    <w:rsid w:val="5345274D"/>
    <w:rsid w:val="53596B69"/>
    <w:rsid w:val="535A347D"/>
    <w:rsid w:val="535A3814"/>
    <w:rsid w:val="535D1384"/>
    <w:rsid w:val="535F448C"/>
    <w:rsid w:val="535F765E"/>
    <w:rsid w:val="53665399"/>
    <w:rsid w:val="53680A7F"/>
    <w:rsid w:val="53684C24"/>
    <w:rsid w:val="5372386D"/>
    <w:rsid w:val="53730E73"/>
    <w:rsid w:val="53777CDC"/>
    <w:rsid w:val="53790CC5"/>
    <w:rsid w:val="538B6E18"/>
    <w:rsid w:val="538C666B"/>
    <w:rsid w:val="538F66AB"/>
    <w:rsid w:val="5393457C"/>
    <w:rsid w:val="53A23027"/>
    <w:rsid w:val="53A238D5"/>
    <w:rsid w:val="53A57185"/>
    <w:rsid w:val="53A673B2"/>
    <w:rsid w:val="53AA0419"/>
    <w:rsid w:val="53AD7726"/>
    <w:rsid w:val="53AF14ED"/>
    <w:rsid w:val="53B20651"/>
    <w:rsid w:val="53B34C09"/>
    <w:rsid w:val="53B87A6C"/>
    <w:rsid w:val="53BE6AD2"/>
    <w:rsid w:val="53C22151"/>
    <w:rsid w:val="53C50D22"/>
    <w:rsid w:val="53CA52EB"/>
    <w:rsid w:val="53D0566A"/>
    <w:rsid w:val="53D1048F"/>
    <w:rsid w:val="53D23999"/>
    <w:rsid w:val="53D5251A"/>
    <w:rsid w:val="53DC256C"/>
    <w:rsid w:val="53E156E2"/>
    <w:rsid w:val="53E64FEA"/>
    <w:rsid w:val="53E81141"/>
    <w:rsid w:val="53EC01D5"/>
    <w:rsid w:val="53F127DC"/>
    <w:rsid w:val="53F14250"/>
    <w:rsid w:val="53F329F2"/>
    <w:rsid w:val="53FE5E06"/>
    <w:rsid w:val="540104B6"/>
    <w:rsid w:val="54053D8D"/>
    <w:rsid w:val="54063DC4"/>
    <w:rsid w:val="54065179"/>
    <w:rsid w:val="54115408"/>
    <w:rsid w:val="541418FE"/>
    <w:rsid w:val="54157948"/>
    <w:rsid w:val="5419355E"/>
    <w:rsid w:val="541E3B0C"/>
    <w:rsid w:val="54210DAB"/>
    <w:rsid w:val="54341A8C"/>
    <w:rsid w:val="54362787"/>
    <w:rsid w:val="543E20E3"/>
    <w:rsid w:val="54417D9F"/>
    <w:rsid w:val="54427183"/>
    <w:rsid w:val="544B05C0"/>
    <w:rsid w:val="545533E9"/>
    <w:rsid w:val="54573311"/>
    <w:rsid w:val="54592060"/>
    <w:rsid w:val="545B3419"/>
    <w:rsid w:val="545B7ACA"/>
    <w:rsid w:val="545D7358"/>
    <w:rsid w:val="54670438"/>
    <w:rsid w:val="54676B69"/>
    <w:rsid w:val="54676CBB"/>
    <w:rsid w:val="546A096A"/>
    <w:rsid w:val="546B363B"/>
    <w:rsid w:val="547516C2"/>
    <w:rsid w:val="54765E5E"/>
    <w:rsid w:val="54823BE6"/>
    <w:rsid w:val="54850D2A"/>
    <w:rsid w:val="549161E7"/>
    <w:rsid w:val="549668B7"/>
    <w:rsid w:val="549867E7"/>
    <w:rsid w:val="549A159D"/>
    <w:rsid w:val="54A20799"/>
    <w:rsid w:val="54A42193"/>
    <w:rsid w:val="54A474C1"/>
    <w:rsid w:val="54A54AFB"/>
    <w:rsid w:val="54A740AD"/>
    <w:rsid w:val="54A9113D"/>
    <w:rsid w:val="54AB4151"/>
    <w:rsid w:val="54B17923"/>
    <w:rsid w:val="54B378C5"/>
    <w:rsid w:val="54B67569"/>
    <w:rsid w:val="54BE0762"/>
    <w:rsid w:val="54D048D4"/>
    <w:rsid w:val="54D1645C"/>
    <w:rsid w:val="54D36609"/>
    <w:rsid w:val="54D861CA"/>
    <w:rsid w:val="54DD605F"/>
    <w:rsid w:val="54DF52F8"/>
    <w:rsid w:val="54E25C4F"/>
    <w:rsid w:val="54E36F00"/>
    <w:rsid w:val="54E5265B"/>
    <w:rsid w:val="54F074E9"/>
    <w:rsid w:val="54FB75D3"/>
    <w:rsid w:val="55030B0F"/>
    <w:rsid w:val="550324BA"/>
    <w:rsid w:val="55070CEF"/>
    <w:rsid w:val="550A46DF"/>
    <w:rsid w:val="550D043D"/>
    <w:rsid w:val="550E5938"/>
    <w:rsid w:val="550E760A"/>
    <w:rsid w:val="55165147"/>
    <w:rsid w:val="551951B8"/>
    <w:rsid w:val="551B235E"/>
    <w:rsid w:val="551B4E45"/>
    <w:rsid w:val="551C14D8"/>
    <w:rsid w:val="552017EE"/>
    <w:rsid w:val="552375B5"/>
    <w:rsid w:val="55305626"/>
    <w:rsid w:val="55354AD8"/>
    <w:rsid w:val="55385031"/>
    <w:rsid w:val="553B3FB6"/>
    <w:rsid w:val="554D5F81"/>
    <w:rsid w:val="55567DCD"/>
    <w:rsid w:val="5557242E"/>
    <w:rsid w:val="555E0DB2"/>
    <w:rsid w:val="555F5BF6"/>
    <w:rsid w:val="55671A8E"/>
    <w:rsid w:val="557A5675"/>
    <w:rsid w:val="557F07F3"/>
    <w:rsid w:val="558241B5"/>
    <w:rsid w:val="55845AD9"/>
    <w:rsid w:val="558850A4"/>
    <w:rsid w:val="558C285B"/>
    <w:rsid w:val="5598586C"/>
    <w:rsid w:val="559D3020"/>
    <w:rsid w:val="55A24037"/>
    <w:rsid w:val="55A63A0A"/>
    <w:rsid w:val="55A81F71"/>
    <w:rsid w:val="55AC0E22"/>
    <w:rsid w:val="55B34996"/>
    <w:rsid w:val="55B81B59"/>
    <w:rsid w:val="55B86F8F"/>
    <w:rsid w:val="55C52628"/>
    <w:rsid w:val="55C75DF0"/>
    <w:rsid w:val="55CA7DDA"/>
    <w:rsid w:val="55CD61A8"/>
    <w:rsid w:val="55D62B39"/>
    <w:rsid w:val="55D95C3B"/>
    <w:rsid w:val="55DC102D"/>
    <w:rsid w:val="55DE49AF"/>
    <w:rsid w:val="55E6047F"/>
    <w:rsid w:val="55E6414E"/>
    <w:rsid w:val="55EB30FF"/>
    <w:rsid w:val="55ED5AD1"/>
    <w:rsid w:val="55F50390"/>
    <w:rsid w:val="55FA35BE"/>
    <w:rsid w:val="56013350"/>
    <w:rsid w:val="56047DFD"/>
    <w:rsid w:val="560642DC"/>
    <w:rsid w:val="560A50BF"/>
    <w:rsid w:val="560A781E"/>
    <w:rsid w:val="56102313"/>
    <w:rsid w:val="561B7F6D"/>
    <w:rsid w:val="561C07B1"/>
    <w:rsid w:val="561E186F"/>
    <w:rsid w:val="561F04ED"/>
    <w:rsid w:val="56220D8B"/>
    <w:rsid w:val="562347BC"/>
    <w:rsid w:val="562422E2"/>
    <w:rsid w:val="562631AE"/>
    <w:rsid w:val="562716F8"/>
    <w:rsid w:val="56274386"/>
    <w:rsid w:val="563479CB"/>
    <w:rsid w:val="5635150D"/>
    <w:rsid w:val="56362321"/>
    <w:rsid w:val="563F347A"/>
    <w:rsid w:val="5642799B"/>
    <w:rsid w:val="56431450"/>
    <w:rsid w:val="56454091"/>
    <w:rsid w:val="564A62AC"/>
    <w:rsid w:val="564B21A3"/>
    <w:rsid w:val="56662918"/>
    <w:rsid w:val="566E646B"/>
    <w:rsid w:val="56704685"/>
    <w:rsid w:val="567442E4"/>
    <w:rsid w:val="56770BAB"/>
    <w:rsid w:val="567C5764"/>
    <w:rsid w:val="567D6EFD"/>
    <w:rsid w:val="56895397"/>
    <w:rsid w:val="568B2E25"/>
    <w:rsid w:val="568D03DC"/>
    <w:rsid w:val="568D5B52"/>
    <w:rsid w:val="568F136D"/>
    <w:rsid w:val="568F2493"/>
    <w:rsid w:val="56925E03"/>
    <w:rsid w:val="56950CF7"/>
    <w:rsid w:val="56A31B7D"/>
    <w:rsid w:val="56A8580C"/>
    <w:rsid w:val="56A9256D"/>
    <w:rsid w:val="56AA79B4"/>
    <w:rsid w:val="56AF075A"/>
    <w:rsid w:val="56B34203"/>
    <w:rsid w:val="56B60D7E"/>
    <w:rsid w:val="56B65646"/>
    <w:rsid w:val="56C2085D"/>
    <w:rsid w:val="56C87C28"/>
    <w:rsid w:val="56D40C89"/>
    <w:rsid w:val="56DA47C5"/>
    <w:rsid w:val="56DC67AC"/>
    <w:rsid w:val="56E11F7B"/>
    <w:rsid w:val="56E1733B"/>
    <w:rsid w:val="56E32A29"/>
    <w:rsid w:val="56E51616"/>
    <w:rsid w:val="56E72696"/>
    <w:rsid w:val="56E82778"/>
    <w:rsid w:val="56EA7C9F"/>
    <w:rsid w:val="56F658B0"/>
    <w:rsid w:val="56FA6625"/>
    <w:rsid w:val="56FF1198"/>
    <w:rsid w:val="570230DF"/>
    <w:rsid w:val="57036028"/>
    <w:rsid w:val="570723C7"/>
    <w:rsid w:val="570753D6"/>
    <w:rsid w:val="5709518A"/>
    <w:rsid w:val="5713012B"/>
    <w:rsid w:val="57141D34"/>
    <w:rsid w:val="57191164"/>
    <w:rsid w:val="571A1D21"/>
    <w:rsid w:val="571F4752"/>
    <w:rsid w:val="572326F5"/>
    <w:rsid w:val="57252922"/>
    <w:rsid w:val="57253800"/>
    <w:rsid w:val="572655A1"/>
    <w:rsid w:val="572F2EA4"/>
    <w:rsid w:val="57322358"/>
    <w:rsid w:val="573246AC"/>
    <w:rsid w:val="5736004B"/>
    <w:rsid w:val="573D41A4"/>
    <w:rsid w:val="57414155"/>
    <w:rsid w:val="5743693A"/>
    <w:rsid w:val="574A34DB"/>
    <w:rsid w:val="57593249"/>
    <w:rsid w:val="575D236A"/>
    <w:rsid w:val="57602D28"/>
    <w:rsid w:val="5763047A"/>
    <w:rsid w:val="57667103"/>
    <w:rsid w:val="57707DDF"/>
    <w:rsid w:val="577C5172"/>
    <w:rsid w:val="577C6625"/>
    <w:rsid w:val="578D6DF6"/>
    <w:rsid w:val="57900EC3"/>
    <w:rsid w:val="57903868"/>
    <w:rsid w:val="57985CF5"/>
    <w:rsid w:val="57A00C3A"/>
    <w:rsid w:val="57A06C93"/>
    <w:rsid w:val="57A35E67"/>
    <w:rsid w:val="57A91DD2"/>
    <w:rsid w:val="57A97B34"/>
    <w:rsid w:val="57B149F2"/>
    <w:rsid w:val="57B45BB6"/>
    <w:rsid w:val="57B914C0"/>
    <w:rsid w:val="57C4525D"/>
    <w:rsid w:val="57C9748C"/>
    <w:rsid w:val="57D35157"/>
    <w:rsid w:val="57DB36EA"/>
    <w:rsid w:val="57E31582"/>
    <w:rsid w:val="57E62349"/>
    <w:rsid w:val="57E65309"/>
    <w:rsid w:val="57E75DE9"/>
    <w:rsid w:val="57EB57A7"/>
    <w:rsid w:val="57EC7FBF"/>
    <w:rsid w:val="57ED408D"/>
    <w:rsid w:val="57F46D29"/>
    <w:rsid w:val="57FC3642"/>
    <w:rsid w:val="580C4C19"/>
    <w:rsid w:val="580F7103"/>
    <w:rsid w:val="58120C67"/>
    <w:rsid w:val="5815740A"/>
    <w:rsid w:val="58217730"/>
    <w:rsid w:val="58220FC0"/>
    <w:rsid w:val="582826D2"/>
    <w:rsid w:val="582D171A"/>
    <w:rsid w:val="58335484"/>
    <w:rsid w:val="583B1D5A"/>
    <w:rsid w:val="583F5848"/>
    <w:rsid w:val="5846451F"/>
    <w:rsid w:val="584A5A23"/>
    <w:rsid w:val="584B18B4"/>
    <w:rsid w:val="584B52A2"/>
    <w:rsid w:val="58526178"/>
    <w:rsid w:val="58560C64"/>
    <w:rsid w:val="5858695C"/>
    <w:rsid w:val="5860194B"/>
    <w:rsid w:val="58622D30"/>
    <w:rsid w:val="586379EF"/>
    <w:rsid w:val="58656819"/>
    <w:rsid w:val="586B05F7"/>
    <w:rsid w:val="586D38E6"/>
    <w:rsid w:val="587119D8"/>
    <w:rsid w:val="58846E92"/>
    <w:rsid w:val="58863668"/>
    <w:rsid w:val="58867299"/>
    <w:rsid w:val="5888170E"/>
    <w:rsid w:val="588C56F7"/>
    <w:rsid w:val="588D40A6"/>
    <w:rsid w:val="58966D50"/>
    <w:rsid w:val="589A6257"/>
    <w:rsid w:val="58A503A2"/>
    <w:rsid w:val="58A525F3"/>
    <w:rsid w:val="58A85CA6"/>
    <w:rsid w:val="58AC4D57"/>
    <w:rsid w:val="58B31125"/>
    <w:rsid w:val="58B43BB9"/>
    <w:rsid w:val="58BD28F7"/>
    <w:rsid w:val="58BF6F8A"/>
    <w:rsid w:val="58C4100E"/>
    <w:rsid w:val="58C73A07"/>
    <w:rsid w:val="58C85B51"/>
    <w:rsid w:val="58C9049F"/>
    <w:rsid w:val="58C91045"/>
    <w:rsid w:val="58CB12C2"/>
    <w:rsid w:val="58CC7F05"/>
    <w:rsid w:val="58D11054"/>
    <w:rsid w:val="58DE24E6"/>
    <w:rsid w:val="58E05392"/>
    <w:rsid w:val="58E22AF0"/>
    <w:rsid w:val="58E55E24"/>
    <w:rsid w:val="58F223D3"/>
    <w:rsid w:val="58F421B0"/>
    <w:rsid w:val="58F4738C"/>
    <w:rsid w:val="58F62B4A"/>
    <w:rsid w:val="58FE6079"/>
    <w:rsid w:val="59013435"/>
    <w:rsid w:val="5912327A"/>
    <w:rsid w:val="591307E9"/>
    <w:rsid w:val="591331DF"/>
    <w:rsid w:val="59154029"/>
    <w:rsid w:val="5917606C"/>
    <w:rsid w:val="591D4F68"/>
    <w:rsid w:val="5928575F"/>
    <w:rsid w:val="59354F9D"/>
    <w:rsid w:val="593E5BA5"/>
    <w:rsid w:val="59447455"/>
    <w:rsid w:val="59485631"/>
    <w:rsid w:val="5948623B"/>
    <w:rsid w:val="594B5F00"/>
    <w:rsid w:val="594D2B4B"/>
    <w:rsid w:val="594E71DC"/>
    <w:rsid w:val="59500F20"/>
    <w:rsid w:val="595244C8"/>
    <w:rsid w:val="595613E4"/>
    <w:rsid w:val="59593B58"/>
    <w:rsid w:val="59641238"/>
    <w:rsid w:val="596915B6"/>
    <w:rsid w:val="596F1D0F"/>
    <w:rsid w:val="596F6EA2"/>
    <w:rsid w:val="59707C39"/>
    <w:rsid w:val="59725151"/>
    <w:rsid w:val="597F00D0"/>
    <w:rsid w:val="598140A6"/>
    <w:rsid w:val="598246D9"/>
    <w:rsid w:val="59860E68"/>
    <w:rsid w:val="598678E1"/>
    <w:rsid w:val="5999775C"/>
    <w:rsid w:val="59A06C22"/>
    <w:rsid w:val="59A614F3"/>
    <w:rsid w:val="59A85888"/>
    <w:rsid w:val="59AD5B75"/>
    <w:rsid w:val="59AF245A"/>
    <w:rsid w:val="59B103E9"/>
    <w:rsid w:val="59B154EF"/>
    <w:rsid w:val="59B341F9"/>
    <w:rsid w:val="59B6006C"/>
    <w:rsid w:val="59B83276"/>
    <w:rsid w:val="59BB5383"/>
    <w:rsid w:val="59BC4DA3"/>
    <w:rsid w:val="59BE3F1A"/>
    <w:rsid w:val="59C90861"/>
    <w:rsid w:val="59D156A6"/>
    <w:rsid w:val="59D32A4B"/>
    <w:rsid w:val="59D663D3"/>
    <w:rsid w:val="59E22462"/>
    <w:rsid w:val="59EA5A66"/>
    <w:rsid w:val="59EE0D48"/>
    <w:rsid w:val="59F009FC"/>
    <w:rsid w:val="59F41BAD"/>
    <w:rsid w:val="59FD3B0C"/>
    <w:rsid w:val="5A010BAC"/>
    <w:rsid w:val="5A02025E"/>
    <w:rsid w:val="5A052B0F"/>
    <w:rsid w:val="5A0A4376"/>
    <w:rsid w:val="5A0A59A3"/>
    <w:rsid w:val="5A143780"/>
    <w:rsid w:val="5A17551B"/>
    <w:rsid w:val="5A18176B"/>
    <w:rsid w:val="5A196C3A"/>
    <w:rsid w:val="5A1A3FE5"/>
    <w:rsid w:val="5A1B75F4"/>
    <w:rsid w:val="5A27509D"/>
    <w:rsid w:val="5A277891"/>
    <w:rsid w:val="5A281731"/>
    <w:rsid w:val="5A2B7CBC"/>
    <w:rsid w:val="5A2C6F4F"/>
    <w:rsid w:val="5A302C36"/>
    <w:rsid w:val="5A33333C"/>
    <w:rsid w:val="5A33506A"/>
    <w:rsid w:val="5A3411BF"/>
    <w:rsid w:val="5A350F42"/>
    <w:rsid w:val="5A414433"/>
    <w:rsid w:val="5A447649"/>
    <w:rsid w:val="5A483794"/>
    <w:rsid w:val="5A4E3DB2"/>
    <w:rsid w:val="5A527306"/>
    <w:rsid w:val="5A5A5D18"/>
    <w:rsid w:val="5A5D1F26"/>
    <w:rsid w:val="5A5D4D4F"/>
    <w:rsid w:val="5A6130E8"/>
    <w:rsid w:val="5A6429CF"/>
    <w:rsid w:val="5A6541FD"/>
    <w:rsid w:val="5A6547A3"/>
    <w:rsid w:val="5A73747C"/>
    <w:rsid w:val="5A784ABF"/>
    <w:rsid w:val="5A785B5E"/>
    <w:rsid w:val="5A786ABC"/>
    <w:rsid w:val="5A7A1AD8"/>
    <w:rsid w:val="5A7A341E"/>
    <w:rsid w:val="5A7F6B37"/>
    <w:rsid w:val="5A823E2E"/>
    <w:rsid w:val="5A844F42"/>
    <w:rsid w:val="5A8F7A1D"/>
    <w:rsid w:val="5A900B4F"/>
    <w:rsid w:val="5A93584F"/>
    <w:rsid w:val="5A963D92"/>
    <w:rsid w:val="5A9A71AE"/>
    <w:rsid w:val="5A9B2E21"/>
    <w:rsid w:val="5A9C5F6A"/>
    <w:rsid w:val="5AA15776"/>
    <w:rsid w:val="5AA32F50"/>
    <w:rsid w:val="5AA41B7C"/>
    <w:rsid w:val="5AA75648"/>
    <w:rsid w:val="5AAA1DFA"/>
    <w:rsid w:val="5AB319D3"/>
    <w:rsid w:val="5AC5574C"/>
    <w:rsid w:val="5ACB78DC"/>
    <w:rsid w:val="5AD26563"/>
    <w:rsid w:val="5AE3587C"/>
    <w:rsid w:val="5AE46875"/>
    <w:rsid w:val="5AF87D2A"/>
    <w:rsid w:val="5AFE1EE4"/>
    <w:rsid w:val="5AFE3A6A"/>
    <w:rsid w:val="5B0233EB"/>
    <w:rsid w:val="5B0A4B14"/>
    <w:rsid w:val="5B0D1AC5"/>
    <w:rsid w:val="5B0E533D"/>
    <w:rsid w:val="5B1325F0"/>
    <w:rsid w:val="5B1474D3"/>
    <w:rsid w:val="5B157A5B"/>
    <w:rsid w:val="5B172E21"/>
    <w:rsid w:val="5B196086"/>
    <w:rsid w:val="5B1C76EE"/>
    <w:rsid w:val="5B1E3473"/>
    <w:rsid w:val="5B2D7FCA"/>
    <w:rsid w:val="5B31244E"/>
    <w:rsid w:val="5B396751"/>
    <w:rsid w:val="5B3B613A"/>
    <w:rsid w:val="5B3E09BA"/>
    <w:rsid w:val="5B432391"/>
    <w:rsid w:val="5B4355CC"/>
    <w:rsid w:val="5B5100D8"/>
    <w:rsid w:val="5B5C077C"/>
    <w:rsid w:val="5B5C24C8"/>
    <w:rsid w:val="5B605FB2"/>
    <w:rsid w:val="5B6707C9"/>
    <w:rsid w:val="5B6B0B41"/>
    <w:rsid w:val="5B6B2683"/>
    <w:rsid w:val="5B740FB5"/>
    <w:rsid w:val="5B7863A9"/>
    <w:rsid w:val="5B8918DE"/>
    <w:rsid w:val="5B8A542D"/>
    <w:rsid w:val="5B8E3F34"/>
    <w:rsid w:val="5B990415"/>
    <w:rsid w:val="5BAE5168"/>
    <w:rsid w:val="5BBC2AA8"/>
    <w:rsid w:val="5BBE26DB"/>
    <w:rsid w:val="5BC05AAC"/>
    <w:rsid w:val="5BC23D02"/>
    <w:rsid w:val="5BC32CC0"/>
    <w:rsid w:val="5BC3595F"/>
    <w:rsid w:val="5BC35EA3"/>
    <w:rsid w:val="5BC85B9D"/>
    <w:rsid w:val="5BCE1391"/>
    <w:rsid w:val="5BD501A7"/>
    <w:rsid w:val="5BE17370"/>
    <w:rsid w:val="5BE7263B"/>
    <w:rsid w:val="5BE75F7E"/>
    <w:rsid w:val="5BEB03CE"/>
    <w:rsid w:val="5BF17C07"/>
    <w:rsid w:val="5BF41E74"/>
    <w:rsid w:val="5BF4310E"/>
    <w:rsid w:val="5BF52194"/>
    <w:rsid w:val="5BFD6A3B"/>
    <w:rsid w:val="5C0C2F01"/>
    <w:rsid w:val="5C137293"/>
    <w:rsid w:val="5C210038"/>
    <w:rsid w:val="5C3D3B22"/>
    <w:rsid w:val="5C40726F"/>
    <w:rsid w:val="5C465B9B"/>
    <w:rsid w:val="5C49380A"/>
    <w:rsid w:val="5C4C4925"/>
    <w:rsid w:val="5C4D2F94"/>
    <w:rsid w:val="5C557FB4"/>
    <w:rsid w:val="5C580926"/>
    <w:rsid w:val="5C645F2C"/>
    <w:rsid w:val="5C6717DB"/>
    <w:rsid w:val="5C695C61"/>
    <w:rsid w:val="5C6E6DDA"/>
    <w:rsid w:val="5C702CBC"/>
    <w:rsid w:val="5C7B609E"/>
    <w:rsid w:val="5C7C6F80"/>
    <w:rsid w:val="5C80229B"/>
    <w:rsid w:val="5C810D2D"/>
    <w:rsid w:val="5C8E0952"/>
    <w:rsid w:val="5C9111C0"/>
    <w:rsid w:val="5C923FC6"/>
    <w:rsid w:val="5C955CAC"/>
    <w:rsid w:val="5C990294"/>
    <w:rsid w:val="5CA174E1"/>
    <w:rsid w:val="5CA5402D"/>
    <w:rsid w:val="5CAD5632"/>
    <w:rsid w:val="5CB160AD"/>
    <w:rsid w:val="5CBB3EBE"/>
    <w:rsid w:val="5CC20876"/>
    <w:rsid w:val="5CC249E6"/>
    <w:rsid w:val="5CC94199"/>
    <w:rsid w:val="5CC96CEA"/>
    <w:rsid w:val="5CCC7DB2"/>
    <w:rsid w:val="5CD23897"/>
    <w:rsid w:val="5CD52965"/>
    <w:rsid w:val="5CD52A0F"/>
    <w:rsid w:val="5CD85F5A"/>
    <w:rsid w:val="5CDC59B1"/>
    <w:rsid w:val="5CDF4634"/>
    <w:rsid w:val="5CE0516A"/>
    <w:rsid w:val="5CE81366"/>
    <w:rsid w:val="5CE94E77"/>
    <w:rsid w:val="5CF641A9"/>
    <w:rsid w:val="5CF6472D"/>
    <w:rsid w:val="5CF80A79"/>
    <w:rsid w:val="5CFC0CF6"/>
    <w:rsid w:val="5CFC266D"/>
    <w:rsid w:val="5D0E4B7E"/>
    <w:rsid w:val="5D113773"/>
    <w:rsid w:val="5D1165A1"/>
    <w:rsid w:val="5D1872CC"/>
    <w:rsid w:val="5D1906A7"/>
    <w:rsid w:val="5D1E7B25"/>
    <w:rsid w:val="5D2128FE"/>
    <w:rsid w:val="5D270DC9"/>
    <w:rsid w:val="5D2B7728"/>
    <w:rsid w:val="5D2D1FFE"/>
    <w:rsid w:val="5D351D6F"/>
    <w:rsid w:val="5D377C2A"/>
    <w:rsid w:val="5D3B3EAD"/>
    <w:rsid w:val="5D415C4E"/>
    <w:rsid w:val="5D417B9B"/>
    <w:rsid w:val="5D427140"/>
    <w:rsid w:val="5D441B7B"/>
    <w:rsid w:val="5D475333"/>
    <w:rsid w:val="5D4A6D72"/>
    <w:rsid w:val="5D4C2EEB"/>
    <w:rsid w:val="5D554CDE"/>
    <w:rsid w:val="5D5719FB"/>
    <w:rsid w:val="5D6A348E"/>
    <w:rsid w:val="5D72314E"/>
    <w:rsid w:val="5D8655E1"/>
    <w:rsid w:val="5D87635A"/>
    <w:rsid w:val="5D8A016B"/>
    <w:rsid w:val="5D8A4F57"/>
    <w:rsid w:val="5D8C0A0F"/>
    <w:rsid w:val="5D940C21"/>
    <w:rsid w:val="5D94359D"/>
    <w:rsid w:val="5D9A1B41"/>
    <w:rsid w:val="5D9B78CA"/>
    <w:rsid w:val="5D9F3D62"/>
    <w:rsid w:val="5DA541F3"/>
    <w:rsid w:val="5DA60F2E"/>
    <w:rsid w:val="5DAC3DCD"/>
    <w:rsid w:val="5DB50A35"/>
    <w:rsid w:val="5DB96A51"/>
    <w:rsid w:val="5DC135ED"/>
    <w:rsid w:val="5DC259FE"/>
    <w:rsid w:val="5DD400EC"/>
    <w:rsid w:val="5DDA15FC"/>
    <w:rsid w:val="5DDB648A"/>
    <w:rsid w:val="5DDE0D1C"/>
    <w:rsid w:val="5DE90932"/>
    <w:rsid w:val="5DEB5B6B"/>
    <w:rsid w:val="5DEF4625"/>
    <w:rsid w:val="5DF01CEA"/>
    <w:rsid w:val="5DF42758"/>
    <w:rsid w:val="5DF96357"/>
    <w:rsid w:val="5DFE1641"/>
    <w:rsid w:val="5E092088"/>
    <w:rsid w:val="5E116BA5"/>
    <w:rsid w:val="5E172EAC"/>
    <w:rsid w:val="5E184354"/>
    <w:rsid w:val="5E2142A9"/>
    <w:rsid w:val="5E216D01"/>
    <w:rsid w:val="5E22037B"/>
    <w:rsid w:val="5E2670BD"/>
    <w:rsid w:val="5E280E52"/>
    <w:rsid w:val="5E350EBE"/>
    <w:rsid w:val="5E357A54"/>
    <w:rsid w:val="5E370582"/>
    <w:rsid w:val="5E3A0814"/>
    <w:rsid w:val="5E3B0532"/>
    <w:rsid w:val="5E3C47F5"/>
    <w:rsid w:val="5E3D23E4"/>
    <w:rsid w:val="5E426D39"/>
    <w:rsid w:val="5E444268"/>
    <w:rsid w:val="5E4A41BF"/>
    <w:rsid w:val="5E4E2914"/>
    <w:rsid w:val="5E506658"/>
    <w:rsid w:val="5E551BAC"/>
    <w:rsid w:val="5E6145BD"/>
    <w:rsid w:val="5E666973"/>
    <w:rsid w:val="5E7623C1"/>
    <w:rsid w:val="5E7C6731"/>
    <w:rsid w:val="5E7E5E18"/>
    <w:rsid w:val="5E85034B"/>
    <w:rsid w:val="5E886B60"/>
    <w:rsid w:val="5E886DC6"/>
    <w:rsid w:val="5E890733"/>
    <w:rsid w:val="5E8B30B5"/>
    <w:rsid w:val="5E8D71A4"/>
    <w:rsid w:val="5E8E0FE5"/>
    <w:rsid w:val="5E8E5D78"/>
    <w:rsid w:val="5E9B7BB3"/>
    <w:rsid w:val="5EA639F1"/>
    <w:rsid w:val="5EA90E0E"/>
    <w:rsid w:val="5EAA6AB9"/>
    <w:rsid w:val="5EAB60F6"/>
    <w:rsid w:val="5EB17EA8"/>
    <w:rsid w:val="5EB45CB2"/>
    <w:rsid w:val="5EC22B79"/>
    <w:rsid w:val="5EC57D0B"/>
    <w:rsid w:val="5EEA5F41"/>
    <w:rsid w:val="5EEC7056"/>
    <w:rsid w:val="5EED6DD7"/>
    <w:rsid w:val="5EED7A7C"/>
    <w:rsid w:val="5EF13E32"/>
    <w:rsid w:val="5EFF6F6F"/>
    <w:rsid w:val="5F071ACC"/>
    <w:rsid w:val="5F082A29"/>
    <w:rsid w:val="5F0F36D9"/>
    <w:rsid w:val="5F127C4E"/>
    <w:rsid w:val="5F181808"/>
    <w:rsid w:val="5F1E160C"/>
    <w:rsid w:val="5F213CE7"/>
    <w:rsid w:val="5F28570A"/>
    <w:rsid w:val="5F296076"/>
    <w:rsid w:val="5F2F65D0"/>
    <w:rsid w:val="5F302FAE"/>
    <w:rsid w:val="5F304FE3"/>
    <w:rsid w:val="5F3A218A"/>
    <w:rsid w:val="5F3B4014"/>
    <w:rsid w:val="5F415A76"/>
    <w:rsid w:val="5F4400A2"/>
    <w:rsid w:val="5F461712"/>
    <w:rsid w:val="5F486CFE"/>
    <w:rsid w:val="5F4D7C68"/>
    <w:rsid w:val="5F573159"/>
    <w:rsid w:val="5F5D1782"/>
    <w:rsid w:val="5F605B48"/>
    <w:rsid w:val="5F623F07"/>
    <w:rsid w:val="5F672A4A"/>
    <w:rsid w:val="5F6943A2"/>
    <w:rsid w:val="5F6D1D7E"/>
    <w:rsid w:val="5F6F15E9"/>
    <w:rsid w:val="5F710C7A"/>
    <w:rsid w:val="5F733E17"/>
    <w:rsid w:val="5F793833"/>
    <w:rsid w:val="5F7A0DA3"/>
    <w:rsid w:val="5F7F638B"/>
    <w:rsid w:val="5F8B1C40"/>
    <w:rsid w:val="5F947F5B"/>
    <w:rsid w:val="5F9575C6"/>
    <w:rsid w:val="5F9E3844"/>
    <w:rsid w:val="5FA04182"/>
    <w:rsid w:val="5FB07339"/>
    <w:rsid w:val="5FB34247"/>
    <w:rsid w:val="5FB912E3"/>
    <w:rsid w:val="5FBD3C7F"/>
    <w:rsid w:val="5FC150C9"/>
    <w:rsid w:val="5FC30830"/>
    <w:rsid w:val="5FC862D2"/>
    <w:rsid w:val="5FD47BA3"/>
    <w:rsid w:val="5FDB64F2"/>
    <w:rsid w:val="5FDD3415"/>
    <w:rsid w:val="5FE0654F"/>
    <w:rsid w:val="5FE17CC3"/>
    <w:rsid w:val="5FE6563C"/>
    <w:rsid w:val="5FE73C59"/>
    <w:rsid w:val="5FE81719"/>
    <w:rsid w:val="5FEB3BD6"/>
    <w:rsid w:val="5FEE4999"/>
    <w:rsid w:val="5FF37571"/>
    <w:rsid w:val="5FF8637B"/>
    <w:rsid w:val="5FFB2B8F"/>
    <w:rsid w:val="5FFD6304"/>
    <w:rsid w:val="5FFF0B55"/>
    <w:rsid w:val="5FFF28A6"/>
    <w:rsid w:val="60063DFF"/>
    <w:rsid w:val="600A1B47"/>
    <w:rsid w:val="600A7F27"/>
    <w:rsid w:val="601232F4"/>
    <w:rsid w:val="60187C15"/>
    <w:rsid w:val="60230A2F"/>
    <w:rsid w:val="60236723"/>
    <w:rsid w:val="60284DEA"/>
    <w:rsid w:val="603C2218"/>
    <w:rsid w:val="60415279"/>
    <w:rsid w:val="60465B9F"/>
    <w:rsid w:val="604A1B1F"/>
    <w:rsid w:val="604C3503"/>
    <w:rsid w:val="606540DD"/>
    <w:rsid w:val="60663A70"/>
    <w:rsid w:val="6066574E"/>
    <w:rsid w:val="606C1E51"/>
    <w:rsid w:val="60701200"/>
    <w:rsid w:val="607517AD"/>
    <w:rsid w:val="607D04D6"/>
    <w:rsid w:val="607E4295"/>
    <w:rsid w:val="607F187E"/>
    <w:rsid w:val="60816108"/>
    <w:rsid w:val="60864F85"/>
    <w:rsid w:val="60953C5E"/>
    <w:rsid w:val="60986325"/>
    <w:rsid w:val="609F324B"/>
    <w:rsid w:val="60A00017"/>
    <w:rsid w:val="60A03E23"/>
    <w:rsid w:val="60A32699"/>
    <w:rsid w:val="60A62532"/>
    <w:rsid w:val="60A86A90"/>
    <w:rsid w:val="60A94011"/>
    <w:rsid w:val="60B64511"/>
    <w:rsid w:val="60BD23F1"/>
    <w:rsid w:val="60BD6529"/>
    <w:rsid w:val="60BF6F04"/>
    <w:rsid w:val="60CC3577"/>
    <w:rsid w:val="60D0339E"/>
    <w:rsid w:val="60D11531"/>
    <w:rsid w:val="60D33E3C"/>
    <w:rsid w:val="60D63C76"/>
    <w:rsid w:val="60DE3409"/>
    <w:rsid w:val="60E601DF"/>
    <w:rsid w:val="60E70F83"/>
    <w:rsid w:val="60E778A1"/>
    <w:rsid w:val="60EB2D07"/>
    <w:rsid w:val="60EE05DE"/>
    <w:rsid w:val="60F041BA"/>
    <w:rsid w:val="60F138F2"/>
    <w:rsid w:val="60F34EEC"/>
    <w:rsid w:val="60F42C05"/>
    <w:rsid w:val="60F62397"/>
    <w:rsid w:val="60FD3BFB"/>
    <w:rsid w:val="61030094"/>
    <w:rsid w:val="610367E0"/>
    <w:rsid w:val="61084055"/>
    <w:rsid w:val="610A4609"/>
    <w:rsid w:val="610B46C5"/>
    <w:rsid w:val="610C575E"/>
    <w:rsid w:val="610C7BC5"/>
    <w:rsid w:val="611563E1"/>
    <w:rsid w:val="611B2D32"/>
    <w:rsid w:val="61256438"/>
    <w:rsid w:val="6126505D"/>
    <w:rsid w:val="6130771F"/>
    <w:rsid w:val="613531E9"/>
    <w:rsid w:val="61407309"/>
    <w:rsid w:val="61415830"/>
    <w:rsid w:val="6141796E"/>
    <w:rsid w:val="61443020"/>
    <w:rsid w:val="61466637"/>
    <w:rsid w:val="614A556E"/>
    <w:rsid w:val="61515D4D"/>
    <w:rsid w:val="61524664"/>
    <w:rsid w:val="615C7A3A"/>
    <w:rsid w:val="615F37BC"/>
    <w:rsid w:val="61624DFB"/>
    <w:rsid w:val="61683C83"/>
    <w:rsid w:val="616A18E7"/>
    <w:rsid w:val="61754DFA"/>
    <w:rsid w:val="6179622B"/>
    <w:rsid w:val="617C70F3"/>
    <w:rsid w:val="617D693A"/>
    <w:rsid w:val="61845DD0"/>
    <w:rsid w:val="618652C3"/>
    <w:rsid w:val="61881DE7"/>
    <w:rsid w:val="618C0BAB"/>
    <w:rsid w:val="61950155"/>
    <w:rsid w:val="61A0687C"/>
    <w:rsid w:val="61A1288D"/>
    <w:rsid w:val="61A13EED"/>
    <w:rsid w:val="61A44C5A"/>
    <w:rsid w:val="61A500D6"/>
    <w:rsid w:val="61A83417"/>
    <w:rsid w:val="61A835E4"/>
    <w:rsid w:val="61A87D50"/>
    <w:rsid w:val="61AC4431"/>
    <w:rsid w:val="61B05A5B"/>
    <w:rsid w:val="61B21F10"/>
    <w:rsid w:val="61B22F38"/>
    <w:rsid w:val="61B71812"/>
    <w:rsid w:val="61C17FB6"/>
    <w:rsid w:val="61CD59DA"/>
    <w:rsid w:val="61E36B34"/>
    <w:rsid w:val="61E40B82"/>
    <w:rsid w:val="61E82C9C"/>
    <w:rsid w:val="61EA01E1"/>
    <w:rsid w:val="61EB4E3B"/>
    <w:rsid w:val="61EB7407"/>
    <w:rsid w:val="61F356A4"/>
    <w:rsid w:val="61F40FBC"/>
    <w:rsid w:val="61F44E34"/>
    <w:rsid w:val="61F701A8"/>
    <w:rsid w:val="61FD35EE"/>
    <w:rsid w:val="6203232F"/>
    <w:rsid w:val="620C7605"/>
    <w:rsid w:val="621201CD"/>
    <w:rsid w:val="62133647"/>
    <w:rsid w:val="621A6570"/>
    <w:rsid w:val="621F4279"/>
    <w:rsid w:val="62324111"/>
    <w:rsid w:val="62327CF9"/>
    <w:rsid w:val="6235022E"/>
    <w:rsid w:val="62373300"/>
    <w:rsid w:val="623842BA"/>
    <w:rsid w:val="62386FD0"/>
    <w:rsid w:val="62393803"/>
    <w:rsid w:val="623F543D"/>
    <w:rsid w:val="62496E30"/>
    <w:rsid w:val="62516CFA"/>
    <w:rsid w:val="625235FC"/>
    <w:rsid w:val="62542A19"/>
    <w:rsid w:val="625C27BD"/>
    <w:rsid w:val="62624BFB"/>
    <w:rsid w:val="62660929"/>
    <w:rsid w:val="626E32BA"/>
    <w:rsid w:val="626F00F4"/>
    <w:rsid w:val="627B45CD"/>
    <w:rsid w:val="6282046B"/>
    <w:rsid w:val="628539DD"/>
    <w:rsid w:val="6289239B"/>
    <w:rsid w:val="6291542D"/>
    <w:rsid w:val="62960764"/>
    <w:rsid w:val="62971645"/>
    <w:rsid w:val="629D3C20"/>
    <w:rsid w:val="629F72A5"/>
    <w:rsid w:val="62A0014E"/>
    <w:rsid w:val="62A31D38"/>
    <w:rsid w:val="62A45CF6"/>
    <w:rsid w:val="62A85AE7"/>
    <w:rsid w:val="62B63B28"/>
    <w:rsid w:val="62B75BF3"/>
    <w:rsid w:val="62B86118"/>
    <w:rsid w:val="62BB2736"/>
    <w:rsid w:val="62C014B3"/>
    <w:rsid w:val="62C22C14"/>
    <w:rsid w:val="62C62ECA"/>
    <w:rsid w:val="62C81513"/>
    <w:rsid w:val="62C8554D"/>
    <w:rsid w:val="62CB754E"/>
    <w:rsid w:val="62D0345F"/>
    <w:rsid w:val="62DE1C52"/>
    <w:rsid w:val="62E12A55"/>
    <w:rsid w:val="62E4057A"/>
    <w:rsid w:val="62FC6FD5"/>
    <w:rsid w:val="630F41A3"/>
    <w:rsid w:val="63170721"/>
    <w:rsid w:val="63195368"/>
    <w:rsid w:val="631E4683"/>
    <w:rsid w:val="632559D9"/>
    <w:rsid w:val="632A5294"/>
    <w:rsid w:val="6332364B"/>
    <w:rsid w:val="63331639"/>
    <w:rsid w:val="6344206D"/>
    <w:rsid w:val="63443608"/>
    <w:rsid w:val="63457F24"/>
    <w:rsid w:val="63486443"/>
    <w:rsid w:val="634F1331"/>
    <w:rsid w:val="635057AE"/>
    <w:rsid w:val="635A071D"/>
    <w:rsid w:val="635B39F8"/>
    <w:rsid w:val="635C4EA9"/>
    <w:rsid w:val="63627E77"/>
    <w:rsid w:val="63667CA7"/>
    <w:rsid w:val="63685AFA"/>
    <w:rsid w:val="636B24D0"/>
    <w:rsid w:val="63701AE4"/>
    <w:rsid w:val="63784439"/>
    <w:rsid w:val="63791255"/>
    <w:rsid w:val="637950D4"/>
    <w:rsid w:val="63802273"/>
    <w:rsid w:val="63891F0D"/>
    <w:rsid w:val="638F2201"/>
    <w:rsid w:val="639240A4"/>
    <w:rsid w:val="63991E44"/>
    <w:rsid w:val="639A76F2"/>
    <w:rsid w:val="639C3A9E"/>
    <w:rsid w:val="639F56A1"/>
    <w:rsid w:val="63AC7C1D"/>
    <w:rsid w:val="63B6494B"/>
    <w:rsid w:val="63B71735"/>
    <w:rsid w:val="63B86A47"/>
    <w:rsid w:val="63BA0F77"/>
    <w:rsid w:val="63BA737C"/>
    <w:rsid w:val="63C55F12"/>
    <w:rsid w:val="63D41B82"/>
    <w:rsid w:val="63D71394"/>
    <w:rsid w:val="63DA08AB"/>
    <w:rsid w:val="63E308FF"/>
    <w:rsid w:val="63E46D37"/>
    <w:rsid w:val="63E547EE"/>
    <w:rsid w:val="63ED00C3"/>
    <w:rsid w:val="63EF367B"/>
    <w:rsid w:val="63F4587F"/>
    <w:rsid w:val="63F706E6"/>
    <w:rsid w:val="63FE5145"/>
    <w:rsid w:val="6408099E"/>
    <w:rsid w:val="64094CA5"/>
    <w:rsid w:val="64215323"/>
    <w:rsid w:val="64237518"/>
    <w:rsid w:val="64254E67"/>
    <w:rsid w:val="64262CB3"/>
    <w:rsid w:val="642B31BE"/>
    <w:rsid w:val="642B473A"/>
    <w:rsid w:val="643C07CB"/>
    <w:rsid w:val="644177C8"/>
    <w:rsid w:val="64421042"/>
    <w:rsid w:val="64436184"/>
    <w:rsid w:val="644775D1"/>
    <w:rsid w:val="645006EC"/>
    <w:rsid w:val="64520C4D"/>
    <w:rsid w:val="64572B69"/>
    <w:rsid w:val="6457491D"/>
    <w:rsid w:val="64597A63"/>
    <w:rsid w:val="645A1458"/>
    <w:rsid w:val="645D27DD"/>
    <w:rsid w:val="645F3F73"/>
    <w:rsid w:val="645F5C23"/>
    <w:rsid w:val="646734A3"/>
    <w:rsid w:val="64675A2E"/>
    <w:rsid w:val="646B3D54"/>
    <w:rsid w:val="646F3D73"/>
    <w:rsid w:val="64711567"/>
    <w:rsid w:val="647429CB"/>
    <w:rsid w:val="64743AE6"/>
    <w:rsid w:val="647C1B08"/>
    <w:rsid w:val="648265D6"/>
    <w:rsid w:val="64874278"/>
    <w:rsid w:val="648E190A"/>
    <w:rsid w:val="648F2C02"/>
    <w:rsid w:val="648F4034"/>
    <w:rsid w:val="64940B19"/>
    <w:rsid w:val="649D7EEB"/>
    <w:rsid w:val="649E1558"/>
    <w:rsid w:val="64A578DB"/>
    <w:rsid w:val="64AA4BB2"/>
    <w:rsid w:val="64AB4935"/>
    <w:rsid w:val="64B135C2"/>
    <w:rsid w:val="64B80729"/>
    <w:rsid w:val="64BD55F1"/>
    <w:rsid w:val="64BE20A3"/>
    <w:rsid w:val="64C03E93"/>
    <w:rsid w:val="64C80CCD"/>
    <w:rsid w:val="64CB5C3A"/>
    <w:rsid w:val="64D44EF1"/>
    <w:rsid w:val="64DC3881"/>
    <w:rsid w:val="64DD3E19"/>
    <w:rsid w:val="64E0389C"/>
    <w:rsid w:val="64E71837"/>
    <w:rsid w:val="64EC7A70"/>
    <w:rsid w:val="64EF70CD"/>
    <w:rsid w:val="64F330FF"/>
    <w:rsid w:val="64F61375"/>
    <w:rsid w:val="64F72CEF"/>
    <w:rsid w:val="64F73F05"/>
    <w:rsid w:val="6500629B"/>
    <w:rsid w:val="650602BF"/>
    <w:rsid w:val="650B43EB"/>
    <w:rsid w:val="65154FE2"/>
    <w:rsid w:val="6518564C"/>
    <w:rsid w:val="651E602E"/>
    <w:rsid w:val="651F5B5A"/>
    <w:rsid w:val="652841A7"/>
    <w:rsid w:val="652D6AE0"/>
    <w:rsid w:val="653801C7"/>
    <w:rsid w:val="653A3B59"/>
    <w:rsid w:val="653B6B60"/>
    <w:rsid w:val="653D1F7B"/>
    <w:rsid w:val="65413D42"/>
    <w:rsid w:val="65417BCD"/>
    <w:rsid w:val="65417DE0"/>
    <w:rsid w:val="654A7B31"/>
    <w:rsid w:val="654B5CE5"/>
    <w:rsid w:val="654D0CA7"/>
    <w:rsid w:val="654D34AB"/>
    <w:rsid w:val="65501C23"/>
    <w:rsid w:val="65561782"/>
    <w:rsid w:val="65574966"/>
    <w:rsid w:val="655D69EF"/>
    <w:rsid w:val="656053F1"/>
    <w:rsid w:val="6560737E"/>
    <w:rsid w:val="6562731A"/>
    <w:rsid w:val="656923D1"/>
    <w:rsid w:val="656E7312"/>
    <w:rsid w:val="657952F9"/>
    <w:rsid w:val="658767EB"/>
    <w:rsid w:val="65961423"/>
    <w:rsid w:val="659A1BE7"/>
    <w:rsid w:val="659B0B40"/>
    <w:rsid w:val="659C0A99"/>
    <w:rsid w:val="659F1519"/>
    <w:rsid w:val="65A01A09"/>
    <w:rsid w:val="65B240BA"/>
    <w:rsid w:val="65B41F69"/>
    <w:rsid w:val="65B43820"/>
    <w:rsid w:val="65B54971"/>
    <w:rsid w:val="65C25325"/>
    <w:rsid w:val="65C33ED9"/>
    <w:rsid w:val="65C40364"/>
    <w:rsid w:val="65C6095E"/>
    <w:rsid w:val="65C92188"/>
    <w:rsid w:val="65CC1790"/>
    <w:rsid w:val="65D17F3E"/>
    <w:rsid w:val="65DA081F"/>
    <w:rsid w:val="65E2505C"/>
    <w:rsid w:val="65ED7E93"/>
    <w:rsid w:val="65EF1E6A"/>
    <w:rsid w:val="65F11122"/>
    <w:rsid w:val="65F136D5"/>
    <w:rsid w:val="65F32A4D"/>
    <w:rsid w:val="65FA338D"/>
    <w:rsid w:val="65FF4E84"/>
    <w:rsid w:val="66120500"/>
    <w:rsid w:val="661E247E"/>
    <w:rsid w:val="66355CAD"/>
    <w:rsid w:val="663921C2"/>
    <w:rsid w:val="663B4259"/>
    <w:rsid w:val="66453975"/>
    <w:rsid w:val="66546144"/>
    <w:rsid w:val="665B5BF0"/>
    <w:rsid w:val="666F14A7"/>
    <w:rsid w:val="66721EA6"/>
    <w:rsid w:val="66751B09"/>
    <w:rsid w:val="66842DB8"/>
    <w:rsid w:val="66872BD2"/>
    <w:rsid w:val="668E389F"/>
    <w:rsid w:val="668F685A"/>
    <w:rsid w:val="66995564"/>
    <w:rsid w:val="66A002B9"/>
    <w:rsid w:val="66A17D42"/>
    <w:rsid w:val="66A70FDF"/>
    <w:rsid w:val="66A86609"/>
    <w:rsid w:val="66B11CB5"/>
    <w:rsid w:val="66B15E4C"/>
    <w:rsid w:val="66BA648C"/>
    <w:rsid w:val="66BD2317"/>
    <w:rsid w:val="66BE21A5"/>
    <w:rsid w:val="66C8211F"/>
    <w:rsid w:val="66CC6F23"/>
    <w:rsid w:val="66CD1ED3"/>
    <w:rsid w:val="66DA0919"/>
    <w:rsid w:val="66DA356A"/>
    <w:rsid w:val="66DB3252"/>
    <w:rsid w:val="66DF402C"/>
    <w:rsid w:val="66EE7E3A"/>
    <w:rsid w:val="66F12BB1"/>
    <w:rsid w:val="66F43BE4"/>
    <w:rsid w:val="66FD6343"/>
    <w:rsid w:val="66FF2D17"/>
    <w:rsid w:val="6707763D"/>
    <w:rsid w:val="673C5419"/>
    <w:rsid w:val="673C624E"/>
    <w:rsid w:val="67403495"/>
    <w:rsid w:val="67434EBF"/>
    <w:rsid w:val="6744475B"/>
    <w:rsid w:val="674A53A1"/>
    <w:rsid w:val="674E0EF4"/>
    <w:rsid w:val="675317B0"/>
    <w:rsid w:val="67605142"/>
    <w:rsid w:val="676207A9"/>
    <w:rsid w:val="676B09B4"/>
    <w:rsid w:val="67795B4B"/>
    <w:rsid w:val="677D78BE"/>
    <w:rsid w:val="67800F19"/>
    <w:rsid w:val="678365F6"/>
    <w:rsid w:val="67856B76"/>
    <w:rsid w:val="678606F2"/>
    <w:rsid w:val="67874CB6"/>
    <w:rsid w:val="678E3DA5"/>
    <w:rsid w:val="678E55BA"/>
    <w:rsid w:val="679F2489"/>
    <w:rsid w:val="67A32A0D"/>
    <w:rsid w:val="67A36C57"/>
    <w:rsid w:val="67A55949"/>
    <w:rsid w:val="67AB66D1"/>
    <w:rsid w:val="67AC76F2"/>
    <w:rsid w:val="67B07D43"/>
    <w:rsid w:val="67B4432C"/>
    <w:rsid w:val="67B47FFB"/>
    <w:rsid w:val="67B509AB"/>
    <w:rsid w:val="67B53801"/>
    <w:rsid w:val="67B57EF5"/>
    <w:rsid w:val="67B867FC"/>
    <w:rsid w:val="67BB471E"/>
    <w:rsid w:val="67BB7ECB"/>
    <w:rsid w:val="67CD11CA"/>
    <w:rsid w:val="67D82ECB"/>
    <w:rsid w:val="67E12E09"/>
    <w:rsid w:val="67EE17FB"/>
    <w:rsid w:val="67EF159D"/>
    <w:rsid w:val="67F453FE"/>
    <w:rsid w:val="67F51A16"/>
    <w:rsid w:val="67F9658A"/>
    <w:rsid w:val="67FE7386"/>
    <w:rsid w:val="68060F12"/>
    <w:rsid w:val="680E437C"/>
    <w:rsid w:val="68154B7F"/>
    <w:rsid w:val="681B63E7"/>
    <w:rsid w:val="683A2586"/>
    <w:rsid w:val="683A615D"/>
    <w:rsid w:val="683F6487"/>
    <w:rsid w:val="6849303D"/>
    <w:rsid w:val="684D5669"/>
    <w:rsid w:val="68527392"/>
    <w:rsid w:val="6859460A"/>
    <w:rsid w:val="68625EDA"/>
    <w:rsid w:val="68714970"/>
    <w:rsid w:val="68731F99"/>
    <w:rsid w:val="68752CF0"/>
    <w:rsid w:val="68770BAF"/>
    <w:rsid w:val="687A5C63"/>
    <w:rsid w:val="687B7CBA"/>
    <w:rsid w:val="68805629"/>
    <w:rsid w:val="68833E63"/>
    <w:rsid w:val="68963AE2"/>
    <w:rsid w:val="689A36DE"/>
    <w:rsid w:val="689A6501"/>
    <w:rsid w:val="689D7972"/>
    <w:rsid w:val="689F6FA0"/>
    <w:rsid w:val="68A67C66"/>
    <w:rsid w:val="68AF230C"/>
    <w:rsid w:val="68BA103A"/>
    <w:rsid w:val="68BE1E2D"/>
    <w:rsid w:val="68C149FF"/>
    <w:rsid w:val="68CD2BE2"/>
    <w:rsid w:val="68D04E27"/>
    <w:rsid w:val="68D52BCB"/>
    <w:rsid w:val="68D554B2"/>
    <w:rsid w:val="68DA3E99"/>
    <w:rsid w:val="68DD4062"/>
    <w:rsid w:val="68E1051C"/>
    <w:rsid w:val="68E730F7"/>
    <w:rsid w:val="68EB7137"/>
    <w:rsid w:val="68F22EBC"/>
    <w:rsid w:val="68F33E74"/>
    <w:rsid w:val="68F71AE9"/>
    <w:rsid w:val="69023694"/>
    <w:rsid w:val="69025A67"/>
    <w:rsid w:val="69100FD1"/>
    <w:rsid w:val="69190524"/>
    <w:rsid w:val="691D51D1"/>
    <w:rsid w:val="691E5E18"/>
    <w:rsid w:val="69201AF8"/>
    <w:rsid w:val="69456A22"/>
    <w:rsid w:val="694F730E"/>
    <w:rsid w:val="695317F6"/>
    <w:rsid w:val="695374C3"/>
    <w:rsid w:val="69555973"/>
    <w:rsid w:val="69555C90"/>
    <w:rsid w:val="69563BE6"/>
    <w:rsid w:val="695B1E42"/>
    <w:rsid w:val="695B5D6F"/>
    <w:rsid w:val="69690B96"/>
    <w:rsid w:val="69692C29"/>
    <w:rsid w:val="696E5375"/>
    <w:rsid w:val="696F1AEA"/>
    <w:rsid w:val="69750387"/>
    <w:rsid w:val="69760E9A"/>
    <w:rsid w:val="69794131"/>
    <w:rsid w:val="69841735"/>
    <w:rsid w:val="698534E2"/>
    <w:rsid w:val="69853FB1"/>
    <w:rsid w:val="69877FE8"/>
    <w:rsid w:val="698C6987"/>
    <w:rsid w:val="69934604"/>
    <w:rsid w:val="69935006"/>
    <w:rsid w:val="69986B9C"/>
    <w:rsid w:val="69995885"/>
    <w:rsid w:val="69AC6BFD"/>
    <w:rsid w:val="69AC77B7"/>
    <w:rsid w:val="69AC7C29"/>
    <w:rsid w:val="69B3027D"/>
    <w:rsid w:val="69B652B1"/>
    <w:rsid w:val="69BC2F68"/>
    <w:rsid w:val="69C73B2F"/>
    <w:rsid w:val="69C83B22"/>
    <w:rsid w:val="69CE304A"/>
    <w:rsid w:val="69CF25FD"/>
    <w:rsid w:val="69D50070"/>
    <w:rsid w:val="69DD501C"/>
    <w:rsid w:val="69DF2770"/>
    <w:rsid w:val="69EA233D"/>
    <w:rsid w:val="69EE03E1"/>
    <w:rsid w:val="69FC7928"/>
    <w:rsid w:val="6A043293"/>
    <w:rsid w:val="6A0C3536"/>
    <w:rsid w:val="6A0D365F"/>
    <w:rsid w:val="6A0E6C5D"/>
    <w:rsid w:val="6A1205F4"/>
    <w:rsid w:val="6A172783"/>
    <w:rsid w:val="6A214679"/>
    <w:rsid w:val="6A2342F6"/>
    <w:rsid w:val="6A2D53DE"/>
    <w:rsid w:val="6A353C41"/>
    <w:rsid w:val="6A3B1264"/>
    <w:rsid w:val="6A3B50E2"/>
    <w:rsid w:val="6A405BCA"/>
    <w:rsid w:val="6A420324"/>
    <w:rsid w:val="6A4432A7"/>
    <w:rsid w:val="6A466A71"/>
    <w:rsid w:val="6A4C3576"/>
    <w:rsid w:val="6A5635C7"/>
    <w:rsid w:val="6A564C29"/>
    <w:rsid w:val="6A5C6131"/>
    <w:rsid w:val="6A5D49F4"/>
    <w:rsid w:val="6A606DB8"/>
    <w:rsid w:val="6A62360C"/>
    <w:rsid w:val="6A6322B0"/>
    <w:rsid w:val="6A675D63"/>
    <w:rsid w:val="6A6952FA"/>
    <w:rsid w:val="6A695926"/>
    <w:rsid w:val="6A6976B0"/>
    <w:rsid w:val="6A733117"/>
    <w:rsid w:val="6A734275"/>
    <w:rsid w:val="6A755EE0"/>
    <w:rsid w:val="6A771A6B"/>
    <w:rsid w:val="6A7B1393"/>
    <w:rsid w:val="6A804FEF"/>
    <w:rsid w:val="6A8059D8"/>
    <w:rsid w:val="6A83034C"/>
    <w:rsid w:val="6A84017F"/>
    <w:rsid w:val="6A8527D2"/>
    <w:rsid w:val="6A8B556D"/>
    <w:rsid w:val="6A8C5C3E"/>
    <w:rsid w:val="6A953E6E"/>
    <w:rsid w:val="6A964CB5"/>
    <w:rsid w:val="6A993F7F"/>
    <w:rsid w:val="6A9E3E91"/>
    <w:rsid w:val="6AA51B7A"/>
    <w:rsid w:val="6AAB4411"/>
    <w:rsid w:val="6AB04645"/>
    <w:rsid w:val="6AB40F77"/>
    <w:rsid w:val="6AB416C6"/>
    <w:rsid w:val="6ABD5B11"/>
    <w:rsid w:val="6AC04920"/>
    <w:rsid w:val="6ACD2100"/>
    <w:rsid w:val="6ACD356F"/>
    <w:rsid w:val="6AD0724A"/>
    <w:rsid w:val="6AD553E0"/>
    <w:rsid w:val="6AE92A36"/>
    <w:rsid w:val="6AEF5B3F"/>
    <w:rsid w:val="6AF10616"/>
    <w:rsid w:val="6AF113CF"/>
    <w:rsid w:val="6AF21921"/>
    <w:rsid w:val="6AF3594C"/>
    <w:rsid w:val="6AF67488"/>
    <w:rsid w:val="6AFA5E41"/>
    <w:rsid w:val="6AFD4BEC"/>
    <w:rsid w:val="6B007056"/>
    <w:rsid w:val="6B015ADF"/>
    <w:rsid w:val="6B033E6B"/>
    <w:rsid w:val="6B08548B"/>
    <w:rsid w:val="6B09086D"/>
    <w:rsid w:val="6B0C3EE4"/>
    <w:rsid w:val="6B0C4FAB"/>
    <w:rsid w:val="6B0D49C2"/>
    <w:rsid w:val="6B145CAA"/>
    <w:rsid w:val="6B193204"/>
    <w:rsid w:val="6B1A3BD9"/>
    <w:rsid w:val="6B266127"/>
    <w:rsid w:val="6B2C135C"/>
    <w:rsid w:val="6B331CEF"/>
    <w:rsid w:val="6B391ECD"/>
    <w:rsid w:val="6B4052B9"/>
    <w:rsid w:val="6B4A13AC"/>
    <w:rsid w:val="6B4D7DBF"/>
    <w:rsid w:val="6B5037A8"/>
    <w:rsid w:val="6B512DDD"/>
    <w:rsid w:val="6B573E92"/>
    <w:rsid w:val="6B58630B"/>
    <w:rsid w:val="6B5B2130"/>
    <w:rsid w:val="6B6A44D2"/>
    <w:rsid w:val="6B6C0B56"/>
    <w:rsid w:val="6B6C2BFC"/>
    <w:rsid w:val="6B6C3D4F"/>
    <w:rsid w:val="6B79206E"/>
    <w:rsid w:val="6B8B6CE1"/>
    <w:rsid w:val="6B8C3C7C"/>
    <w:rsid w:val="6B8D0120"/>
    <w:rsid w:val="6B8E5F5A"/>
    <w:rsid w:val="6B9C3120"/>
    <w:rsid w:val="6B9C6752"/>
    <w:rsid w:val="6BAA5378"/>
    <w:rsid w:val="6BAB5E14"/>
    <w:rsid w:val="6BAC1E80"/>
    <w:rsid w:val="6BAD25B2"/>
    <w:rsid w:val="6BAD2A50"/>
    <w:rsid w:val="6BAD44A8"/>
    <w:rsid w:val="6BB93402"/>
    <w:rsid w:val="6BC24AFF"/>
    <w:rsid w:val="6BCA0EBD"/>
    <w:rsid w:val="6BCE50EE"/>
    <w:rsid w:val="6BD07595"/>
    <w:rsid w:val="6BD31D76"/>
    <w:rsid w:val="6BDB5B3E"/>
    <w:rsid w:val="6BDC158B"/>
    <w:rsid w:val="6BDF0F15"/>
    <w:rsid w:val="6BE31A21"/>
    <w:rsid w:val="6BEB34F6"/>
    <w:rsid w:val="6BEB38BB"/>
    <w:rsid w:val="6BED1497"/>
    <w:rsid w:val="6BED2B65"/>
    <w:rsid w:val="6BF211A4"/>
    <w:rsid w:val="6BF53844"/>
    <w:rsid w:val="6BF8193D"/>
    <w:rsid w:val="6BF86EE9"/>
    <w:rsid w:val="6BF95319"/>
    <w:rsid w:val="6BFC1E3B"/>
    <w:rsid w:val="6C05299A"/>
    <w:rsid w:val="6C0F4AAD"/>
    <w:rsid w:val="6C170C69"/>
    <w:rsid w:val="6C171C10"/>
    <w:rsid w:val="6C1E0875"/>
    <w:rsid w:val="6C27372D"/>
    <w:rsid w:val="6C282096"/>
    <w:rsid w:val="6C2F421E"/>
    <w:rsid w:val="6C453D7B"/>
    <w:rsid w:val="6C477E21"/>
    <w:rsid w:val="6C50750A"/>
    <w:rsid w:val="6C5451B4"/>
    <w:rsid w:val="6C573759"/>
    <w:rsid w:val="6C5D6B4E"/>
    <w:rsid w:val="6C6055E9"/>
    <w:rsid w:val="6C6076E3"/>
    <w:rsid w:val="6C646455"/>
    <w:rsid w:val="6C683BF9"/>
    <w:rsid w:val="6C6D69FF"/>
    <w:rsid w:val="6C711ADC"/>
    <w:rsid w:val="6C771E2B"/>
    <w:rsid w:val="6C780136"/>
    <w:rsid w:val="6C8E0FFA"/>
    <w:rsid w:val="6C9552B3"/>
    <w:rsid w:val="6C962F20"/>
    <w:rsid w:val="6C9E22BE"/>
    <w:rsid w:val="6CA00A3A"/>
    <w:rsid w:val="6CA43F41"/>
    <w:rsid w:val="6CA5082F"/>
    <w:rsid w:val="6CBE0EE1"/>
    <w:rsid w:val="6CC414BE"/>
    <w:rsid w:val="6CD65955"/>
    <w:rsid w:val="6CD71E36"/>
    <w:rsid w:val="6CDF5E4C"/>
    <w:rsid w:val="6CE349FA"/>
    <w:rsid w:val="6CEC2BB0"/>
    <w:rsid w:val="6CEF67FA"/>
    <w:rsid w:val="6CF64EF0"/>
    <w:rsid w:val="6CF9204B"/>
    <w:rsid w:val="6D040C67"/>
    <w:rsid w:val="6D0A4A33"/>
    <w:rsid w:val="6D0A5602"/>
    <w:rsid w:val="6D1141F1"/>
    <w:rsid w:val="6D1E109C"/>
    <w:rsid w:val="6D2047CC"/>
    <w:rsid w:val="6D204993"/>
    <w:rsid w:val="6D2710D8"/>
    <w:rsid w:val="6D272347"/>
    <w:rsid w:val="6D31216F"/>
    <w:rsid w:val="6D324BA2"/>
    <w:rsid w:val="6D366587"/>
    <w:rsid w:val="6D39762F"/>
    <w:rsid w:val="6D3F2E03"/>
    <w:rsid w:val="6D545DF0"/>
    <w:rsid w:val="6D5865DB"/>
    <w:rsid w:val="6D5B6D7D"/>
    <w:rsid w:val="6D5F3CB3"/>
    <w:rsid w:val="6D654BCF"/>
    <w:rsid w:val="6D685E09"/>
    <w:rsid w:val="6D6B4856"/>
    <w:rsid w:val="6D7F572F"/>
    <w:rsid w:val="6D8A27EA"/>
    <w:rsid w:val="6D8B5D4C"/>
    <w:rsid w:val="6D962DC5"/>
    <w:rsid w:val="6D9813EC"/>
    <w:rsid w:val="6D9B53B6"/>
    <w:rsid w:val="6D9D6131"/>
    <w:rsid w:val="6DA26CD5"/>
    <w:rsid w:val="6DA920B4"/>
    <w:rsid w:val="6DB00038"/>
    <w:rsid w:val="6DB24598"/>
    <w:rsid w:val="6DBF75AB"/>
    <w:rsid w:val="6DC17A5C"/>
    <w:rsid w:val="6DC40FED"/>
    <w:rsid w:val="6DE1416E"/>
    <w:rsid w:val="6DE6678E"/>
    <w:rsid w:val="6DEE400E"/>
    <w:rsid w:val="6DF228B3"/>
    <w:rsid w:val="6DF23F84"/>
    <w:rsid w:val="6DF3415B"/>
    <w:rsid w:val="6DF737BF"/>
    <w:rsid w:val="6E005C35"/>
    <w:rsid w:val="6E007267"/>
    <w:rsid w:val="6E142FCB"/>
    <w:rsid w:val="6E171B19"/>
    <w:rsid w:val="6E2223D4"/>
    <w:rsid w:val="6E2355B2"/>
    <w:rsid w:val="6E241BB5"/>
    <w:rsid w:val="6E246FDD"/>
    <w:rsid w:val="6E2C6F33"/>
    <w:rsid w:val="6E2F712B"/>
    <w:rsid w:val="6E3258C2"/>
    <w:rsid w:val="6E33008B"/>
    <w:rsid w:val="6E3F707D"/>
    <w:rsid w:val="6E40122D"/>
    <w:rsid w:val="6E435E76"/>
    <w:rsid w:val="6E464B5F"/>
    <w:rsid w:val="6E4C0AB8"/>
    <w:rsid w:val="6E4C18B7"/>
    <w:rsid w:val="6E593015"/>
    <w:rsid w:val="6E5D451B"/>
    <w:rsid w:val="6E5E25FE"/>
    <w:rsid w:val="6E662785"/>
    <w:rsid w:val="6E685299"/>
    <w:rsid w:val="6E6A73E1"/>
    <w:rsid w:val="6E6B3653"/>
    <w:rsid w:val="6E6E0FFF"/>
    <w:rsid w:val="6E700EFC"/>
    <w:rsid w:val="6E711C43"/>
    <w:rsid w:val="6E7541DD"/>
    <w:rsid w:val="6E773B89"/>
    <w:rsid w:val="6E7E5D05"/>
    <w:rsid w:val="6E812A44"/>
    <w:rsid w:val="6E815762"/>
    <w:rsid w:val="6E8C67DE"/>
    <w:rsid w:val="6E9D5B01"/>
    <w:rsid w:val="6E9F7222"/>
    <w:rsid w:val="6EA86FB9"/>
    <w:rsid w:val="6EAE44E5"/>
    <w:rsid w:val="6EBC5A60"/>
    <w:rsid w:val="6EC11446"/>
    <w:rsid w:val="6EC42838"/>
    <w:rsid w:val="6EC63378"/>
    <w:rsid w:val="6ECF5605"/>
    <w:rsid w:val="6ED107C8"/>
    <w:rsid w:val="6ED168FF"/>
    <w:rsid w:val="6ED25321"/>
    <w:rsid w:val="6ED7162D"/>
    <w:rsid w:val="6EDB7784"/>
    <w:rsid w:val="6EDD1DC1"/>
    <w:rsid w:val="6EDF4B1D"/>
    <w:rsid w:val="6EEC6C4F"/>
    <w:rsid w:val="6EF00254"/>
    <w:rsid w:val="6EF65FAD"/>
    <w:rsid w:val="6EFE2B52"/>
    <w:rsid w:val="6F037409"/>
    <w:rsid w:val="6F0729E5"/>
    <w:rsid w:val="6F0D3A45"/>
    <w:rsid w:val="6F0E0EF4"/>
    <w:rsid w:val="6F0F495C"/>
    <w:rsid w:val="6F1644B0"/>
    <w:rsid w:val="6F1E46C6"/>
    <w:rsid w:val="6F200E3F"/>
    <w:rsid w:val="6F202220"/>
    <w:rsid w:val="6F2B0C7A"/>
    <w:rsid w:val="6F341CBE"/>
    <w:rsid w:val="6F3933FC"/>
    <w:rsid w:val="6F4102CF"/>
    <w:rsid w:val="6F455E72"/>
    <w:rsid w:val="6F520EB6"/>
    <w:rsid w:val="6F722478"/>
    <w:rsid w:val="6F7B05C0"/>
    <w:rsid w:val="6F7E1C30"/>
    <w:rsid w:val="6F822230"/>
    <w:rsid w:val="6F87660F"/>
    <w:rsid w:val="6F907558"/>
    <w:rsid w:val="6F9250D4"/>
    <w:rsid w:val="6F992C38"/>
    <w:rsid w:val="6F9D668D"/>
    <w:rsid w:val="6FA34967"/>
    <w:rsid w:val="6FA3519E"/>
    <w:rsid w:val="6FA64D43"/>
    <w:rsid w:val="6FA72053"/>
    <w:rsid w:val="6FA91104"/>
    <w:rsid w:val="6FAB7060"/>
    <w:rsid w:val="6FAC35D5"/>
    <w:rsid w:val="6FAD0EC6"/>
    <w:rsid w:val="6FBB418E"/>
    <w:rsid w:val="6FBB7554"/>
    <w:rsid w:val="6FC87E79"/>
    <w:rsid w:val="6FCA0284"/>
    <w:rsid w:val="6FCB4D80"/>
    <w:rsid w:val="6FCC034E"/>
    <w:rsid w:val="6FCC4D0E"/>
    <w:rsid w:val="6FD77174"/>
    <w:rsid w:val="6FDA1493"/>
    <w:rsid w:val="6FDC1316"/>
    <w:rsid w:val="6FE0744B"/>
    <w:rsid w:val="6FE245DE"/>
    <w:rsid w:val="6FE41B62"/>
    <w:rsid w:val="6FE77D71"/>
    <w:rsid w:val="6FF57278"/>
    <w:rsid w:val="6FF6770E"/>
    <w:rsid w:val="70012614"/>
    <w:rsid w:val="700A279C"/>
    <w:rsid w:val="700A289A"/>
    <w:rsid w:val="700F636B"/>
    <w:rsid w:val="70114A5F"/>
    <w:rsid w:val="70186C7B"/>
    <w:rsid w:val="701969F6"/>
    <w:rsid w:val="702A4E22"/>
    <w:rsid w:val="702E338D"/>
    <w:rsid w:val="703B0E8A"/>
    <w:rsid w:val="703B7C50"/>
    <w:rsid w:val="70472125"/>
    <w:rsid w:val="7049749B"/>
    <w:rsid w:val="704B7905"/>
    <w:rsid w:val="704D3756"/>
    <w:rsid w:val="70555E14"/>
    <w:rsid w:val="705B2D30"/>
    <w:rsid w:val="705F307E"/>
    <w:rsid w:val="705F333A"/>
    <w:rsid w:val="706B2486"/>
    <w:rsid w:val="70783E84"/>
    <w:rsid w:val="70795DF6"/>
    <w:rsid w:val="707A5D2F"/>
    <w:rsid w:val="70964422"/>
    <w:rsid w:val="709E401D"/>
    <w:rsid w:val="70A14A64"/>
    <w:rsid w:val="70AF6CE9"/>
    <w:rsid w:val="70C06B9F"/>
    <w:rsid w:val="70CC7348"/>
    <w:rsid w:val="70CE3EC9"/>
    <w:rsid w:val="70D13BA0"/>
    <w:rsid w:val="70D44648"/>
    <w:rsid w:val="70DF3DEB"/>
    <w:rsid w:val="70F02FDD"/>
    <w:rsid w:val="70F22A41"/>
    <w:rsid w:val="70F45892"/>
    <w:rsid w:val="70F72510"/>
    <w:rsid w:val="70FD0097"/>
    <w:rsid w:val="71041721"/>
    <w:rsid w:val="71070A21"/>
    <w:rsid w:val="7109039E"/>
    <w:rsid w:val="711908A4"/>
    <w:rsid w:val="711C1F43"/>
    <w:rsid w:val="71205B58"/>
    <w:rsid w:val="71225AB6"/>
    <w:rsid w:val="712B05F9"/>
    <w:rsid w:val="712F5856"/>
    <w:rsid w:val="713033D0"/>
    <w:rsid w:val="71310096"/>
    <w:rsid w:val="71367E84"/>
    <w:rsid w:val="7137184D"/>
    <w:rsid w:val="71395DEB"/>
    <w:rsid w:val="713A28FF"/>
    <w:rsid w:val="713A67B3"/>
    <w:rsid w:val="713F414A"/>
    <w:rsid w:val="7141659B"/>
    <w:rsid w:val="71461837"/>
    <w:rsid w:val="7147509B"/>
    <w:rsid w:val="714A356A"/>
    <w:rsid w:val="714C4666"/>
    <w:rsid w:val="7164532F"/>
    <w:rsid w:val="716C04C4"/>
    <w:rsid w:val="716D4D24"/>
    <w:rsid w:val="717031CE"/>
    <w:rsid w:val="71766546"/>
    <w:rsid w:val="7177391B"/>
    <w:rsid w:val="717764EC"/>
    <w:rsid w:val="717943F5"/>
    <w:rsid w:val="717A2BA1"/>
    <w:rsid w:val="718E70D3"/>
    <w:rsid w:val="719D7468"/>
    <w:rsid w:val="719E7012"/>
    <w:rsid w:val="71AA1A3E"/>
    <w:rsid w:val="71AA6403"/>
    <w:rsid w:val="71B16C44"/>
    <w:rsid w:val="71B331A0"/>
    <w:rsid w:val="71BD4685"/>
    <w:rsid w:val="71BE6DFB"/>
    <w:rsid w:val="71C47B9F"/>
    <w:rsid w:val="71C534D2"/>
    <w:rsid w:val="71C64D4D"/>
    <w:rsid w:val="71D72F17"/>
    <w:rsid w:val="71D83CA5"/>
    <w:rsid w:val="71DC1718"/>
    <w:rsid w:val="71DF5B7E"/>
    <w:rsid w:val="71EB282D"/>
    <w:rsid w:val="71F54AE0"/>
    <w:rsid w:val="71FA5D07"/>
    <w:rsid w:val="720158A7"/>
    <w:rsid w:val="720431A7"/>
    <w:rsid w:val="72062734"/>
    <w:rsid w:val="72084942"/>
    <w:rsid w:val="720B4718"/>
    <w:rsid w:val="721D4D5F"/>
    <w:rsid w:val="72225085"/>
    <w:rsid w:val="722A7D71"/>
    <w:rsid w:val="722B7D5A"/>
    <w:rsid w:val="723100EB"/>
    <w:rsid w:val="72364C69"/>
    <w:rsid w:val="723B2B91"/>
    <w:rsid w:val="72402A39"/>
    <w:rsid w:val="7243143C"/>
    <w:rsid w:val="72517987"/>
    <w:rsid w:val="7254791B"/>
    <w:rsid w:val="72551613"/>
    <w:rsid w:val="725D5B96"/>
    <w:rsid w:val="726325AF"/>
    <w:rsid w:val="7269458C"/>
    <w:rsid w:val="726B76F8"/>
    <w:rsid w:val="72702522"/>
    <w:rsid w:val="7272039C"/>
    <w:rsid w:val="72771182"/>
    <w:rsid w:val="728277B8"/>
    <w:rsid w:val="72897A74"/>
    <w:rsid w:val="728D060D"/>
    <w:rsid w:val="728D5535"/>
    <w:rsid w:val="728F4F26"/>
    <w:rsid w:val="7298444E"/>
    <w:rsid w:val="729F1F2D"/>
    <w:rsid w:val="72AA45B6"/>
    <w:rsid w:val="72AB3A5D"/>
    <w:rsid w:val="72B31D60"/>
    <w:rsid w:val="72C00C08"/>
    <w:rsid w:val="72C32F1F"/>
    <w:rsid w:val="72C33245"/>
    <w:rsid w:val="72C55A19"/>
    <w:rsid w:val="72C704A7"/>
    <w:rsid w:val="72C81E26"/>
    <w:rsid w:val="72CB4C94"/>
    <w:rsid w:val="72CF6441"/>
    <w:rsid w:val="72DA0503"/>
    <w:rsid w:val="72DA39DB"/>
    <w:rsid w:val="72E97BD6"/>
    <w:rsid w:val="72EF358D"/>
    <w:rsid w:val="72F00080"/>
    <w:rsid w:val="72F40BED"/>
    <w:rsid w:val="72FA777C"/>
    <w:rsid w:val="72FC3995"/>
    <w:rsid w:val="7307254E"/>
    <w:rsid w:val="731267CC"/>
    <w:rsid w:val="731B1CFE"/>
    <w:rsid w:val="733417FE"/>
    <w:rsid w:val="733535A0"/>
    <w:rsid w:val="73396C18"/>
    <w:rsid w:val="734049AA"/>
    <w:rsid w:val="73424394"/>
    <w:rsid w:val="734B2DDD"/>
    <w:rsid w:val="73582F7A"/>
    <w:rsid w:val="73590ED4"/>
    <w:rsid w:val="735F142D"/>
    <w:rsid w:val="73614A6B"/>
    <w:rsid w:val="737140B0"/>
    <w:rsid w:val="73761061"/>
    <w:rsid w:val="73766334"/>
    <w:rsid w:val="73773E99"/>
    <w:rsid w:val="73790128"/>
    <w:rsid w:val="737B0312"/>
    <w:rsid w:val="737E4127"/>
    <w:rsid w:val="73854C6C"/>
    <w:rsid w:val="738A4F5F"/>
    <w:rsid w:val="738C6771"/>
    <w:rsid w:val="73994803"/>
    <w:rsid w:val="73B05172"/>
    <w:rsid w:val="73B2046C"/>
    <w:rsid w:val="73B70867"/>
    <w:rsid w:val="73BB421A"/>
    <w:rsid w:val="73BF0C9C"/>
    <w:rsid w:val="73C509BC"/>
    <w:rsid w:val="73CD6575"/>
    <w:rsid w:val="73CF3B46"/>
    <w:rsid w:val="73CF44A5"/>
    <w:rsid w:val="73D0280C"/>
    <w:rsid w:val="73D82C3C"/>
    <w:rsid w:val="73DE2643"/>
    <w:rsid w:val="73DF46DE"/>
    <w:rsid w:val="73E65D61"/>
    <w:rsid w:val="73EC11A2"/>
    <w:rsid w:val="73ED5BE9"/>
    <w:rsid w:val="73EE2C6C"/>
    <w:rsid w:val="73F570D8"/>
    <w:rsid w:val="73F809EA"/>
    <w:rsid w:val="73FD1AFC"/>
    <w:rsid w:val="73FD7489"/>
    <w:rsid w:val="74054BEE"/>
    <w:rsid w:val="740560EA"/>
    <w:rsid w:val="74056B42"/>
    <w:rsid w:val="740630C3"/>
    <w:rsid w:val="7409473C"/>
    <w:rsid w:val="741661E7"/>
    <w:rsid w:val="741825DF"/>
    <w:rsid w:val="741B7290"/>
    <w:rsid w:val="741C66D7"/>
    <w:rsid w:val="741F3718"/>
    <w:rsid w:val="74212416"/>
    <w:rsid w:val="74256453"/>
    <w:rsid w:val="743809FF"/>
    <w:rsid w:val="743B2405"/>
    <w:rsid w:val="74410FE0"/>
    <w:rsid w:val="74415F16"/>
    <w:rsid w:val="74482FCD"/>
    <w:rsid w:val="744A091C"/>
    <w:rsid w:val="744B1E8E"/>
    <w:rsid w:val="74624E03"/>
    <w:rsid w:val="74657BF7"/>
    <w:rsid w:val="746B099E"/>
    <w:rsid w:val="74781B09"/>
    <w:rsid w:val="7481244D"/>
    <w:rsid w:val="74836B36"/>
    <w:rsid w:val="7485045B"/>
    <w:rsid w:val="74853218"/>
    <w:rsid w:val="7489688F"/>
    <w:rsid w:val="748D01E5"/>
    <w:rsid w:val="748F6B95"/>
    <w:rsid w:val="7491626D"/>
    <w:rsid w:val="74A14393"/>
    <w:rsid w:val="74A63B78"/>
    <w:rsid w:val="74A80637"/>
    <w:rsid w:val="74AB7C09"/>
    <w:rsid w:val="74AC5E58"/>
    <w:rsid w:val="74AE320C"/>
    <w:rsid w:val="74C93C97"/>
    <w:rsid w:val="74CA18A2"/>
    <w:rsid w:val="74D022E9"/>
    <w:rsid w:val="74E07425"/>
    <w:rsid w:val="74E3569C"/>
    <w:rsid w:val="74E863D4"/>
    <w:rsid w:val="74ED22CD"/>
    <w:rsid w:val="74EF4D46"/>
    <w:rsid w:val="74F35D9A"/>
    <w:rsid w:val="74F63296"/>
    <w:rsid w:val="74FC3839"/>
    <w:rsid w:val="750B59B7"/>
    <w:rsid w:val="750C3CD4"/>
    <w:rsid w:val="75157675"/>
    <w:rsid w:val="751732C5"/>
    <w:rsid w:val="7522661E"/>
    <w:rsid w:val="75233611"/>
    <w:rsid w:val="7526215A"/>
    <w:rsid w:val="754B473A"/>
    <w:rsid w:val="754C18DC"/>
    <w:rsid w:val="75557790"/>
    <w:rsid w:val="7563558E"/>
    <w:rsid w:val="756F210C"/>
    <w:rsid w:val="7578680F"/>
    <w:rsid w:val="75866973"/>
    <w:rsid w:val="758C7F0A"/>
    <w:rsid w:val="758E195E"/>
    <w:rsid w:val="75951408"/>
    <w:rsid w:val="75952C80"/>
    <w:rsid w:val="75964A3C"/>
    <w:rsid w:val="759931D9"/>
    <w:rsid w:val="759D251D"/>
    <w:rsid w:val="75A10102"/>
    <w:rsid w:val="75A16C92"/>
    <w:rsid w:val="75A46BE9"/>
    <w:rsid w:val="75A51045"/>
    <w:rsid w:val="75AC62F8"/>
    <w:rsid w:val="75C067AB"/>
    <w:rsid w:val="75C4082A"/>
    <w:rsid w:val="75C77160"/>
    <w:rsid w:val="75CD2CE4"/>
    <w:rsid w:val="75CF5A6D"/>
    <w:rsid w:val="75D55086"/>
    <w:rsid w:val="75DE5D07"/>
    <w:rsid w:val="75EB1DE1"/>
    <w:rsid w:val="75EC4FA4"/>
    <w:rsid w:val="75F1030D"/>
    <w:rsid w:val="75FC2A02"/>
    <w:rsid w:val="75FF632A"/>
    <w:rsid w:val="760E76BA"/>
    <w:rsid w:val="76107D1F"/>
    <w:rsid w:val="76136ADF"/>
    <w:rsid w:val="761B1B02"/>
    <w:rsid w:val="7621586B"/>
    <w:rsid w:val="76275680"/>
    <w:rsid w:val="76343A39"/>
    <w:rsid w:val="76407584"/>
    <w:rsid w:val="76420A9F"/>
    <w:rsid w:val="76460752"/>
    <w:rsid w:val="76497B53"/>
    <w:rsid w:val="764D469C"/>
    <w:rsid w:val="764F2A77"/>
    <w:rsid w:val="76566161"/>
    <w:rsid w:val="7657634B"/>
    <w:rsid w:val="765B6C81"/>
    <w:rsid w:val="765E3D2D"/>
    <w:rsid w:val="765F4EDC"/>
    <w:rsid w:val="76624EAE"/>
    <w:rsid w:val="76630162"/>
    <w:rsid w:val="76711328"/>
    <w:rsid w:val="767C6AAC"/>
    <w:rsid w:val="76831F7C"/>
    <w:rsid w:val="768764F7"/>
    <w:rsid w:val="768E66A6"/>
    <w:rsid w:val="7690234D"/>
    <w:rsid w:val="76AD4693"/>
    <w:rsid w:val="76B161B7"/>
    <w:rsid w:val="76B174C4"/>
    <w:rsid w:val="76B32D2C"/>
    <w:rsid w:val="76B37636"/>
    <w:rsid w:val="76B5093C"/>
    <w:rsid w:val="76B525F5"/>
    <w:rsid w:val="76B61D62"/>
    <w:rsid w:val="76BE1E79"/>
    <w:rsid w:val="76C47E08"/>
    <w:rsid w:val="76C63052"/>
    <w:rsid w:val="76C7390A"/>
    <w:rsid w:val="76CC5988"/>
    <w:rsid w:val="76CE039A"/>
    <w:rsid w:val="76D10C60"/>
    <w:rsid w:val="76D81A08"/>
    <w:rsid w:val="76DD351E"/>
    <w:rsid w:val="76DE0141"/>
    <w:rsid w:val="76E11D78"/>
    <w:rsid w:val="76E148B0"/>
    <w:rsid w:val="76E15D37"/>
    <w:rsid w:val="76E17E2E"/>
    <w:rsid w:val="76E7031F"/>
    <w:rsid w:val="76E843CB"/>
    <w:rsid w:val="76E92569"/>
    <w:rsid w:val="76F261D8"/>
    <w:rsid w:val="76F355A0"/>
    <w:rsid w:val="76FA1711"/>
    <w:rsid w:val="77086025"/>
    <w:rsid w:val="770B759D"/>
    <w:rsid w:val="77183B98"/>
    <w:rsid w:val="771A2F81"/>
    <w:rsid w:val="77200EDF"/>
    <w:rsid w:val="77234096"/>
    <w:rsid w:val="772B210D"/>
    <w:rsid w:val="772B7629"/>
    <w:rsid w:val="77320E27"/>
    <w:rsid w:val="77371ACB"/>
    <w:rsid w:val="77385348"/>
    <w:rsid w:val="77395E4B"/>
    <w:rsid w:val="77426E7C"/>
    <w:rsid w:val="77455317"/>
    <w:rsid w:val="774A2946"/>
    <w:rsid w:val="774A64C4"/>
    <w:rsid w:val="774E24D6"/>
    <w:rsid w:val="77500471"/>
    <w:rsid w:val="77510092"/>
    <w:rsid w:val="77563F8A"/>
    <w:rsid w:val="77582F34"/>
    <w:rsid w:val="775F37F5"/>
    <w:rsid w:val="776D4A30"/>
    <w:rsid w:val="777005A8"/>
    <w:rsid w:val="777205E3"/>
    <w:rsid w:val="77726B37"/>
    <w:rsid w:val="777423CC"/>
    <w:rsid w:val="77743BE2"/>
    <w:rsid w:val="778B5FAD"/>
    <w:rsid w:val="778F28F8"/>
    <w:rsid w:val="779C0093"/>
    <w:rsid w:val="779C6E17"/>
    <w:rsid w:val="779C7BF8"/>
    <w:rsid w:val="779E3B4F"/>
    <w:rsid w:val="77A33CC4"/>
    <w:rsid w:val="77A47D6F"/>
    <w:rsid w:val="77AA0E39"/>
    <w:rsid w:val="77B12D2C"/>
    <w:rsid w:val="77B42380"/>
    <w:rsid w:val="77B4772C"/>
    <w:rsid w:val="77B65BA5"/>
    <w:rsid w:val="77BB08F1"/>
    <w:rsid w:val="77C037EA"/>
    <w:rsid w:val="77C10D3D"/>
    <w:rsid w:val="77C87CA3"/>
    <w:rsid w:val="77CE53B2"/>
    <w:rsid w:val="77D52F39"/>
    <w:rsid w:val="77D70418"/>
    <w:rsid w:val="77E22076"/>
    <w:rsid w:val="77E42137"/>
    <w:rsid w:val="77EA4458"/>
    <w:rsid w:val="77F17194"/>
    <w:rsid w:val="77F73C96"/>
    <w:rsid w:val="77FF53EB"/>
    <w:rsid w:val="77FF6F5A"/>
    <w:rsid w:val="780156DA"/>
    <w:rsid w:val="780300CD"/>
    <w:rsid w:val="78034528"/>
    <w:rsid w:val="78076055"/>
    <w:rsid w:val="780A14BD"/>
    <w:rsid w:val="78135070"/>
    <w:rsid w:val="78136816"/>
    <w:rsid w:val="781655C9"/>
    <w:rsid w:val="78191328"/>
    <w:rsid w:val="781B5801"/>
    <w:rsid w:val="7821767D"/>
    <w:rsid w:val="78254F24"/>
    <w:rsid w:val="78273EE5"/>
    <w:rsid w:val="782C303E"/>
    <w:rsid w:val="782D0A05"/>
    <w:rsid w:val="782F2090"/>
    <w:rsid w:val="7832725C"/>
    <w:rsid w:val="78360FF5"/>
    <w:rsid w:val="78400592"/>
    <w:rsid w:val="784A396E"/>
    <w:rsid w:val="784C3862"/>
    <w:rsid w:val="785241E4"/>
    <w:rsid w:val="785A4719"/>
    <w:rsid w:val="785A6F85"/>
    <w:rsid w:val="785C18C1"/>
    <w:rsid w:val="786755DA"/>
    <w:rsid w:val="78734995"/>
    <w:rsid w:val="78815DDC"/>
    <w:rsid w:val="788A509C"/>
    <w:rsid w:val="788B3186"/>
    <w:rsid w:val="788C29D5"/>
    <w:rsid w:val="788E06EC"/>
    <w:rsid w:val="789051B0"/>
    <w:rsid w:val="78907379"/>
    <w:rsid w:val="789363CB"/>
    <w:rsid w:val="7897689C"/>
    <w:rsid w:val="789E6904"/>
    <w:rsid w:val="789F47EA"/>
    <w:rsid w:val="78A212A6"/>
    <w:rsid w:val="78A3686E"/>
    <w:rsid w:val="78AA1902"/>
    <w:rsid w:val="78AB5247"/>
    <w:rsid w:val="78AF3131"/>
    <w:rsid w:val="78B070B9"/>
    <w:rsid w:val="78B334D3"/>
    <w:rsid w:val="78B566FD"/>
    <w:rsid w:val="78B70DC3"/>
    <w:rsid w:val="78BB69BF"/>
    <w:rsid w:val="78BE7337"/>
    <w:rsid w:val="78C11EFA"/>
    <w:rsid w:val="78C22CAC"/>
    <w:rsid w:val="78C313D0"/>
    <w:rsid w:val="78C32C98"/>
    <w:rsid w:val="78C6157A"/>
    <w:rsid w:val="78C70075"/>
    <w:rsid w:val="78C728CE"/>
    <w:rsid w:val="78CB43BF"/>
    <w:rsid w:val="78CF5838"/>
    <w:rsid w:val="78D76D23"/>
    <w:rsid w:val="78ED0AB4"/>
    <w:rsid w:val="79031042"/>
    <w:rsid w:val="79035DDE"/>
    <w:rsid w:val="79071330"/>
    <w:rsid w:val="790F0960"/>
    <w:rsid w:val="791229C5"/>
    <w:rsid w:val="79123AB2"/>
    <w:rsid w:val="79217F17"/>
    <w:rsid w:val="79237617"/>
    <w:rsid w:val="793356DB"/>
    <w:rsid w:val="7936746C"/>
    <w:rsid w:val="793772CE"/>
    <w:rsid w:val="794371D6"/>
    <w:rsid w:val="79441DF1"/>
    <w:rsid w:val="79494A81"/>
    <w:rsid w:val="7953502B"/>
    <w:rsid w:val="79596609"/>
    <w:rsid w:val="795A26F3"/>
    <w:rsid w:val="795C4D8E"/>
    <w:rsid w:val="796104A8"/>
    <w:rsid w:val="79661248"/>
    <w:rsid w:val="796C66A3"/>
    <w:rsid w:val="797217F7"/>
    <w:rsid w:val="797F5296"/>
    <w:rsid w:val="797F5F0E"/>
    <w:rsid w:val="79817CB5"/>
    <w:rsid w:val="79850D4C"/>
    <w:rsid w:val="798746C4"/>
    <w:rsid w:val="798B3305"/>
    <w:rsid w:val="799F407B"/>
    <w:rsid w:val="79A03BA7"/>
    <w:rsid w:val="79A21258"/>
    <w:rsid w:val="79A23AAD"/>
    <w:rsid w:val="79A344D3"/>
    <w:rsid w:val="79AC27F6"/>
    <w:rsid w:val="79AE278D"/>
    <w:rsid w:val="79C048B2"/>
    <w:rsid w:val="79C45F88"/>
    <w:rsid w:val="79C606D3"/>
    <w:rsid w:val="79C722DE"/>
    <w:rsid w:val="79C7606B"/>
    <w:rsid w:val="79C7747A"/>
    <w:rsid w:val="79E10FDE"/>
    <w:rsid w:val="79E2299F"/>
    <w:rsid w:val="79E22E0B"/>
    <w:rsid w:val="79F07130"/>
    <w:rsid w:val="7A011425"/>
    <w:rsid w:val="7A0459B8"/>
    <w:rsid w:val="7A0848F5"/>
    <w:rsid w:val="7A090472"/>
    <w:rsid w:val="7A090604"/>
    <w:rsid w:val="7A0F459A"/>
    <w:rsid w:val="7A11399D"/>
    <w:rsid w:val="7A17279A"/>
    <w:rsid w:val="7A1D51AA"/>
    <w:rsid w:val="7A1F07D9"/>
    <w:rsid w:val="7A244DC7"/>
    <w:rsid w:val="7A2C5982"/>
    <w:rsid w:val="7A2F52FC"/>
    <w:rsid w:val="7A307348"/>
    <w:rsid w:val="7A337E4D"/>
    <w:rsid w:val="7A3408ED"/>
    <w:rsid w:val="7A356238"/>
    <w:rsid w:val="7A3E0741"/>
    <w:rsid w:val="7A4309AD"/>
    <w:rsid w:val="7A48224C"/>
    <w:rsid w:val="7A4857AA"/>
    <w:rsid w:val="7A4A6379"/>
    <w:rsid w:val="7A5D14DE"/>
    <w:rsid w:val="7A5E4C0C"/>
    <w:rsid w:val="7A615863"/>
    <w:rsid w:val="7A620F2B"/>
    <w:rsid w:val="7A6D3196"/>
    <w:rsid w:val="7A736997"/>
    <w:rsid w:val="7A795439"/>
    <w:rsid w:val="7A796410"/>
    <w:rsid w:val="7A7B0FDA"/>
    <w:rsid w:val="7A7E1774"/>
    <w:rsid w:val="7A854531"/>
    <w:rsid w:val="7A8F5A40"/>
    <w:rsid w:val="7A911233"/>
    <w:rsid w:val="7A922050"/>
    <w:rsid w:val="7A933E82"/>
    <w:rsid w:val="7A957D22"/>
    <w:rsid w:val="7A9855A9"/>
    <w:rsid w:val="7A9D54B1"/>
    <w:rsid w:val="7AA26CFF"/>
    <w:rsid w:val="7AAC67D4"/>
    <w:rsid w:val="7AB50480"/>
    <w:rsid w:val="7AB53CBE"/>
    <w:rsid w:val="7AB801CE"/>
    <w:rsid w:val="7AB96430"/>
    <w:rsid w:val="7ABF4635"/>
    <w:rsid w:val="7AC107BD"/>
    <w:rsid w:val="7AC51B93"/>
    <w:rsid w:val="7AC649C5"/>
    <w:rsid w:val="7ACC27A2"/>
    <w:rsid w:val="7ACC5B29"/>
    <w:rsid w:val="7ACD101D"/>
    <w:rsid w:val="7AD41461"/>
    <w:rsid w:val="7AD7381C"/>
    <w:rsid w:val="7AE44B5A"/>
    <w:rsid w:val="7AE5472E"/>
    <w:rsid w:val="7AEB6171"/>
    <w:rsid w:val="7AED21FE"/>
    <w:rsid w:val="7AEE562E"/>
    <w:rsid w:val="7B075C4A"/>
    <w:rsid w:val="7B122091"/>
    <w:rsid w:val="7B183C6C"/>
    <w:rsid w:val="7B1C4659"/>
    <w:rsid w:val="7B205640"/>
    <w:rsid w:val="7B271ACC"/>
    <w:rsid w:val="7B28186A"/>
    <w:rsid w:val="7B2E4D49"/>
    <w:rsid w:val="7B327420"/>
    <w:rsid w:val="7B350A7D"/>
    <w:rsid w:val="7B3E01DC"/>
    <w:rsid w:val="7B4C428A"/>
    <w:rsid w:val="7B546E75"/>
    <w:rsid w:val="7B562477"/>
    <w:rsid w:val="7B5A3AB8"/>
    <w:rsid w:val="7B5D42B5"/>
    <w:rsid w:val="7B5E060E"/>
    <w:rsid w:val="7B6321FB"/>
    <w:rsid w:val="7B705A2F"/>
    <w:rsid w:val="7B7A6911"/>
    <w:rsid w:val="7B8227A2"/>
    <w:rsid w:val="7B827CC7"/>
    <w:rsid w:val="7B862503"/>
    <w:rsid w:val="7B871CB9"/>
    <w:rsid w:val="7B9506C6"/>
    <w:rsid w:val="7B9A6F06"/>
    <w:rsid w:val="7B9B4BA1"/>
    <w:rsid w:val="7BA0246C"/>
    <w:rsid w:val="7BA37898"/>
    <w:rsid w:val="7BA97827"/>
    <w:rsid w:val="7BB43F89"/>
    <w:rsid w:val="7BB8261A"/>
    <w:rsid w:val="7BBE4E58"/>
    <w:rsid w:val="7BC4707F"/>
    <w:rsid w:val="7BCE62FC"/>
    <w:rsid w:val="7BD4745A"/>
    <w:rsid w:val="7BD614AF"/>
    <w:rsid w:val="7BD85E62"/>
    <w:rsid w:val="7BEA4BE1"/>
    <w:rsid w:val="7BEB23B5"/>
    <w:rsid w:val="7BED2A59"/>
    <w:rsid w:val="7BEF13BC"/>
    <w:rsid w:val="7BF05BAF"/>
    <w:rsid w:val="7BF77925"/>
    <w:rsid w:val="7BF97CF0"/>
    <w:rsid w:val="7BFE1C9A"/>
    <w:rsid w:val="7C027FC8"/>
    <w:rsid w:val="7C0403C1"/>
    <w:rsid w:val="7C041FC7"/>
    <w:rsid w:val="7C05330D"/>
    <w:rsid w:val="7C074CF6"/>
    <w:rsid w:val="7C096E18"/>
    <w:rsid w:val="7C0C2E06"/>
    <w:rsid w:val="7C167366"/>
    <w:rsid w:val="7C171CF9"/>
    <w:rsid w:val="7C185043"/>
    <w:rsid w:val="7C1966E4"/>
    <w:rsid w:val="7C1D34C6"/>
    <w:rsid w:val="7C230886"/>
    <w:rsid w:val="7C2369D2"/>
    <w:rsid w:val="7C237FC2"/>
    <w:rsid w:val="7C303202"/>
    <w:rsid w:val="7C3742FB"/>
    <w:rsid w:val="7C3A0402"/>
    <w:rsid w:val="7C441F78"/>
    <w:rsid w:val="7C481098"/>
    <w:rsid w:val="7C4C5980"/>
    <w:rsid w:val="7C4F65DF"/>
    <w:rsid w:val="7C515172"/>
    <w:rsid w:val="7C545AC7"/>
    <w:rsid w:val="7C582BBE"/>
    <w:rsid w:val="7C5937E1"/>
    <w:rsid w:val="7C5A6D03"/>
    <w:rsid w:val="7C5F613E"/>
    <w:rsid w:val="7C601B7A"/>
    <w:rsid w:val="7C6327C1"/>
    <w:rsid w:val="7C637369"/>
    <w:rsid w:val="7C6A37BF"/>
    <w:rsid w:val="7C6B2731"/>
    <w:rsid w:val="7C6D5683"/>
    <w:rsid w:val="7C700C54"/>
    <w:rsid w:val="7C807077"/>
    <w:rsid w:val="7C814F50"/>
    <w:rsid w:val="7C82385D"/>
    <w:rsid w:val="7C8377FC"/>
    <w:rsid w:val="7C8633F3"/>
    <w:rsid w:val="7C8809A1"/>
    <w:rsid w:val="7C8D35F1"/>
    <w:rsid w:val="7C932D68"/>
    <w:rsid w:val="7CA725DE"/>
    <w:rsid w:val="7CA836B5"/>
    <w:rsid w:val="7CAA29BE"/>
    <w:rsid w:val="7CAB7782"/>
    <w:rsid w:val="7CAC0BC6"/>
    <w:rsid w:val="7CB74726"/>
    <w:rsid w:val="7CB854DB"/>
    <w:rsid w:val="7CB97A94"/>
    <w:rsid w:val="7CBA3AEC"/>
    <w:rsid w:val="7CC04B01"/>
    <w:rsid w:val="7CC46FB9"/>
    <w:rsid w:val="7CC65AB8"/>
    <w:rsid w:val="7CC70A9C"/>
    <w:rsid w:val="7CC76296"/>
    <w:rsid w:val="7CC916C3"/>
    <w:rsid w:val="7CCF4F2A"/>
    <w:rsid w:val="7CD555B1"/>
    <w:rsid w:val="7CE76CA6"/>
    <w:rsid w:val="7CEC40AE"/>
    <w:rsid w:val="7CF61804"/>
    <w:rsid w:val="7D004073"/>
    <w:rsid w:val="7D023DA3"/>
    <w:rsid w:val="7D0A38B7"/>
    <w:rsid w:val="7D0E138E"/>
    <w:rsid w:val="7D282FC3"/>
    <w:rsid w:val="7D297EAF"/>
    <w:rsid w:val="7D306185"/>
    <w:rsid w:val="7D311F60"/>
    <w:rsid w:val="7D3301EF"/>
    <w:rsid w:val="7D402701"/>
    <w:rsid w:val="7D407FDC"/>
    <w:rsid w:val="7D4B4DFE"/>
    <w:rsid w:val="7D4E4256"/>
    <w:rsid w:val="7D4E7E5C"/>
    <w:rsid w:val="7D575335"/>
    <w:rsid w:val="7D58272B"/>
    <w:rsid w:val="7D5E0B02"/>
    <w:rsid w:val="7D620B8A"/>
    <w:rsid w:val="7D644BB9"/>
    <w:rsid w:val="7D65427D"/>
    <w:rsid w:val="7D67750A"/>
    <w:rsid w:val="7D681A57"/>
    <w:rsid w:val="7D6D2F28"/>
    <w:rsid w:val="7D6E1078"/>
    <w:rsid w:val="7D767753"/>
    <w:rsid w:val="7D7B4CE3"/>
    <w:rsid w:val="7D8052F4"/>
    <w:rsid w:val="7D810276"/>
    <w:rsid w:val="7D85788A"/>
    <w:rsid w:val="7D882D6F"/>
    <w:rsid w:val="7D8F27FA"/>
    <w:rsid w:val="7D9876CB"/>
    <w:rsid w:val="7D9905A4"/>
    <w:rsid w:val="7DA62108"/>
    <w:rsid w:val="7DA77870"/>
    <w:rsid w:val="7DA862C6"/>
    <w:rsid w:val="7DAD2009"/>
    <w:rsid w:val="7DAE0334"/>
    <w:rsid w:val="7DAF2D2F"/>
    <w:rsid w:val="7DB76331"/>
    <w:rsid w:val="7DB937A1"/>
    <w:rsid w:val="7DBC51AE"/>
    <w:rsid w:val="7DC153FB"/>
    <w:rsid w:val="7DCC70D5"/>
    <w:rsid w:val="7DD0543A"/>
    <w:rsid w:val="7DDF103D"/>
    <w:rsid w:val="7DE05644"/>
    <w:rsid w:val="7DE1116D"/>
    <w:rsid w:val="7DEA6EF4"/>
    <w:rsid w:val="7DEE4F29"/>
    <w:rsid w:val="7DEF62A0"/>
    <w:rsid w:val="7DF02678"/>
    <w:rsid w:val="7DF54C68"/>
    <w:rsid w:val="7DFD0F1F"/>
    <w:rsid w:val="7DFE78A8"/>
    <w:rsid w:val="7E023AD6"/>
    <w:rsid w:val="7E025ACF"/>
    <w:rsid w:val="7E0879FD"/>
    <w:rsid w:val="7E0A36D7"/>
    <w:rsid w:val="7E0C459D"/>
    <w:rsid w:val="7E0C53E7"/>
    <w:rsid w:val="7E0D7696"/>
    <w:rsid w:val="7E0E456C"/>
    <w:rsid w:val="7E0E6DCD"/>
    <w:rsid w:val="7E0F48BB"/>
    <w:rsid w:val="7E102CFC"/>
    <w:rsid w:val="7E1033DC"/>
    <w:rsid w:val="7E142C1A"/>
    <w:rsid w:val="7E2353BC"/>
    <w:rsid w:val="7E2424ED"/>
    <w:rsid w:val="7E251F1C"/>
    <w:rsid w:val="7E323687"/>
    <w:rsid w:val="7E352B6C"/>
    <w:rsid w:val="7E4107B0"/>
    <w:rsid w:val="7E430F47"/>
    <w:rsid w:val="7E444E2C"/>
    <w:rsid w:val="7E45635D"/>
    <w:rsid w:val="7E512D90"/>
    <w:rsid w:val="7E517C52"/>
    <w:rsid w:val="7E55374B"/>
    <w:rsid w:val="7E5F2743"/>
    <w:rsid w:val="7E606711"/>
    <w:rsid w:val="7E627AA2"/>
    <w:rsid w:val="7E6947CD"/>
    <w:rsid w:val="7E7178F7"/>
    <w:rsid w:val="7E7860BC"/>
    <w:rsid w:val="7E790196"/>
    <w:rsid w:val="7E821A0C"/>
    <w:rsid w:val="7E836EA8"/>
    <w:rsid w:val="7E980AF4"/>
    <w:rsid w:val="7E9A12EA"/>
    <w:rsid w:val="7E9E1E1A"/>
    <w:rsid w:val="7E9F0584"/>
    <w:rsid w:val="7EA03698"/>
    <w:rsid w:val="7EA17D25"/>
    <w:rsid w:val="7EAC7F5E"/>
    <w:rsid w:val="7EAF3D02"/>
    <w:rsid w:val="7EAF6CBB"/>
    <w:rsid w:val="7EB61631"/>
    <w:rsid w:val="7EBC7985"/>
    <w:rsid w:val="7EBF430D"/>
    <w:rsid w:val="7EC1642F"/>
    <w:rsid w:val="7EC42501"/>
    <w:rsid w:val="7EC539A1"/>
    <w:rsid w:val="7EC904A4"/>
    <w:rsid w:val="7EC92A23"/>
    <w:rsid w:val="7ECA6995"/>
    <w:rsid w:val="7ECC7141"/>
    <w:rsid w:val="7ED148EC"/>
    <w:rsid w:val="7ED74390"/>
    <w:rsid w:val="7ED935AA"/>
    <w:rsid w:val="7EDA6062"/>
    <w:rsid w:val="7EDC75D2"/>
    <w:rsid w:val="7EE36BEA"/>
    <w:rsid w:val="7EEA1CAF"/>
    <w:rsid w:val="7EEC00CA"/>
    <w:rsid w:val="7EEE2723"/>
    <w:rsid w:val="7EEF48EF"/>
    <w:rsid w:val="7EF439EE"/>
    <w:rsid w:val="7EF60904"/>
    <w:rsid w:val="7EFA2E85"/>
    <w:rsid w:val="7EFA4934"/>
    <w:rsid w:val="7EFB6450"/>
    <w:rsid w:val="7EFF7B3C"/>
    <w:rsid w:val="7F1511C1"/>
    <w:rsid w:val="7F1B0314"/>
    <w:rsid w:val="7F1D027F"/>
    <w:rsid w:val="7F1D72CA"/>
    <w:rsid w:val="7F1D76A1"/>
    <w:rsid w:val="7F206C9C"/>
    <w:rsid w:val="7F214434"/>
    <w:rsid w:val="7F23099D"/>
    <w:rsid w:val="7F2D6A17"/>
    <w:rsid w:val="7F325AED"/>
    <w:rsid w:val="7F3F5920"/>
    <w:rsid w:val="7F48617D"/>
    <w:rsid w:val="7F541897"/>
    <w:rsid w:val="7F557022"/>
    <w:rsid w:val="7F5670C5"/>
    <w:rsid w:val="7F57360A"/>
    <w:rsid w:val="7F58086A"/>
    <w:rsid w:val="7F580B9E"/>
    <w:rsid w:val="7F6075F8"/>
    <w:rsid w:val="7F612CF9"/>
    <w:rsid w:val="7F673D47"/>
    <w:rsid w:val="7F674DB2"/>
    <w:rsid w:val="7F732D1C"/>
    <w:rsid w:val="7F79325B"/>
    <w:rsid w:val="7F793D65"/>
    <w:rsid w:val="7F7C62BC"/>
    <w:rsid w:val="7F7F03BF"/>
    <w:rsid w:val="7F9977A8"/>
    <w:rsid w:val="7F9C55A2"/>
    <w:rsid w:val="7F9E2979"/>
    <w:rsid w:val="7F9E7758"/>
    <w:rsid w:val="7FA13EF8"/>
    <w:rsid w:val="7FA22DEB"/>
    <w:rsid w:val="7FA60A82"/>
    <w:rsid w:val="7FA70316"/>
    <w:rsid w:val="7FB21882"/>
    <w:rsid w:val="7FB30445"/>
    <w:rsid w:val="7FB75E1A"/>
    <w:rsid w:val="7FB81199"/>
    <w:rsid w:val="7FB92698"/>
    <w:rsid w:val="7FBA1360"/>
    <w:rsid w:val="7FC33985"/>
    <w:rsid w:val="7FC6640B"/>
    <w:rsid w:val="7FCC33D5"/>
    <w:rsid w:val="7FCC73DB"/>
    <w:rsid w:val="7FCE0DDA"/>
    <w:rsid w:val="7FCE527B"/>
    <w:rsid w:val="7FD94BDD"/>
    <w:rsid w:val="7FDB410B"/>
    <w:rsid w:val="7FE05BAC"/>
    <w:rsid w:val="7FF40ECB"/>
    <w:rsid w:val="7FF414BC"/>
    <w:rsid w:val="7FF53E7F"/>
    <w:rsid w:val="7FF7536D"/>
    <w:rsid w:val="7FFA1A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99"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4"/>
    <w:unhideWhenUsed/>
    <w:qFormat/>
    <w:uiPriority w:val="0"/>
    <w:pPr>
      <w:keepNext/>
      <w:keepLines/>
      <w:spacing w:before="260" w:after="260" w:line="416" w:lineRule="auto"/>
      <w:outlineLvl w:val="1"/>
    </w:pPr>
    <w:rPr>
      <w:rFonts w:ascii="Arial" w:hAnsi="Arial" w:eastAsia="黑体"/>
      <w:b/>
      <w:bCs/>
      <w:sz w:val="32"/>
      <w:szCs w:val="32"/>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semiHidden/>
    <w:qFormat/>
    <w:uiPriority w:val="99"/>
    <w:pPr>
      <w:ind w:firstLine="631" w:firstLineChars="200"/>
    </w:pPr>
    <w:rPr>
      <w:rFonts w:ascii="黑体" w:hAnsi="黑体" w:eastAsia="黑体" w:cs="黑体"/>
      <w:sz w:val="32"/>
      <w:szCs w:val="32"/>
    </w:rPr>
  </w:style>
  <w:style w:type="paragraph" w:styleId="4">
    <w:name w:val="Normal Indent"/>
    <w:basedOn w:val="1"/>
    <w:qFormat/>
    <w:uiPriority w:val="0"/>
    <w:pPr>
      <w:spacing w:line="360" w:lineRule="auto"/>
      <w:ind w:firstLine="420"/>
    </w:pPr>
    <w:rPr>
      <w:rFonts w:ascii="宋体"/>
    </w:rPr>
  </w:style>
  <w:style w:type="paragraph" w:styleId="5">
    <w:name w:val="annotation text"/>
    <w:basedOn w:val="1"/>
    <w:qFormat/>
    <w:uiPriority w:val="0"/>
  </w:style>
  <w:style w:type="paragraph" w:styleId="6">
    <w:name w:val="Body Text"/>
    <w:basedOn w:val="1"/>
    <w:next w:val="7"/>
    <w:qFormat/>
    <w:uiPriority w:val="0"/>
    <w:pPr>
      <w:spacing w:after="120"/>
    </w:pPr>
    <w:rPr>
      <w:kern w:val="0"/>
      <w:sz w:val="20"/>
    </w:rPr>
  </w:style>
  <w:style w:type="paragraph" w:customStyle="1" w:styleId="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8">
    <w:name w:val="Body Text Indent"/>
    <w:basedOn w:val="1"/>
    <w:next w:val="9"/>
    <w:qFormat/>
    <w:uiPriority w:val="0"/>
    <w:pPr>
      <w:ind w:left="420" w:leftChars="200"/>
    </w:pPr>
  </w:style>
  <w:style w:type="paragraph" w:styleId="9">
    <w:name w:val="envelope return"/>
    <w:basedOn w:val="1"/>
    <w:qFormat/>
    <w:uiPriority w:val="99"/>
    <w:pPr>
      <w:snapToGrid w:val="0"/>
    </w:pPr>
    <w:rPr>
      <w:rFonts w:ascii="Arial" w:hAnsi="Arial" w:cs="Arial"/>
    </w:rPr>
  </w:style>
  <w:style w:type="paragraph" w:styleId="10">
    <w:name w:val="Plain Text"/>
    <w:basedOn w:val="1"/>
    <w:next w:val="1"/>
    <w:qFormat/>
    <w:uiPriority w:val="0"/>
    <w:rPr>
      <w:rFonts w:ascii="宋体" w:hAnsi="Courier New"/>
      <w:kern w:val="0"/>
      <w:sz w:val="20"/>
      <w:szCs w:val="21"/>
    </w:rPr>
  </w:style>
  <w:style w:type="paragraph" w:styleId="11">
    <w:name w:val="Balloon Text"/>
    <w:basedOn w:val="1"/>
    <w:link w:val="37"/>
    <w:qFormat/>
    <w:uiPriority w:val="0"/>
    <w:rPr>
      <w:sz w:val="18"/>
      <w:szCs w:val="18"/>
    </w:rPr>
  </w:style>
  <w:style w:type="paragraph" w:styleId="12">
    <w:name w:val="footer"/>
    <w:basedOn w:val="1"/>
    <w:qFormat/>
    <w:uiPriority w:val="0"/>
    <w:pPr>
      <w:tabs>
        <w:tab w:val="center" w:pos="4153"/>
        <w:tab w:val="right" w:pos="8306"/>
      </w:tabs>
      <w:snapToGrid w:val="0"/>
      <w:jc w:val="left"/>
    </w:pPr>
    <w:rPr>
      <w:kern w:val="0"/>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styleId="14">
    <w:name w:val="toc 1"/>
    <w:basedOn w:val="1"/>
    <w:next w:val="1"/>
    <w:qFormat/>
    <w:uiPriority w:val="0"/>
    <w:pPr>
      <w:tabs>
        <w:tab w:val="right" w:leader="dot" w:pos="9060"/>
      </w:tabs>
      <w:spacing w:line="360" w:lineRule="auto"/>
      <w:jc w:val="center"/>
    </w:pPr>
    <w:rPr>
      <w:rFonts w:ascii="宋体" w:hAnsi="宋体"/>
      <w:b/>
      <w:sz w:val="28"/>
      <w:szCs w:val="28"/>
    </w:rPr>
  </w:style>
  <w:style w:type="paragraph" w:styleId="15">
    <w:name w:val="Body Text Indent 3"/>
    <w:basedOn w:val="1"/>
    <w:qFormat/>
    <w:uiPriority w:val="0"/>
    <w:pPr>
      <w:ind w:firstLine="426"/>
    </w:pPr>
  </w:style>
  <w:style w:type="paragraph" w:styleId="16">
    <w:name w:val="Normal (Web)"/>
    <w:basedOn w:val="1"/>
    <w:qFormat/>
    <w:uiPriority w:val="0"/>
    <w:pPr>
      <w:widowControl/>
      <w:spacing w:before="100" w:beforeAutospacing="1" w:after="100" w:afterAutospacing="1"/>
      <w:jc w:val="left"/>
    </w:pPr>
    <w:rPr>
      <w:rFonts w:ascii="宋体" w:hAnsi="宋体"/>
      <w:kern w:val="0"/>
      <w:sz w:val="24"/>
    </w:rPr>
  </w:style>
  <w:style w:type="paragraph" w:styleId="17">
    <w:name w:val="Body Text First Indent 2"/>
    <w:basedOn w:val="8"/>
    <w:qFormat/>
    <w:uiPriority w:val="0"/>
    <w:pPr>
      <w:ind w:left="200" w:leftChars="0" w:firstLine="200"/>
    </w:pPr>
    <w:rPr>
      <w:rFonts w:ascii="宋体" w:hAnsi="宋体"/>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qFormat/>
    <w:uiPriority w:val="0"/>
    <w:rPr>
      <w:b/>
      <w:bCs/>
    </w:rPr>
  </w:style>
  <w:style w:type="character" w:styleId="22">
    <w:name w:val="page number"/>
    <w:basedOn w:val="20"/>
    <w:qFormat/>
    <w:uiPriority w:val="0"/>
  </w:style>
  <w:style w:type="character" w:styleId="23">
    <w:name w:val="Hyperlink"/>
    <w:qFormat/>
    <w:uiPriority w:val="0"/>
    <w:rPr>
      <w:color w:val="0000FF"/>
      <w:u w:val="single"/>
    </w:rPr>
  </w:style>
  <w:style w:type="character" w:styleId="24">
    <w:name w:val="annotation reference"/>
    <w:basedOn w:val="20"/>
    <w:qFormat/>
    <w:uiPriority w:val="0"/>
    <w:rPr>
      <w:sz w:val="21"/>
      <w:szCs w:val="21"/>
    </w:rPr>
  </w:style>
  <w:style w:type="paragraph" w:customStyle="1" w:styleId="25">
    <w:name w:val="Default2"/>
    <w:qFormat/>
    <w:uiPriority w:val="0"/>
    <w:pPr>
      <w:widowControl w:val="0"/>
      <w:autoSpaceDE w:val="0"/>
      <w:autoSpaceDN w:val="0"/>
      <w:adjustRightInd w:val="0"/>
      <w:spacing w:line="360" w:lineRule="auto"/>
      <w:ind w:firstLine="883" w:firstLineChars="200"/>
    </w:pPr>
    <w:rPr>
      <w:rFonts w:ascii="宋体" w:hAnsi="宋体" w:eastAsia="宋体" w:cs="宋体"/>
      <w:color w:val="000000"/>
      <w:sz w:val="28"/>
      <w:szCs w:val="24"/>
      <w:lang w:val="en-US" w:eastAsia="zh-CN" w:bidi="ar-SA"/>
    </w:rPr>
  </w:style>
  <w:style w:type="paragraph" w:customStyle="1" w:styleId="26">
    <w:name w:val="列出段落1"/>
    <w:basedOn w:val="1"/>
    <w:qFormat/>
    <w:uiPriority w:val="34"/>
    <w:pPr>
      <w:ind w:firstLine="420" w:firstLineChars="200"/>
    </w:pPr>
  </w:style>
  <w:style w:type="paragraph" w:customStyle="1" w:styleId="27">
    <w:name w:val="样式4"/>
    <w:basedOn w:val="1"/>
    <w:qFormat/>
    <w:uiPriority w:val="0"/>
    <w:pPr>
      <w:numPr>
        <w:ilvl w:val="3"/>
        <w:numId w:val="1"/>
      </w:numPr>
    </w:pPr>
  </w:style>
  <w:style w:type="paragraph" w:customStyle="1" w:styleId="28">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29">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30">
    <w:name w:val="列出段落11"/>
    <w:basedOn w:val="1"/>
    <w:qFormat/>
    <w:uiPriority w:val="99"/>
    <w:pPr>
      <w:ind w:firstLine="420" w:firstLineChars="200"/>
    </w:pPr>
  </w:style>
  <w:style w:type="paragraph" w:customStyle="1" w:styleId="31">
    <w:name w:val="样式 小四 段前: 5 磅 段后: 5 磅 首行缩进:  2 字符"/>
    <w:basedOn w:val="1"/>
    <w:qFormat/>
    <w:uiPriority w:val="0"/>
    <w:pPr>
      <w:spacing w:line="400" w:lineRule="exact"/>
    </w:pPr>
    <w:rPr>
      <w:rFonts w:ascii="宋体" w:hAnsi="宋体"/>
      <w:sz w:val="24"/>
    </w:rPr>
  </w:style>
  <w:style w:type="character" w:customStyle="1" w:styleId="32">
    <w:name w:val="font21"/>
    <w:basedOn w:val="20"/>
    <w:qFormat/>
    <w:uiPriority w:val="0"/>
    <w:rPr>
      <w:rFonts w:hint="default" w:ascii="Times New Roman" w:hAnsi="Times New Roman" w:cs="Times New Roman"/>
      <w:color w:val="000000"/>
      <w:sz w:val="24"/>
      <w:szCs w:val="24"/>
      <w:u w:val="none"/>
    </w:rPr>
  </w:style>
  <w:style w:type="character" w:customStyle="1" w:styleId="33">
    <w:name w:val="font11"/>
    <w:basedOn w:val="20"/>
    <w:qFormat/>
    <w:uiPriority w:val="0"/>
    <w:rPr>
      <w:rFonts w:hint="eastAsia" w:ascii="宋体" w:hAnsi="宋体" w:eastAsia="宋体" w:cs="宋体"/>
      <w:color w:val="000000"/>
      <w:sz w:val="24"/>
      <w:szCs w:val="24"/>
      <w:u w:val="none"/>
    </w:rPr>
  </w:style>
  <w:style w:type="character" w:customStyle="1" w:styleId="34">
    <w:name w:val="font01"/>
    <w:basedOn w:val="20"/>
    <w:qFormat/>
    <w:uiPriority w:val="0"/>
    <w:rPr>
      <w:rFonts w:ascii="Arial" w:hAnsi="Arial" w:cs="Arial"/>
      <w:color w:val="000000"/>
      <w:sz w:val="24"/>
      <w:szCs w:val="24"/>
      <w:u w:val="none"/>
    </w:rPr>
  </w:style>
  <w:style w:type="paragraph" w:styleId="35">
    <w:name w:val="List Paragraph"/>
    <w:basedOn w:val="1"/>
    <w:qFormat/>
    <w:uiPriority w:val="1"/>
    <w:pPr>
      <w:ind w:left="673" w:firstLine="420"/>
    </w:pPr>
  </w:style>
  <w:style w:type="paragraph" w:customStyle="1" w:styleId="36">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7">
    <w:name w:val="批注框文本 Char"/>
    <w:basedOn w:val="20"/>
    <w:link w:val="11"/>
    <w:qFormat/>
    <w:uiPriority w:val="0"/>
    <w:rPr>
      <w:kern w:val="2"/>
      <w:sz w:val="18"/>
      <w:szCs w:val="18"/>
    </w:rPr>
  </w:style>
  <w:style w:type="character" w:customStyle="1" w:styleId="38">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39">
    <w:name w:val="Table Paragraph"/>
    <w:basedOn w:val="1"/>
    <w:qFormat/>
    <w:uiPriority w:val="1"/>
  </w:style>
  <w:style w:type="table" w:customStyle="1" w:styleId="40">
    <w:name w:val="Table Normal"/>
    <w:semiHidden/>
    <w:unhideWhenUsed/>
    <w:qFormat/>
    <w:uiPriority w:val="2"/>
    <w:tblPr>
      <w:tblCellMar>
        <w:top w:w="0" w:type="dxa"/>
        <w:left w:w="0" w:type="dxa"/>
        <w:bottom w:w="0" w:type="dxa"/>
        <w:right w:w="0" w:type="dxa"/>
      </w:tblCellMar>
    </w:tblPr>
  </w:style>
  <w:style w:type="paragraph" w:customStyle="1" w:styleId="41">
    <w:name w:val="L"/>
    <w:basedOn w:val="1"/>
    <w:qFormat/>
    <w:uiPriority w:val="0"/>
    <w:pPr>
      <w:tabs>
        <w:tab w:val="left" w:pos="1290"/>
      </w:tabs>
      <w:spacing w:line="360" w:lineRule="auto"/>
    </w:pPr>
    <w:rPr>
      <w:b/>
      <w:sz w:val="24"/>
    </w:rPr>
  </w:style>
  <w:style w:type="paragraph" w:customStyle="1" w:styleId="42">
    <w:name w:val="正文_2"/>
    <w:qFormat/>
    <w:uiPriority w:val="0"/>
    <w:rPr>
      <w:rFonts w:ascii="Times New Roman" w:hAnsi="Times New Roman" w:eastAsia="宋体" w:cs="Times New Roman"/>
      <w:sz w:val="21"/>
      <w:lang w:val="en-US" w:eastAsia="zh-CN" w:bidi="ar-SA"/>
    </w:rPr>
  </w:style>
  <w:style w:type="character" w:customStyle="1" w:styleId="43">
    <w:name w:val="weby11"/>
    <w:basedOn w:val="20"/>
    <w:qFormat/>
    <w:uiPriority w:val="0"/>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32"/>
    <customShpInfo spid="_x0000_s1031"/>
    <customShpInfo spid="_x0000_s1030"/>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AB0371-C9A8-4BCD-B7E9-F82B3072A11B}">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65</Pages>
  <Words>6764</Words>
  <Characters>38556</Characters>
  <Lines>321</Lines>
  <Paragraphs>90</Paragraphs>
  <TotalTime>0</TotalTime>
  <ScaleCrop>false</ScaleCrop>
  <LinksUpToDate>false</LinksUpToDate>
  <CharactersWithSpaces>45230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2021-04-01T03:57:00Z</dcterms:created>
  <dc:creator>Administrator</dc:creator>
  <cp:lastModifiedBy>宝诚代理</cp:lastModifiedBy>
  <cp:lastPrinted>2019-10-16T03:40:00Z</cp:lastPrinted>
  <dcterms:modified xsi:type="dcterms:W3CDTF">2021-07-15T06:41:47Z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C515D74DBA0D46CA91BD392E5F0F6003</vt:lpwstr>
  </property>
</Properties>
</file>