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auto"/>
        <w:jc w:val="both"/>
        <w:rPr>
          <w:sz w:val="24"/>
          <w:szCs w:val="24"/>
        </w:rPr>
      </w:pPr>
      <w:bookmarkStart w:id="1354" w:name="_GoBack"/>
      <w:bookmarkEnd w:id="1354"/>
      <w:r>
        <w:drawing>
          <wp:anchor distT="0" distB="0" distL="114300" distR="114300" simplePos="0" relativeHeight="251659264" behindDoc="0" locked="0" layoutInCell="1" allowOverlap="1">
            <wp:simplePos x="0" y="0"/>
            <wp:positionH relativeFrom="column">
              <wp:posOffset>40005</wp:posOffset>
            </wp:positionH>
            <wp:positionV relativeFrom="paragraph">
              <wp:posOffset>65405</wp:posOffset>
            </wp:positionV>
            <wp:extent cx="687070" cy="687070"/>
            <wp:effectExtent l="0" t="0" r="17780" b="17780"/>
            <wp:wrapNone/>
            <wp:docPr id="3"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G)UZM~ZR38RTGTRZ6@0(3"/>
                    <pic:cNvPicPr>
                      <a:picLocks noChangeAspect="1"/>
                    </pic:cNvPicPr>
                  </pic:nvPicPr>
                  <pic:blipFill>
                    <a:blip r:embed="rId12"/>
                    <a:stretch>
                      <a:fillRect/>
                    </a:stretch>
                  </pic:blipFill>
                  <pic:spPr>
                    <a:xfrm>
                      <a:off x="0" y="0"/>
                      <a:ext cx="687070" cy="687070"/>
                    </a:xfrm>
                    <a:prstGeom prst="rect">
                      <a:avLst/>
                    </a:prstGeom>
                    <a:noFill/>
                    <a:ln>
                      <a:noFill/>
                    </a:ln>
                  </pic:spPr>
                </pic:pic>
              </a:graphicData>
            </a:graphic>
          </wp:anchor>
        </w:drawing>
      </w:r>
    </w:p>
    <w:p>
      <w:pPr>
        <w:spacing w:line="420" w:lineRule="auto"/>
        <w:jc w:val="center"/>
        <w:rPr>
          <w:sz w:val="24"/>
          <w:szCs w:val="24"/>
        </w:rPr>
      </w:pPr>
    </w:p>
    <w:p>
      <w:pPr>
        <w:spacing w:before="120" w:beforeLines="50"/>
        <w:jc w:val="center"/>
        <w:rPr>
          <w:rFonts w:ascii="微软雅黑" w:hAnsi="微软雅黑" w:cs="微软雅黑"/>
          <w:b/>
          <w:bCs/>
          <w:sz w:val="84"/>
          <w:szCs w:val="84"/>
        </w:rPr>
      </w:pPr>
    </w:p>
    <w:p>
      <w:pPr>
        <w:spacing w:before="120" w:beforeLines="50"/>
        <w:jc w:val="center"/>
        <w:rPr>
          <w:rFonts w:ascii="微软雅黑" w:hAnsi="微软雅黑" w:cs="微软雅黑"/>
          <w:b/>
          <w:bCs/>
          <w:sz w:val="52"/>
          <w:szCs w:val="52"/>
        </w:rPr>
      </w:pPr>
      <w:r>
        <w:rPr>
          <w:rFonts w:hint="eastAsia" w:ascii="微软雅黑" w:hAnsi="微软雅黑" w:cs="微软雅黑"/>
          <w:b/>
          <w:bCs/>
          <w:sz w:val="84"/>
          <w:szCs w:val="84"/>
        </w:rPr>
        <w:t>招  标  文  件</w:t>
      </w:r>
    </w:p>
    <w:p>
      <w:pPr>
        <w:spacing w:line="420" w:lineRule="auto"/>
        <w:rPr>
          <w:sz w:val="24"/>
          <w:szCs w:val="24"/>
        </w:rPr>
      </w:pPr>
    </w:p>
    <w:p>
      <w:pPr>
        <w:spacing w:line="360" w:lineRule="auto"/>
        <w:rPr>
          <w:rFonts w:ascii="黑体" w:hAnsi="华文中宋" w:eastAsia="黑体" w:cs="华文中宋"/>
          <w:b/>
          <w:sz w:val="30"/>
          <w:szCs w:val="30"/>
        </w:rPr>
      </w:pPr>
    </w:p>
    <w:p>
      <w:pPr>
        <w:spacing w:line="360" w:lineRule="auto"/>
        <w:rPr>
          <w:rFonts w:ascii="黑体" w:hAnsi="华文中宋" w:eastAsia="黑体" w:cs="华文中宋"/>
          <w:b/>
          <w:sz w:val="30"/>
          <w:szCs w:val="30"/>
        </w:rPr>
      </w:pP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采购方式：公开招标</w:t>
      </w: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采购类型：货物类</w:t>
      </w:r>
    </w:p>
    <w:p>
      <w:pPr>
        <w:spacing w:line="360" w:lineRule="auto"/>
        <w:rPr>
          <w:rFonts w:hint="eastAsia" w:ascii="黑体" w:hAnsi="华文中宋" w:eastAsia="黑体" w:cs="华文中宋"/>
          <w:b/>
          <w:sz w:val="30"/>
          <w:szCs w:val="30"/>
          <w:lang w:eastAsia="zh-CN"/>
        </w:rPr>
      </w:pPr>
      <w:r>
        <w:rPr>
          <w:rFonts w:hint="eastAsia" w:ascii="黑体" w:hAnsi="华文中宋" w:eastAsia="黑体" w:cs="华文中宋"/>
          <w:b/>
          <w:sz w:val="30"/>
          <w:szCs w:val="30"/>
        </w:rPr>
        <w:t>项目编号：</w:t>
      </w:r>
      <w:r>
        <w:rPr>
          <w:rFonts w:hint="eastAsia" w:ascii="黑体" w:hAnsi="华文中宋" w:eastAsia="黑体" w:cs="华文中宋"/>
          <w:b/>
          <w:sz w:val="30"/>
          <w:szCs w:val="30"/>
          <w:lang w:eastAsia="zh-CN"/>
        </w:rPr>
        <w:t>GZBC21HG08004</w:t>
      </w:r>
    </w:p>
    <w:p>
      <w:pPr>
        <w:spacing w:line="360" w:lineRule="auto"/>
        <w:rPr>
          <w:rFonts w:hint="eastAsia" w:ascii="黑体" w:hAnsi="黑体" w:eastAsia="黑体" w:cs="黑体"/>
          <w:b/>
          <w:sz w:val="30"/>
          <w:szCs w:val="30"/>
          <w:lang w:eastAsia="zh-CN"/>
        </w:rPr>
      </w:pPr>
      <w:r>
        <w:rPr>
          <w:rFonts w:hint="eastAsia" w:ascii="黑体" w:hAnsi="华文中宋" w:eastAsia="黑体" w:cs="华文中宋"/>
          <w:b/>
          <w:sz w:val="30"/>
          <w:szCs w:val="30"/>
        </w:rPr>
        <w:t>项目名称</w:t>
      </w:r>
      <w:r>
        <w:rPr>
          <w:rFonts w:hint="eastAsia" w:ascii="黑体" w:hAnsi="黑体" w:eastAsia="黑体" w:cs="黑体"/>
          <w:b/>
          <w:sz w:val="30"/>
          <w:szCs w:val="30"/>
        </w:rPr>
        <w:t>：</w:t>
      </w:r>
      <w:r>
        <w:rPr>
          <w:rFonts w:hint="eastAsia" w:ascii="黑体" w:hAnsi="黑体" w:eastAsia="黑体" w:cs="黑体"/>
          <w:b/>
          <w:sz w:val="30"/>
          <w:szCs w:val="30"/>
          <w:lang w:eastAsia="zh-CN"/>
        </w:rPr>
        <w:t>广州市增城自来水安装工程有限公司2021~2022年度阀门(大口径)采购项目</w:t>
      </w:r>
    </w:p>
    <w:p>
      <w:pPr>
        <w:outlineLvl w:val="9"/>
      </w:pPr>
    </w:p>
    <w:p>
      <w:pPr>
        <w:spacing w:line="420" w:lineRule="auto"/>
        <w:rPr>
          <w:color w:val="3366FF"/>
          <w:sz w:val="24"/>
          <w:szCs w:val="24"/>
        </w:rPr>
      </w:pPr>
    </w:p>
    <w:p>
      <w:pPr>
        <w:spacing w:line="360" w:lineRule="auto"/>
        <w:jc w:val="center"/>
        <w:rPr>
          <w:rFonts w:ascii="黑体" w:eastAsia="黑体"/>
          <w:b/>
          <w:sz w:val="30"/>
          <w:szCs w:val="30"/>
        </w:rPr>
      </w:pPr>
      <w:r>
        <w:rPr>
          <w:rFonts w:hint="eastAsia" w:ascii="黑体" w:hAnsi="华文中宋" w:eastAsia="黑体" w:cs="华文中宋"/>
          <w:b/>
          <w:sz w:val="30"/>
          <w:szCs w:val="30"/>
        </w:rPr>
        <w:t>广州宝诚招标代理咨询有限公司</w:t>
      </w:r>
    </w:p>
    <w:p>
      <w:pPr>
        <w:spacing w:line="360" w:lineRule="auto"/>
        <w:jc w:val="center"/>
        <w:rPr>
          <w:rFonts w:ascii="黑体" w:eastAsia="黑体"/>
          <w:sz w:val="24"/>
          <w:szCs w:val="24"/>
        </w:rPr>
        <w:sectPr>
          <w:footerReference r:id="rId4" w:type="default"/>
          <w:pgSz w:w="11907" w:h="16840"/>
          <w:pgMar w:top="1247" w:right="1247" w:bottom="1247" w:left="1247" w:header="709" w:footer="728" w:gutter="0"/>
          <w:cols w:space="720" w:num="1"/>
        </w:sectPr>
      </w:pPr>
      <w:r>
        <w:rPr>
          <w:rFonts w:hint="eastAsia" w:ascii="黑体" w:hAnsi="华文中宋" w:eastAsia="黑体" w:cs="华文中宋"/>
          <w:b/>
          <w:sz w:val="30"/>
          <w:szCs w:val="30"/>
        </w:rPr>
        <w:t>202</w:t>
      </w:r>
      <w:r>
        <w:rPr>
          <w:rFonts w:hint="eastAsia" w:ascii="黑体" w:hAnsi="华文中宋" w:eastAsia="黑体" w:cs="华文中宋"/>
          <w:b/>
          <w:sz w:val="30"/>
          <w:szCs w:val="30"/>
          <w:lang w:val="en-US" w:eastAsia="zh-CN"/>
        </w:rPr>
        <w:t>1</w:t>
      </w:r>
      <w:r>
        <w:rPr>
          <w:rFonts w:hint="eastAsia" w:ascii="黑体" w:hAnsi="华文中宋" w:eastAsia="黑体" w:cs="华文中宋"/>
          <w:b/>
          <w:sz w:val="30"/>
          <w:szCs w:val="30"/>
        </w:rPr>
        <w:t>年</w:t>
      </w:r>
      <w:r>
        <w:rPr>
          <w:rFonts w:hint="eastAsia" w:ascii="黑体" w:hAnsi="华文中宋" w:eastAsia="黑体" w:cs="华文中宋"/>
          <w:b/>
          <w:sz w:val="30"/>
          <w:szCs w:val="30"/>
          <w:lang w:val="en-US" w:eastAsia="zh-CN"/>
        </w:rPr>
        <w:t>8</w:t>
      </w:r>
      <w:r>
        <w:rPr>
          <w:rFonts w:hint="eastAsia" w:ascii="黑体" w:hAnsi="华文中宋" w:eastAsia="黑体" w:cs="华文中宋"/>
          <w:b/>
          <w:sz w:val="30"/>
          <w:szCs w:val="30"/>
        </w:rPr>
        <w:t>月</w:t>
      </w:r>
      <w:r>
        <w:rPr>
          <w:rFonts w:hint="eastAsia" w:ascii="黑体" w:hAnsi="华文中宋" w:eastAsia="黑体" w:cs="华文中宋"/>
          <w:b/>
          <w:sz w:val="30"/>
          <w:szCs w:val="30"/>
          <w:lang w:val="en-US" w:eastAsia="zh-CN"/>
        </w:rPr>
        <w:t>31</w:t>
      </w:r>
      <w:r>
        <w:rPr>
          <w:rFonts w:hint="eastAsia" w:ascii="黑体" w:hAnsi="华文中宋" w:eastAsia="黑体" w:cs="华文中宋"/>
          <w:b/>
          <w:sz w:val="30"/>
          <w:szCs w:val="30"/>
        </w:rPr>
        <w:t>日 编制</w:t>
      </w:r>
    </w:p>
    <w:p>
      <w:pPr>
        <w:spacing w:line="480" w:lineRule="auto"/>
        <w:jc w:val="center"/>
        <w:rPr>
          <w:rFonts w:eastAsia="黑体" w:cs="黑体"/>
          <w:b/>
          <w:bCs/>
          <w:sz w:val="32"/>
          <w:szCs w:val="32"/>
          <w:lang w:eastAsia="zh-TW"/>
        </w:rPr>
      </w:pPr>
      <w:r>
        <w:rPr>
          <w:rFonts w:hint="eastAsia" w:eastAsia="黑体" w:cs="黑体"/>
          <w:b/>
          <w:bCs/>
          <w:sz w:val="32"/>
          <w:szCs w:val="32"/>
          <w:lang w:eastAsia="zh-TW"/>
        </w:rPr>
        <w:t>目</w:t>
      </w:r>
      <w:r>
        <w:rPr>
          <w:rFonts w:eastAsia="黑体" w:cs="黑体"/>
          <w:b/>
          <w:bCs/>
          <w:sz w:val="32"/>
          <w:szCs w:val="32"/>
        </w:rPr>
        <w:t xml:space="preserve">   </w:t>
      </w:r>
      <w:r>
        <w:rPr>
          <w:rFonts w:hint="eastAsia" w:eastAsia="黑体" w:cs="黑体"/>
          <w:b/>
          <w:bCs/>
          <w:sz w:val="32"/>
          <w:szCs w:val="32"/>
          <w:lang w:eastAsia="zh-TW"/>
        </w:rPr>
        <w:t>录</w:t>
      </w:r>
    </w:p>
    <w:p>
      <w:pPr>
        <w:pStyle w:val="14"/>
        <w:ind w:left="0" w:leftChars="0"/>
        <w:rPr>
          <w:rFonts w:ascii="Calibri" w:hAnsi="Calibri"/>
          <w:szCs w:val="22"/>
        </w:rPr>
      </w:pPr>
      <w:r>
        <w:rPr>
          <w:rFonts w:hint="eastAsia" w:ascii="宋体" w:hAnsi="宋体"/>
          <w:b/>
        </w:rPr>
        <w:fldChar w:fldCharType="begin"/>
      </w:r>
      <w:r>
        <w:rPr>
          <w:rStyle w:val="21"/>
          <w:rFonts w:hint="eastAsia" w:hAnsi="宋体"/>
          <w:b/>
        </w:rPr>
        <w:instrText xml:space="preserve"> TOC \o "1-1" \h \z \u </w:instrText>
      </w:r>
      <w:r>
        <w:rPr>
          <w:rFonts w:hint="eastAsia" w:ascii="宋体" w:hAnsi="宋体"/>
          <w:b/>
        </w:rPr>
        <w:fldChar w:fldCharType="separate"/>
      </w:r>
    </w:p>
    <w:p>
      <w:pPr>
        <w:pStyle w:val="14"/>
        <w:spacing w:line="480" w:lineRule="auto"/>
        <w:ind w:left="0" w:leftChars="0"/>
        <w:rPr>
          <w:rStyle w:val="21"/>
          <w:rFonts w:hAnsi="宋体"/>
        </w:rPr>
      </w:pPr>
      <w:r>
        <w:rPr>
          <w:rFonts w:hint="eastAsia"/>
        </w:rPr>
        <w:fldChar w:fldCharType="begin"/>
      </w:r>
      <w:r>
        <w:instrText xml:space="preserve"> HYPERLINK "file:///E:\\周澔阳\\宝诚招标项目\\番禺水务集团股份有限公司\\卧式中开离心泵设备采购项目\\（20170607）招标文件.doc" \l "_Toc453956662" </w:instrText>
      </w:r>
      <w:r>
        <w:rPr>
          <w:rFonts w:hint="eastAsia"/>
        </w:rPr>
        <w:fldChar w:fldCharType="separate"/>
      </w:r>
      <w:r>
        <w:rPr>
          <w:rStyle w:val="21"/>
          <w:rFonts w:hint="eastAsia" w:hAnsi="宋体" w:cs="华文中宋"/>
          <w:b/>
          <w:bCs/>
        </w:rPr>
        <w:t>第一章  投标邀请</w:t>
      </w:r>
      <w:r>
        <w:rPr>
          <w:rStyle w:val="21"/>
          <w:rFonts w:hint="eastAsia" w:hAnsi="宋体"/>
        </w:rPr>
        <w:tab/>
      </w:r>
      <w:r>
        <w:rPr>
          <w:rStyle w:val="21"/>
          <w:rFonts w:hint="eastAsia" w:hAnsi="宋体"/>
        </w:rPr>
        <w:t>3</w:t>
      </w:r>
      <w:r>
        <w:rPr>
          <w:rFonts w:hint="eastAsia" w:hAnsi="宋体"/>
        </w:rPr>
        <w:fldChar w:fldCharType="end"/>
      </w:r>
    </w:p>
    <w:p>
      <w:pPr>
        <w:pStyle w:val="14"/>
        <w:spacing w:line="480" w:lineRule="auto"/>
        <w:ind w:left="0" w:leftChars="0"/>
        <w:rPr>
          <w:rStyle w:val="21"/>
          <w:rFonts w:hint="eastAsia" w:hAnsi="宋体" w:eastAsia="宋体"/>
          <w:lang w:eastAsia="zh-CN"/>
        </w:rPr>
      </w:pPr>
      <w:r>
        <w:rPr>
          <w:rStyle w:val="21"/>
          <w:rFonts w:hint="eastAsia" w:hAnsi="宋体"/>
          <w:b/>
        </w:rPr>
        <w:t>第二章  投标资料表</w:t>
      </w:r>
      <w:r>
        <w:rPr>
          <w:rStyle w:val="21"/>
          <w:rFonts w:hint="eastAsia" w:hAnsi="宋体"/>
        </w:rPr>
        <w:tab/>
      </w:r>
      <w:r>
        <w:rPr>
          <w:rStyle w:val="21"/>
          <w:rFonts w:hint="eastAsia" w:hAnsi="宋体"/>
          <w:lang w:val="en-US" w:eastAsia="zh-CN"/>
        </w:rPr>
        <w:t>6</w:t>
      </w:r>
    </w:p>
    <w:p>
      <w:pPr>
        <w:pStyle w:val="14"/>
        <w:spacing w:line="480" w:lineRule="auto"/>
        <w:ind w:left="0" w:leftChars="0"/>
        <w:rPr>
          <w:szCs w:val="22"/>
        </w:rPr>
      </w:pPr>
      <w:r>
        <w:rPr>
          <w:rFonts w:hint="eastAsia"/>
        </w:rPr>
        <w:fldChar w:fldCharType="begin"/>
      </w:r>
      <w:r>
        <w:instrText xml:space="preserve"> HYPERLINK "file:///E:\\周澔阳\\宝诚招标项目\\番禺水务集团股份有限公司\\卧式中开离心泵设备采购项目\\（20170607）招标文件.doc" \l "_Toc453956663" </w:instrText>
      </w:r>
      <w:r>
        <w:rPr>
          <w:rFonts w:hint="eastAsia"/>
        </w:rPr>
        <w:fldChar w:fldCharType="separate"/>
      </w:r>
      <w:r>
        <w:rPr>
          <w:rStyle w:val="21"/>
          <w:rFonts w:hint="eastAsia" w:hAnsi="宋体" w:cs="华文中宋"/>
          <w:b/>
          <w:bCs/>
        </w:rPr>
        <w:t>第三章  用户需求书</w:t>
      </w:r>
      <w:r>
        <w:rPr>
          <w:rStyle w:val="21"/>
          <w:rFonts w:hint="eastAsia" w:hAnsi="宋体"/>
        </w:rPr>
        <w:tab/>
      </w:r>
      <w:r>
        <w:rPr>
          <w:rStyle w:val="21"/>
          <w:rFonts w:hint="eastAsia" w:hAnsi="宋体"/>
          <w:lang w:val="en-US" w:eastAsia="zh-CN"/>
        </w:rPr>
        <w:t>9</w:t>
      </w:r>
      <w:r>
        <w:rPr>
          <w:rFonts w:hint="eastAsia" w:hAnsi="宋体"/>
        </w:rPr>
        <w:fldChar w:fldCharType="end"/>
      </w:r>
    </w:p>
    <w:p>
      <w:pPr>
        <w:pStyle w:val="14"/>
        <w:spacing w:line="480" w:lineRule="auto"/>
        <w:ind w:left="0" w:leftChars="0"/>
        <w:rPr>
          <w:rFonts w:hint="eastAsia" w:ascii="宋体" w:hAnsi="宋体" w:eastAsia="宋体"/>
          <w:szCs w:val="22"/>
          <w:lang w:eastAsia="zh-CN"/>
        </w:rPr>
      </w:pPr>
      <w:r>
        <w:rPr>
          <w:rFonts w:hint="eastAsia"/>
        </w:rPr>
        <w:fldChar w:fldCharType="begin"/>
      </w:r>
      <w:r>
        <w:instrText xml:space="preserve"> HYPERLINK "file:///E:\\周澔阳\\宝诚招标项目\\番禺水务集团股份有限公司\\卧式中开离心泵设备采购项目\\（20170607）招标文件.doc" \l "_Toc453956664" </w:instrText>
      </w:r>
      <w:r>
        <w:rPr>
          <w:rFonts w:hint="eastAsia"/>
        </w:rPr>
        <w:fldChar w:fldCharType="separate"/>
      </w:r>
      <w:r>
        <w:rPr>
          <w:rStyle w:val="21"/>
          <w:rFonts w:hint="eastAsia" w:hAnsi="宋体" w:cs="华文中宋"/>
          <w:b/>
          <w:bCs/>
        </w:rPr>
        <w:t>第四章  评分体系与标准</w:t>
      </w:r>
      <w:r>
        <w:rPr>
          <w:rStyle w:val="21"/>
          <w:rFonts w:hint="eastAsia" w:hAnsi="宋体"/>
        </w:rPr>
        <w:tab/>
      </w:r>
      <w:r>
        <w:rPr>
          <w:rStyle w:val="21"/>
          <w:rFonts w:hint="eastAsia" w:hAnsi="宋体"/>
          <w:lang w:val="en-US" w:eastAsia="zh-CN"/>
        </w:rPr>
        <w:t>3</w:t>
      </w:r>
      <w:r>
        <w:rPr>
          <w:rFonts w:hint="eastAsia" w:hAnsi="宋体"/>
        </w:rPr>
        <w:fldChar w:fldCharType="end"/>
      </w:r>
      <w:r>
        <w:rPr>
          <w:rFonts w:hint="eastAsia" w:hAnsi="宋体"/>
          <w:lang w:val="en-US" w:eastAsia="zh-CN"/>
        </w:rPr>
        <w:t>1</w:t>
      </w:r>
    </w:p>
    <w:p>
      <w:pPr>
        <w:pStyle w:val="14"/>
        <w:spacing w:line="480" w:lineRule="auto"/>
        <w:ind w:left="0" w:leftChars="0"/>
        <w:rPr>
          <w:rStyle w:val="21"/>
          <w:rFonts w:hint="default" w:hAnsi="宋体" w:eastAsia="宋体"/>
          <w:lang w:val="en-US" w:eastAsia="zh-CN"/>
        </w:rPr>
      </w:pPr>
      <w:r>
        <w:rPr>
          <w:rFonts w:hint="eastAsia"/>
        </w:rPr>
        <w:fldChar w:fldCharType="begin"/>
      </w:r>
      <w:r>
        <w:instrText xml:space="preserve"> HYPERLINK "file:///E:\\周澔阳\\宝诚招标项目\\番禺水务集团股份有限公司\\卧式中开离心泵设备采购项目\\（20170607）招标文件.doc" \l "_Toc453956666" </w:instrText>
      </w:r>
      <w:r>
        <w:rPr>
          <w:rFonts w:hint="eastAsia"/>
        </w:rPr>
        <w:fldChar w:fldCharType="separate"/>
      </w:r>
      <w:r>
        <w:rPr>
          <w:rStyle w:val="21"/>
          <w:rFonts w:hint="eastAsia" w:hAnsi="宋体" w:cs="华文中宋"/>
          <w:b/>
          <w:bCs/>
        </w:rPr>
        <w:t>第五章  投标文件格式</w:t>
      </w:r>
      <w:r>
        <w:rPr>
          <w:rStyle w:val="21"/>
          <w:rFonts w:hint="eastAsia" w:hAnsi="宋体"/>
        </w:rPr>
        <w:tab/>
      </w:r>
      <w:r>
        <w:rPr>
          <w:rFonts w:hint="eastAsia" w:hAnsi="宋体"/>
        </w:rPr>
        <w:fldChar w:fldCharType="end"/>
      </w:r>
      <w:r>
        <w:rPr>
          <w:rStyle w:val="21"/>
          <w:rFonts w:hint="eastAsia" w:hAnsi="宋体"/>
          <w:lang w:val="en-US" w:eastAsia="zh-CN"/>
        </w:rPr>
        <w:t>36</w:t>
      </w:r>
    </w:p>
    <w:p>
      <w:pPr>
        <w:rPr>
          <w:rStyle w:val="21"/>
          <w:rFonts w:hint="eastAsia" w:ascii="Times New Roman" w:hAnsi="宋体" w:eastAsia="宋体" w:cs="华文中宋"/>
          <w:kern w:val="2"/>
          <w:sz w:val="21"/>
          <w:lang w:eastAsia="zh-CN"/>
        </w:rPr>
      </w:pPr>
      <w:r>
        <w:rPr>
          <w:rStyle w:val="21"/>
          <w:rFonts w:hint="eastAsia" w:ascii="Times New Roman" w:hAnsi="宋体" w:eastAsia="宋体" w:cs="华文中宋"/>
          <w:b/>
          <w:bCs/>
          <w:kern w:val="2"/>
          <w:sz w:val="21"/>
        </w:rPr>
        <w:t>第六章 投标人须知</w:t>
      </w:r>
      <w:r>
        <w:rPr>
          <w:rStyle w:val="21"/>
          <w:rFonts w:hint="eastAsia" w:ascii="Times New Roman" w:hAnsi="宋体" w:eastAsia="宋体" w:cs="华文中宋"/>
          <w:kern w:val="2"/>
          <w:sz w:val="21"/>
        </w:rPr>
        <w:t>.......................................................................................................................................</w:t>
      </w:r>
      <w:r>
        <w:rPr>
          <w:rStyle w:val="21"/>
          <w:rFonts w:hint="eastAsia" w:ascii="Times New Roman" w:hAnsi="宋体" w:eastAsia="宋体" w:cs="华文中宋"/>
          <w:kern w:val="2"/>
          <w:sz w:val="21"/>
          <w:lang w:val="en-US" w:eastAsia="zh-CN"/>
        </w:rPr>
        <w:t>59</w:t>
      </w:r>
    </w:p>
    <w:p>
      <w:pPr>
        <w:rPr>
          <w:rStyle w:val="21"/>
          <w:rFonts w:hint="default" w:ascii="Times New Roman" w:hAnsi="宋体" w:eastAsia="宋体" w:cs="华文中宋"/>
          <w:b/>
          <w:bCs/>
          <w:kern w:val="2"/>
          <w:sz w:val="21"/>
          <w:lang w:val="en-US"/>
        </w:rPr>
      </w:pPr>
      <w:r>
        <w:rPr>
          <w:rStyle w:val="21"/>
          <w:rFonts w:hint="eastAsia" w:ascii="Times New Roman" w:hAnsi="宋体" w:eastAsia="宋体" w:cs="华文中宋"/>
          <w:b/>
          <w:bCs/>
          <w:kern w:val="2"/>
          <w:sz w:val="21"/>
        </w:rPr>
        <w:t>第七章 合同专用条款</w:t>
      </w:r>
      <w:r>
        <w:rPr>
          <w:rStyle w:val="21"/>
          <w:rFonts w:hint="eastAsia" w:ascii="Times New Roman" w:hAnsi="宋体" w:eastAsia="宋体" w:cs="华文中宋"/>
          <w:kern w:val="2"/>
          <w:sz w:val="21"/>
        </w:rPr>
        <w:t>...................................................................................................................................</w:t>
      </w:r>
      <w:r>
        <w:rPr>
          <w:rStyle w:val="21"/>
          <w:rFonts w:hint="eastAsia" w:ascii="Times New Roman" w:hAnsi="宋体" w:eastAsia="宋体" w:cs="华文中宋"/>
          <w:kern w:val="2"/>
          <w:sz w:val="21"/>
          <w:lang w:val="en-US" w:eastAsia="zh-CN"/>
        </w:rPr>
        <w:t>72</w:t>
      </w:r>
    </w:p>
    <w:p>
      <w:pPr>
        <w:ind w:firstLine="422" w:firstLineChars="200"/>
        <w:rPr>
          <w:rStyle w:val="21"/>
          <w:rFonts w:ascii="Times New Roman" w:hAnsi="宋体" w:eastAsia="宋体" w:cs="华文中宋"/>
          <w:b/>
          <w:bCs/>
          <w:kern w:val="2"/>
          <w:sz w:val="21"/>
        </w:rPr>
      </w:pPr>
    </w:p>
    <w:p>
      <w:pPr>
        <w:spacing w:line="360" w:lineRule="auto"/>
        <w:jc w:val="center"/>
        <w:outlineLvl w:val="0"/>
        <w:rPr>
          <w:rFonts w:ascii="黑体" w:hAnsi="华文中宋" w:eastAsia="黑体" w:cs="华文中宋"/>
          <w:b/>
          <w:bCs/>
          <w:sz w:val="32"/>
          <w:szCs w:val="32"/>
        </w:rPr>
      </w:pPr>
      <w:r>
        <w:rPr>
          <w:rFonts w:hint="eastAsia" w:ascii="宋体" w:hAnsi="宋体"/>
          <w:b/>
        </w:rPr>
        <w:fldChar w:fldCharType="end"/>
      </w:r>
      <w:r>
        <w:rPr>
          <w:rFonts w:hint="eastAsia" w:ascii="宋体" w:hAnsi="宋体"/>
          <w:sz w:val="44"/>
        </w:rPr>
        <w:br w:type="page"/>
      </w:r>
      <w:bookmarkStart w:id="0" w:name="_Toc453956662"/>
      <w:bookmarkStart w:id="1" w:name="_Toc453957422"/>
      <w:r>
        <w:rPr>
          <w:rFonts w:hint="eastAsia" w:ascii="黑体" w:hAnsi="华文中宋" w:eastAsia="黑体" w:cs="华文中宋"/>
          <w:b/>
          <w:bCs/>
          <w:sz w:val="32"/>
          <w:szCs w:val="32"/>
        </w:rPr>
        <w:t>第一章  投标邀请</w:t>
      </w:r>
      <w:bookmarkEnd w:id="0"/>
      <w:bookmarkEnd w:id="1"/>
    </w:p>
    <w:p>
      <w:pPr>
        <w:spacing w:line="360" w:lineRule="auto"/>
        <w:ind w:firstLine="420" w:firstLineChars="200"/>
        <w:rPr>
          <w:rFonts w:ascii="宋体"/>
          <w:bCs/>
          <w:color w:val="000000"/>
          <w:sz w:val="21"/>
          <w:szCs w:val="21"/>
        </w:rPr>
      </w:pPr>
      <w:r>
        <w:rPr>
          <w:rFonts w:hint="eastAsia" w:ascii="宋体"/>
          <w:bCs/>
          <w:color w:val="000000"/>
          <w:sz w:val="21"/>
          <w:szCs w:val="21"/>
        </w:rPr>
        <w:t>广州宝诚招标代理咨询有限公司（以下简称</w:t>
      </w:r>
      <w:r>
        <w:rPr>
          <w:rFonts w:hint="eastAsia" w:ascii="宋体"/>
          <w:bCs/>
          <w:color w:val="000000"/>
          <w:sz w:val="21"/>
          <w:szCs w:val="21"/>
          <w:lang w:val="en-US" w:eastAsia="zh-CN"/>
        </w:rPr>
        <w:t>”</w:t>
      </w:r>
      <w:r>
        <w:rPr>
          <w:rFonts w:hint="eastAsia" w:ascii="宋体"/>
          <w:bCs/>
          <w:color w:val="000000"/>
          <w:sz w:val="21"/>
          <w:szCs w:val="21"/>
        </w:rPr>
        <w:t>采购代理机构</w:t>
      </w:r>
      <w:r>
        <w:rPr>
          <w:rFonts w:hint="eastAsia" w:ascii="宋体"/>
          <w:bCs/>
          <w:color w:val="000000"/>
          <w:sz w:val="21"/>
          <w:szCs w:val="21"/>
          <w:lang w:val="en-US" w:eastAsia="zh-CN"/>
        </w:rPr>
        <w:t>“</w:t>
      </w:r>
      <w:r>
        <w:rPr>
          <w:rFonts w:hint="eastAsia" w:ascii="宋体"/>
          <w:bCs/>
          <w:color w:val="000000"/>
          <w:sz w:val="21"/>
          <w:szCs w:val="21"/>
        </w:rPr>
        <w:t>）受</w:t>
      </w:r>
      <w:r>
        <w:rPr>
          <w:rFonts w:hint="eastAsia" w:ascii="宋体"/>
          <w:bCs/>
          <w:color w:val="FF0000"/>
          <w:sz w:val="21"/>
          <w:szCs w:val="21"/>
          <w:lang w:eastAsia="zh-CN"/>
        </w:rPr>
        <w:t>广州市增城自来水安装工程有限公司</w:t>
      </w:r>
      <w:r>
        <w:rPr>
          <w:rFonts w:hint="eastAsia" w:ascii="宋体"/>
          <w:bCs/>
          <w:sz w:val="21"/>
          <w:szCs w:val="21"/>
        </w:rPr>
        <w:t>（</w:t>
      </w:r>
      <w:r>
        <w:rPr>
          <w:rFonts w:hint="eastAsia" w:ascii="宋体"/>
          <w:bCs/>
          <w:color w:val="000000"/>
          <w:sz w:val="21"/>
          <w:szCs w:val="21"/>
        </w:rPr>
        <w:t>以下简称</w:t>
      </w:r>
      <w:r>
        <w:rPr>
          <w:rFonts w:hint="eastAsia" w:ascii="宋体"/>
          <w:bCs/>
          <w:color w:val="000000"/>
          <w:sz w:val="21"/>
          <w:szCs w:val="21"/>
          <w:lang w:val="en-US" w:eastAsia="zh-CN"/>
        </w:rPr>
        <w:t>”</w:t>
      </w:r>
      <w:r>
        <w:rPr>
          <w:rFonts w:hint="eastAsia" w:ascii="宋体"/>
          <w:bCs/>
          <w:color w:val="000000"/>
          <w:sz w:val="21"/>
          <w:szCs w:val="21"/>
        </w:rPr>
        <w:t>采购人</w:t>
      </w:r>
      <w:r>
        <w:rPr>
          <w:rFonts w:hint="eastAsia" w:ascii="宋体"/>
          <w:bCs/>
          <w:color w:val="000000"/>
          <w:sz w:val="21"/>
          <w:szCs w:val="21"/>
          <w:lang w:val="en-US" w:eastAsia="zh-CN"/>
        </w:rPr>
        <w:t>“</w:t>
      </w:r>
      <w:r>
        <w:rPr>
          <w:rFonts w:hint="eastAsia" w:ascii="宋体"/>
          <w:bCs/>
          <w:color w:val="000000"/>
          <w:sz w:val="21"/>
          <w:szCs w:val="21"/>
        </w:rPr>
        <w:t>）委托，对</w:t>
      </w:r>
      <w:r>
        <w:rPr>
          <w:rFonts w:hint="eastAsia" w:ascii="微软雅黑" w:hAnsi="微软雅黑" w:cs="微软雅黑"/>
          <w:bCs/>
          <w:color w:val="FF0000"/>
          <w:sz w:val="21"/>
          <w:szCs w:val="21"/>
          <w:u w:val="single"/>
          <w:lang w:eastAsia="zh-CN"/>
        </w:rPr>
        <w:t>广州市增城自来水安装工程有限公司2021~2022年度阀门(大口径)采购项目</w:t>
      </w:r>
      <w:r>
        <w:rPr>
          <w:rFonts w:hint="eastAsia" w:ascii="宋体"/>
          <w:bCs/>
          <w:color w:val="000000"/>
          <w:sz w:val="21"/>
          <w:szCs w:val="21"/>
        </w:rPr>
        <w:t>进行国内公开招标，详情请参见招标文件。现将该项目招标文件（</w:t>
      </w:r>
      <w:r>
        <w:rPr>
          <w:rFonts w:hint="eastAsia" w:ascii="宋体"/>
          <w:bCs/>
          <w:color w:val="000000"/>
          <w:sz w:val="21"/>
          <w:szCs w:val="21"/>
          <w:lang w:eastAsia="zh-CN"/>
        </w:rPr>
        <w:t>GZBC21HG08004</w:t>
      </w:r>
      <w:r>
        <w:rPr>
          <w:rFonts w:hint="eastAsia" w:ascii="宋体"/>
          <w:bCs/>
          <w:color w:val="000000"/>
          <w:sz w:val="21"/>
          <w:szCs w:val="21"/>
        </w:rPr>
        <w:t>）进行公示，公示期为</w:t>
      </w:r>
      <w:r>
        <w:rPr>
          <w:rFonts w:hint="eastAsia" w:ascii="宋体"/>
          <w:bCs/>
          <w:color w:val="000000"/>
          <w:sz w:val="21"/>
          <w:szCs w:val="21"/>
          <w:highlight w:val="yellow"/>
        </w:rPr>
        <w:t>202</w:t>
      </w:r>
      <w:r>
        <w:rPr>
          <w:rFonts w:hint="eastAsia" w:ascii="宋体"/>
          <w:bCs/>
          <w:color w:val="000000"/>
          <w:sz w:val="21"/>
          <w:szCs w:val="21"/>
          <w:highlight w:val="yellow"/>
          <w:lang w:val="en-US" w:eastAsia="zh-CN"/>
        </w:rPr>
        <w:t>1</w:t>
      </w:r>
      <w:r>
        <w:rPr>
          <w:rFonts w:hint="eastAsia" w:ascii="宋体"/>
          <w:bCs/>
          <w:color w:val="000000"/>
          <w:sz w:val="21"/>
          <w:szCs w:val="21"/>
          <w:highlight w:val="yellow"/>
        </w:rPr>
        <w:t>年</w:t>
      </w:r>
      <w:r>
        <w:rPr>
          <w:rFonts w:hint="eastAsia" w:ascii="宋体"/>
          <w:bCs/>
          <w:color w:val="000000"/>
          <w:sz w:val="21"/>
          <w:szCs w:val="21"/>
          <w:highlight w:val="yellow"/>
          <w:lang w:val="en-US" w:eastAsia="zh-CN"/>
        </w:rPr>
        <w:t>9</w:t>
      </w:r>
      <w:r>
        <w:rPr>
          <w:rFonts w:hint="eastAsia" w:ascii="宋体"/>
          <w:bCs/>
          <w:color w:val="000000"/>
          <w:sz w:val="21"/>
          <w:szCs w:val="21"/>
          <w:highlight w:val="yellow"/>
        </w:rPr>
        <w:t>月</w:t>
      </w:r>
      <w:r>
        <w:rPr>
          <w:rFonts w:hint="eastAsia" w:ascii="宋体"/>
          <w:bCs/>
          <w:color w:val="000000"/>
          <w:sz w:val="21"/>
          <w:szCs w:val="21"/>
          <w:highlight w:val="yellow"/>
          <w:lang w:val="en-US" w:eastAsia="zh-CN"/>
        </w:rPr>
        <w:t>28</w:t>
      </w:r>
      <w:r>
        <w:rPr>
          <w:rFonts w:hint="eastAsia" w:ascii="宋体"/>
          <w:bCs/>
          <w:color w:val="000000"/>
          <w:sz w:val="21"/>
          <w:szCs w:val="21"/>
          <w:highlight w:val="yellow"/>
        </w:rPr>
        <w:t>日至202</w:t>
      </w:r>
      <w:r>
        <w:rPr>
          <w:rFonts w:hint="eastAsia" w:ascii="宋体"/>
          <w:bCs/>
          <w:color w:val="000000"/>
          <w:sz w:val="21"/>
          <w:szCs w:val="21"/>
          <w:highlight w:val="yellow"/>
          <w:lang w:val="en-US" w:eastAsia="zh-CN"/>
        </w:rPr>
        <w:t>1</w:t>
      </w:r>
      <w:r>
        <w:rPr>
          <w:rFonts w:hint="eastAsia" w:ascii="宋体"/>
          <w:bCs/>
          <w:color w:val="000000"/>
          <w:sz w:val="21"/>
          <w:szCs w:val="21"/>
          <w:highlight w:val="yellow"/>
        </w:rPr>
        <w:t>年</w:t>
      </w:r>
      <w:r>
        <w:rPr>
          <w:rFonts w:hint="eastAsia" w:ascii="宋体"/>
          <w:bCs/>
          <w:color w:val="000000"/>
          <w:sz w:val="21"/>
          <w:szCs w:val="21"/>
          <w:highlight w:val="yellow"/>
          <w:lang w:val="en-US" w:eastAsia="zh-CN"/>
        </w:rPr>
        <w:t>10</w:t>
      </w:r>
      <w:r>
        <w:rPr>
          <w:rFonts w:hint="eastAsia" w:ascii="宋体"/>
          <w:bCs/>
          <w:color w:val="000000"/>
          <w:sz w:val="21"/>
          <w:szCs w:val="21"/>
          <w:highlight w:val="yellow"/>
        </w:rPr>
        <w:t>月</w:t>
      </w:r>
      <w:r>
        <w:rPr>
          <w:rFonts w:hint="eastAsia" w:ascii="宋体"/>
          <w:bCs/>
          <w:color w:val="000000"/>
          <w:sz w:val="21"/>
          <w:szCs w:val="21"/>
          <w:highlight w:val="yellow"/>
          <w:lang w:val="en-US" w:eastAsia="zh-CN"/>
        </w:rPr>
        <w:t>18</w:t>
      </w:r>
      <w:r>
        <w:rPr>
          <w:rFonts w:hint="eastAsia" w:ascii="宋体"/>
          <w:bCs/>
          <w:color w:val="000000"/>
          <w:sz w:val="21"/>
          <w:szCs w:val="21"/>
          <w:highlight w:val="yellow"/>
        </w:rPr>
        <w:t>日</w:t>
      </w:r>
      <w:r>
        <w:rPr>
          <w:rFonts w:hint="eastAsia" w:ascii="宋体"/>
          <w:bCs/>
          <w:color w:val="000000"/>
          <w:sz w:val="21"/>
          <w:szCs w:val="21"/>
        </w:rPr>
        <w:t>。欢迎符合条件的合格投标人参加投标，有关事项如下：</w:t>
      </w:r>
    </w:p>
    <w:p>
      <w:pPr>
        <w:widowControl w:val="0"/>
        <w:numPr>
          <w:ilvl w:val="0"/>
          <w:numId w:val="1"/>
        </w:numPr>
        <w:autoSpaceDN w:val="0"/>
        <w:adjustRightInd/>
        <w:spacing w:after="0" w:line="360" w:lineRule="auto"/>
        <w:jc w:val="both"/>
        <w:rPr>
          <w:rFonts w:ascii="宋体"/>
          <w:bCs/>
          <w:sz w:val="21"/>
          <w:szCs w:val="21"/>
        </w:rPr>
      </w:pPr>
      <w:r>
        <w:rPr>
          <w:rFonts w:hint="eastAsia" w:ascii="宋体"/>
          <w:bCs/>
          <w:sz w:val="21"/>
          <w:szCs w:val="21"/>
        </w:rPr>
        <w:t>本项目投标</w:t>
      </w:r>
      <w:r>
        <w:rPr>
          <w:rFonts w:hint="eastAsia"/>
          <w:sz w:val="21"/>
          <w:szCs w:val="21"/>
        </w:rPr>
        <w:t>邀请</w:t>
      </w:r>
      <w:r>
        <w:rPr>
          <w:rFonts w:hint="eastAsia" w:ascii="宋体"/>
          <w:bCs/>
          <w:sz w:val="21"/>
          <w:szCs w:val="21"/>
        </w:rPr>
        <w:t>及招标文件中所有时间均为24小时制北京时间，所有货币单位均为人民币元，所使用的计量单位均以《</w:t>
      </w:r>
      <w:r>
        <w:rPr>
          <w:rFonts w:hint="eastAsia"/>
          <w:sz w:val="21"/>
          <w:szCs w:val="21"/>
        </w:rPr>
        <w:t>中华人民共和国法定计量单位</w:t>
      </w:r>
      <w:r>
        <w:rPr>
          <w:rFonts w:hint="eastAsia" w:ascii="宋体"/>
          <w:bCs/>
          <w:sz w:val="21"/>
          <w:szCs w:val="21"/>
        </w:rPr>
        <w:t>》为准（特别注明除外）。</w:t>
      </w:r>
    </w:p>
    <w:p>
      <w:pPr>
        <w:widowControl w:val="0"/>
        <w:numPr>
          <w:ilvl w:val="0"/>
          <w:numId w:val="1"/>
        </w:numPr>
        <w:autoSpaceDN w:val="0"/>
        <w:adjustRightInd/>
        <w:spacing w:after="0" w:line="360" w:lineRule="auto"/>
        <w:jc w:val="both"/>
        <w:rPr>
          <w:rFonts w:ascii="宋体"/>
          <w:bCs/>
          <w:color w:val="000000"/>
          <w:sz w:val="21"/>
          <w:szCs w:val="21"/>
        </w:rPr>
      </w:pPr>
      <w:r>
        <w:rPr>
          <w:rFonts w:hint="eastAsia" w:ascii="宋体"/>
          <w:bCs/>
          <w:sz w:val="21"/>
          <w:szCs w:val="21"/>
        </w:rPr>
        <w:t>项目</w:t>
      </w:r>
      <w:r>
        <w:rPr>
          <w:rFonts w:hint="eastAsia" w:ascii="宋体"/>
          <w:bCs/>
          <w:color w:val="000000"/>
          <w:sz w:val="21"/>
          <w:szCs w:val="21"/>
        </w:rPr>
        <w:t>编号：</w:t>
      </w:r>
      <w:r>
        <w:rPr>
          <w:rFonts w:hint="eastAsia" w:ascii="微软雅黑" w:hAnsi="微软雅黑" w:cs="微软雅黑"/>
          <w:bCs/>
          <w:color w:val="000000"/>
          <w:sz w:val="21"/>
          <w:szCs w:val="21"/>
          <w:lang w:eastAsia="zh-CN"/>
        </w:rPr>
        <w:t>GZBC21HG08004</w:t>
      </w:r>
    </w:p>
    <w:p>
      <w:pPr>
        <w:widowControl w:val="0"/>
        <w:numPr>
          <w:ilvl w:val="0"/>
          <w:numId w:val="1"/>
        </w:numPr>
        <w:autoSpaceDN w:val="0"/>
        <w:adjustRightInd/>
        <w:spacing w:after="0" w:line="360" w:lineRule="auto"/>
        <w:jc w:val="both"/>
        <w:rPr>
          <w:rFonts w:ascii="宋体"/>
          <w:b/>
          <w:bCs/>
          <w:sz w:val="21"/>
          <w:szCs w:val="21"/>
        </w:rPr>
      </w:pPr>
      <w:r>
        <w:rPr>
          <w:rFonts w:hint="eastAsia" w:ascii="宋体"/>
          <w:bCs/>
          <w:color w:val="000000"/>
          <w:sz w:val="21"/>
          <w:szCs w:val="21"/>
        </w:rPr>
        <w:t>项目名</w:t>
      </w:r>
      <w:r>
        <w:rPr>
          <w:rFonts w:hint="eastAsia" w:ascii="宋体"/>
          <w:bCs/>
          <w:sz w:val="21"/>
          <w:szCs w:val="21"/>
          <w:u w:val="none"/>
        </w:rPr>
        <w:t>称：</w:t>
      </w:r>
      <w:r>
        <w:rPr>
          <w:rFonts w:hint="eastAsia" w:ascii="微软雅黑" w:hAnsi="微软雅黑" w:cs="微软雅黑"/>
          <w:bCs/>
          <w:sz w:val="21"/>
          <w:szCs w:val="21"/>
          <w:u w:val="none"/>
          <w:lang w:eastAsia="zh-CN"/>
        </w:rPr>
        <w:t>广州市增城自来水安装工程有限公司2021~2022年度阀门(大口径)采购项目</w:t>
      </w:r>
    </w:p>
    <w:p>
      <w:pPr>
        <w:widowControl w:val="0"/>
        <w:numPr>
          <w:ilvl w:val="0"/>
          <w:numId w:val="1"/>
        </w:numPr>
        <w:autoSpaceDN w:val="0"/>
        <w:adjustRightInd/>
        <w:spacing w:after="0" w:line="360" w:lineRule="auto"/>
        <w:jc w:val="both"/>
        <w:rPr>
          <w:rFonts w:ascii="宋体"/>
          <w:b/>
          <w:bCs/>
          <w:sz w:val="21"/>
          <w:szCs w:val="21"/>
        </w:rPr>
      </w:pPr>
      <w:r>
        <w:rPr>
          <w:rFonts w:hint="eastAsia" w:ascii="宋体"/>
          <w:bCs/>
          <w:sz w:val="21"/>
          <w:szCs w:val="21"/>
        </w:rPr>
        <w:t>项目类型：货物类</w:t>
      </w:r>
    </w:p>
    <w:tbl>
      <w:tblPr>
        <w:tblStyle w:val="17"/>
        <w:tblpPr w:leftFromText="180" w:rightFromText="180" w:vertAnchor="text" w:horzAnchor="page" w:tblpX="1517" w:tblpY="516"/>
        <w:tblOverlap w:val="never"/>
        <w:tblW w:w="9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52"/>
        <w:gridCol w:w="3787"/>
        <w:gridCol w:w="31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2652" w:type="dxa"/>
            <w:tcBorders>
              <w:top w:val="single" w:color="auto" w:sz="12" w:space="0"/>
              <w:left w:val="single" w:color="auto" w:sz="12" w:space="0"/>
              <w:bottom w:val="double" w:color="auto" w:sz="4" w:space="0"/>
              <w:right w:val="single" w:color="auto" w:sz="4"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lang w:eastAsia="zh-CN"/>
              </w:rPr>
              <w:t>项目</w:t>
            </w:r>
            <w:r>
              <w:rPr>
                <w:rFonts w:hint="eastAsia" w:ascii="微软雅黑" w:hAnsi="微软雅黑" w:cs="微软雅黑"/>
                <w:b/>
                <w:sz w:val="21"/>
                <w:szCs w:val="21"/>
              </w:rPr>
              <w:t>内容</w:t>
            </w:r>
          </w:p>
        </w:tc>
        <w:tc>
          <w:tcPr>
            <w:tcW w:w="3787" w:type="dxa"/>
            <w:tcBorders>
              <w:top w:val="single" w:color="auto" w:sz="12" w:space="0"/>
              <w:left w:val="single" w:color="auto" w:sz="4" w:space="0"/>
              <w:bottom w:val="double" w:color="auto" w:sz="4" w:space="0"/>
              <w:right w:val="single" w:color="auto" w:sz="4" w:space="0"/>
            </w:tcBorders>
            <w:shd w:val="clear" w:color="auto" w:fill="EEECE1"/>
            <w:noWrap w:val="0"/>
            <w:vAlign w:val="center"/>
          </w:tcPr>
          <w:p>
            <w:pPr>
              <w:spacing w:line="360" w:lineRule="auto"/>
              <w:jc w:val="center"/>
              <w:rPr>
                <w:rFonts w:hint="default" w:ascii="微软雅黑" w:hAnsi="微软雅黑" w:cs="微软雅黑"/>
                <w:b/>
                <w:sz w:val="21"/>
                <w:szCs w:val="21"/>
                <w:lang w:val="en-US"/>
              </w:rPr>
            </w:pPr>
            <w:r>
              <w:rPr>
                <w:rFonts w:hint="eastAsia" w:ascii="微软雅黑" w:hAnsi="微软雅黑" w:cs="微软雅黑"/>
                <w:b/>
                <w:sz w:val="21"/>
                <w:szCs w:val="21"/>
                <w:lang w:val="en-US" w:eastAsia="zh-CN"/>
              </w:rPr>
              <w:t>供货期</w:t>
            </w:r>
          </w:p>
        </w:tc>
        <w:tc>
          <w:tcPr>
            <w:tcW w:w="3189" w:type="dxa"/>
            <w:tcBorders>
              <w:top w:val="single" w:color="auto" w:sz="12" w:space="0"/>
              <w:left w:val="single" w:color="auto" w:sz="4" w:space="0"/>
              <w:bottom w:val="double" w:color="auto" w:sz="4" w:space="0"/>
              <w:right w:val="single" w:color="auto" w:sz="12"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rPr>
              <w:t>最高限价（人民币）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2652" w:type="dxa"/>
            <w:tcBorders>
              <w:top w:val="single" w:color="auto" w:sz="4" w:space="0"/>
              <w:left w:val="single" w:color="auto" w:sz="12"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阀门采购</w:t>
            </w:r>
          </w:p>
        </w:tc>
        <w:tc>
          <w:tcPr>
            <w:tcW w:w="3787" w:type="dxa"/>
            <w:tcBorders>
              <w:top w:val="single" w:color="auto" w:sz="4" w:space="0"/>
              <w:left w:val="single" w:color="auto" w:sz="4"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自合同签订之日起一年。</w:t>
            </w:r>
            <w:r>
              <w:rPr>
                <w:rFonts w:hint="eastAsia" w:ascii="微软雅黑" w:hAnsi="微软雅黑" w:cs="微软雅黑"/>
                <w:bCs/>
                <w:color w:val="auto"/>
                <w:sz w:val="21"/>
                <w:szCs w:val="21"/>
                <w:u w:val="none"/>
                <w:lang w:eastAsia="zh-CN"/>
              </w:rPr>
              <w:t>供货期届满或累计货物结算总额达到合同总价后（先到为准），本合同自然终止。</w:t>
            </w:r>
          </w:p>
        </w:tc>
        <w:tc>
          <w:tcPr>
            <w:tcW w:w="3189" w:type="dxa"/>
            <w:tcBorders>
              <w:top w:val="single" w:color="auto" w:sz="4" w:space="0"/>
              <w:left w:val="single" w:color="auto" w:sz="4" w:space="0"/>
              <w:bottom w:val="single" w:color="auto" w:sz="12" w:space="0"/>
              <w:right w:val="single" w:color="auto" w:sz="12" w:space="0"/>
            </w:tcBorders>
            <w:noWrap w:val="0"/>
            <w:vAlign w:val="center"/>
          </w:tcPr>
          <w:p>
            <w:pPr>
              <w:spacing w:line="360" w:lineRule="auto"/>
              <w:rPr>
                <w:rFonts w:hint="eastAsia" w:eastAsia="仿宋_GB2312" w:cs="仿宋_GB2312"/>
                <w:b/>
                <w:bCs/>
                <w:color w:val="auto"/>
                <w:sz w:val="24"/>
                <w:szCs w:val="24"/>
                <w:highlight w:val="none"/>
                <w:lang w:val="en-US" w:eastAsia="zh-CN"/>
              </w:rPr>
            </w:pPr>
            <w:r>
              <w:rPr>
                <w:rFonts w:hint="eastAsia" w:ascii="微软雅黑" w:hAnsi="微软雅黑" w:eastAsia="微软雅黑" w:cs="微软雅黑"/>
                <w:sz w:val="20"/>
                <w:szCs w:val="20"/>
                <w:lang w:eastAsia="zh-CN"/>
              </w:rPr>
              <w:t>本项目总价限价为：</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项目总价限价：3865677元</w:t>
            </w:r>
            <w:r>
              <w:rPr>
                <w:rFonts w:hint="eastAsia" w:ascii="微软雅黑" w:hAnsi="微软雅黑" w:cs="微软雅黑"/>
                <w:sz w:val="20"/>
                <w:szCs w:val="20"/>
                <w:lang w:val="en-US" w:eastAsia="zh-CN"/>
              </w:rPr>
              <w:t>；</w:t>
            </w:r>
          </w:p>
          <w:p>
            <w:pPr>
              <w:spacing w:line="360" w:lineRule="auto"/>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0"/>
                <w:szCs w:val="20"/>
                <w:lang w:val="en-US" w:eastAsia="zh-CN"/>
              </w:rPr>
              <w:t>单价限价详见项目报价明细表。</w:t>
            </w:r>
          </w:p>
        </w:tc>
      </w:tr>
    </w:tbl>
    <w:p>
      <w:pPr>
        <w:widowControl w:val="0"/>
        <w:numPr>
          <w:ilvl w:val="0"/>
          <w:numId w:val="1"/>
        </w:numPr>
        <w:autoSpaceDN w:val="0"/>
        <w:adjustRightInd/>
        <w:spacing w:after="0" w:line="360" w:lineRule="auto"/>
        <w:jc w:val="both"/>
        <w:rPr>
          <w:rFonts w:hint="eastAsia" w:ascii="微软雅黑" w:hAnsi="微软雅黑" w:eastAsia="微软雅黑" w:cs="微软雅黑"/>
          <w:bCs/>
          <w:sz w:val="21"/>
          <w:szCs w:val="21"/>
        </w:rPr>
      </w:pPr>
      <w:r>
        <w:rPr>
          <w:rFonts w:hint="eastAsia" w:ascii="微软雅黑" w:hAnsi="微软雅黑" w:eastAsia="微软雅黑" w:cs="微软雅黑"/>
          <w:bCs/>
          <w:sz w:val="21"/>
          <w:szCs w:val="21"/>
        </w:rPr>
        <w:t>项目情况一览表：</w:t>
      </w:r>
    </w:p>
    <w:p>
      <w:pPr>
        <w:spacing w:line="360" w:lineRule="auto"/>
        <w:ind w:firstLine="420" w:firstLineChars="200"/>
        <w:rPr>
          <w:rFonts w:hint="eastAsia" w:ascii="微软雅黑" w:hAnsi="微软雅黑" w:eastAsia="微软雅黑" w:cs="微软雅黑"/>
          <w:bCs/>
          <w:sz w:val="21"/>
          <w:szCs w:val="21"/>
          <w:u w:val="single"/>
        </w:rPr>
      </w:pPr>
      <w:r>
        <w:rPr>
          <w:rFonts w:hint="eastAsia" w:ascii="微软雅黑" w:hAnsi="微软雅黑" w:eastAsia="微软雅黑" w:cs="微软雅黑"/>
          <w:bCs/>
          <w:sz w:val="21"/>
          <w:szCs w:val="21"/>
        </w:rPr>
        <w:t>备注：</w:t>
      </w:r>
      <w:r>
        <w:rPr>
          <w:rFonts w:hint="eastAsia" w:ascii="微软雅黑" w:hAnsi="微软雅黑" w:cs="微软雅黑"/>
          <w:bCs/>
          <w:sz w:val="21"/>
          <w:szCs w:val="21"/>
          <w:lang w:eastAsia="zh-CN"/>
        </w:rPr>
        <w:t>项目</w:t>
      </w:r>
      <w:r>
        <w:rPr>
          <w:rFonts w:hint="eastAsia" w:ascii="微软雅黑" w:hAnsi="微软雅黑" w:eastAsia="微软雅黑" w:cs="微软雅黑"/>
          <w:bCs/>
          <w:sz w:val="21"/>
          <w:szCs w:val="21"/>
        </w:rPr>
        <w:t>详细内容、要求及执行标准详见招标文件中的</w:t>
      </w:r>
      <w:r>
        <w:rPr>
          <w:rFonts w:hint="eastAsia" w:ascii="微软雅黑" w:hAnsi="微软雅黑" w:eastAsia="微软雅黑" w:cs="微软雅黑"/>
          <w:bCs/>
          <w:sz w:val="21"/>
          <w:szCs w:val="21"/>
          <w:u w:val="single"/>
        </w:rPr>
        <w:t>“用户需求书”</w:t>
      </w:r>
      <w:r>
        <w:rPr>
          <w:rFonts w:hint="eastAsia" w:ascii="微软雅黑" w:hAnsi="微软雅黑" w:eastAsia="微软雅黑" w:cs="微软雅黑"/>
          <w:bCs/>
          <w:sz w:val="21"/>
          <w:szCs w:val="21"/>
        </w:rPr>
        <w:t>。</w:t>
      </w:r>
    </w:p>
    <w:p>
      <w:pPr>
        <w:widowControl w:val="0"/>
        <w:numPr>
          <w:ilvl w:val="0"/>
          <w:numId w:val="1"/>
        </w:numPr>
        <w:tabs>
          <w:tab w:val="left" w:pos="5760"/>
        </w:tabs>
        <w:autoSpaceDN w:val="0"/>
        <w:adjustRightInd/>
        <w:spacing w:after="0" w:line="360" w:lineRule="auto"/>
        <w:jc w:val="both"/>
        <w:rPr>
          <w:rFonts w:hint="eastAsia" w:ascii="微软雅黑" w:hAnsi="微软雅黑" w:eastAsia="微软雅黑" w:cs="微软雅黑"/>
          <w:b/>
          <w:sz w:val="21"/>
          <w:szCs w:val="21"/>
        </w:rPr>
      </w:pPr>
      <w:r>
        <w:rPr>
          <w:rFonts w:hint="eastAsia" w:ascii="微软雅黑" w:hAnsi="微软雅黑" w:eastAsia="微软雅黑" w:cs="微软雅黑"/>
          <w:b/>
          <w:bCs/>
          <w:sz w:val="21"/>
          <w:szCs w:val="21"/>
        </w:rPr>
        <w:t>合格投标人资格要求：</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bCs/>
          <w:color w:val="auto"/>
          <w:sz w:val="21"/>
          <w:szCs w:val="21"/>
        </w:rPr>
      </w:pPr>
      <w:r>
        <w:rPr>
          <w:rFonts w:hint="eastAsia" w:ascii="微软雅黑" w:hAnsi="微软雅黑" w:cs="微软雅黑"/>
          <w:bCs/>
          <w:color w:val="auto"/>
          <w:sz w:val="21"/>
          <w:szCs w:val="21"/>
          <w:lang w:val="en-US" w:eastAsia="zh-CN"/>
        </w:rPr>
        <w:t xml:space="preserve">6.1  </w:t>
      </w:r>
      <w:r>
        <w:rPr>
          <w:rFonts w:hint="eastAsia" w:ascii="微软雅黑" w:hAnsi="微软雅黑" w:eastAsia="微软雅黑" w:cs="微软雅黑"/>
          <w:bCs/>
          <w:color w:val="auto"/>
          <w:sz w:val="21"/>
          <w:szCs w:val="21"/>
          <w:lang w:eastAsia="zh-CN"/>
        </w:rPr>
        <w:t>投标人须为中华人民共和国境内注册并合法存续的法人或非法人组织。</w:t>
      </w:r>
    </w:p>
    <w:p>
      <w:pPr>
        <w:widowControl w:val="0"/>
        <w:numPr>
          <w:ilvl w:val="0"/>
          <w:numId w:val="0"/>
        </w:numPr>
        <w:autoSpaceDN w:val="0"/>
        <w:adjustRightInd/>
        <w:spacing w:after="0" w:line="360" w:lineRule="auto"/>
        <w:ind w:leftChars="0"/>
        <w:jc w:val="both"/>
        <w:rPr>
          <w:rFonts w:hint="default" w:ascii="微软雅黑" w:hAnsi="微软雅黑" w:cs="微软雅黑"/>
          <w:bCs/>
          <w:color w:val="auto"/>
          <w:sz w:val="21"/>
          <w:szCs w:val="21"/>
          <w:lang w:val="en-US" w:eastAsia="zh-CN"/>
        </w:rPr>
      </w:pPr>
      <w:r>
        <w:rPr>
          <w:rFonts w:hint="eastAsia" w:ascii="微软雅黑" w:hAnsi="微软雅黑" w:cs="微软雅黑"/>
          <w:bCs/>
          <w:color w:val="auto"/>
          <w:sz w:val="21"/>
          <w:szCs w:val="21"/>
          <w:lang w:val="en-US" w:eastAsia="zh-CN"/>
        </w:rPr>
        <w:t xml:space="preserve">6.2  </w:t>
      </w:r>
      <w:r>
        <w:rPr>
          <w:rFonts w:hint="eastAsia" w:ascii="微软雅黑" w:hAnsi="微软雅黑" w:eastAsia="微软雅黑" w:cs="微软雅黑"/>
          <w:color w:val="auto"/>
          <w:sz w:val="21"/>
          <w:szCs w:val="21"/>
          <w:lang w:val="hr-HR" w:eastAsia="zh-CN"/>
        </w:rPr>
        <w:t>投标人须为</w:t>
      </w:r>
      <w:r>
        <w:rPr>
          <w:rFonts w:hint="eastAsia" w:ascii="微软雅黑" w:hAnsi="微软雅黑" w:cs="微软雅黑"/>
          <w:color w:val="auto"/>
          <w:sz w:val="21"/>
          <w:szCs w:val="21"/>
          <w:lang w:val="hr-HR" w:eastAsia="zh-CN"/>
        </w:rPr>
        <w:t>所投</w:t>
      </w:r>
      <w:r>
        <w:rPr>
          <w:rFonts w:hint="eastAsia" w:ascii="微软雅黑" w:hAnsi="微软雅黑" w:eastAsia="微软雅黑" w:cs="微软雅黑"/>
          <w:color w:val="auto"/>
          <w:sz w:val="21"/>
          <w:szCs w:val="21"/>
          <w:lang w:val="hr-HR" w:eastAsia="zh-CN"/>
        </w:rPr>
        <w:t>货物的生产厂家（制造商），须提供《生产厂家（制造商）声明函》。</w:t>
      </w:r>
    </w:p>
    <w:p>
      <w:pPr>
        <w:widowControl w:val="0"/>
        <w:numPr>
          <w:ilvl w:val="0"/>
          <w:numId w:val="0"/>
        </w:numPr>
        <w:autoSpaceDN w:val="0"/>
        <w:adjustRightInd/>
        <w:spacing w:after="0" w:line="360" w:lineRule="auto"/>
        <w:ind w:leftChars="0"/>
        <w:jc w:val="both"/>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6.3  </w:t>
      </w:r>
      <w:r>
        <w:rPr>
          <w:rFonts w:hint="eastAsia" w:ascii="微软雅黑" w:hAnsi="微软雅黑" w:eastAsia="微软雅黑" w:cs="微软雅黑"/>
          <w:color w:val="auto"/>
          <w:sz w:val="21"/>
          <w:szCs w:val="21"/>
          <w:lang w:val="hr-HR" w:eastAsia="zh-CN"/>
        </w:rPr>
        <w:t>投标人具有投标截止日仍处于有效期内的所投货物使用的涂料获得地级市或以上人民政府卫生和计生部门颁发的《涉及饮用水卫生安全产品卫生许可批件》。</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color w:val="auto"/>
          <w:sz w:val="21"/>
          <w:szCs w:val="21"/>
        </w:rPr>
      </w:pPr>
      <w:r>
        <w:rPr>
          <w:rFonts w:hint="eastAsia" w:ascii="微软雅黑" w:hAnsi="微软雅黑" w:cs="微软雅黑"/>
          <w:color w:val="auto"/>
          <w:sz w:val="21"/>
          <w:szCs w:val="21"/>
          <w:lang w:val="en-US" w:eastAsia="zh-CN"/>
        </w:rPr>
        <w:t xml:space="preserve">6.4  </w:t>
      </w:r>
      <w:r>
        <w:rPr>
          <w:rFonts w:hint="eastAsia" w:ascii="微软雅黑" w:hAnsi="微软雅黑" w:eastAsia="微软雅黑" w:cs="微软雅黑"/>
          <w:color w:val="auto"/>
          <w:sz w:val="21"/>
          <w:szCs w:val="21"/>
        </w:rPr>
        <w:t>投标人没有处于被责令停业或破产状态，且资产未被重组、接管和冻结，声明在经营活动及投标活动中三年内没有重大违法活动和涉嫌违规行为。</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color w:val="auto"/>
          <w:sz w:val="21"/>
          <w:szCs w:val="21"/>
          <w:lang w:val="en-US" w:eastAsia="zh-CN"/>
        </w:rPr>
      </w:pPr>
      <w:r>
        <w:rPr>
          <w:rFonts w:hint="eastAsia" w:ascii="微软雅黑" w:hAnsi="微软雅黑" w:cs="微软雅黑"/>
          <w:color w:val="auto"/>
          <w:sz w:val="21"/>
          <w:szCs w:val="21"/>
          <w:lang w:val="en-US" w:eastAsia="zh-CN"/>
        </w:rPr>
        <w:t xml:space="preserve">6.5  </w:t>
      </w:r>
      <w:r>
        <w:rPr>
          <w:rFonts w:hint="eastAsia" w:ascii="微软雅黑" w:hAnsi="微软雅黑" w:eastAsia="微软雅黑" w:cs="微软雅黑"/>
          <w:color w:val="auto"/>
          <w:sz w:val="21"/>
          <w:szCs w:val="21"/>
          <w:highlight w:val="none"/>
          <w:lang w:eastAsia="zh-CN"/>
        </w:rPr>
        <w:t>投标人</w:t>
      </w:r>
      <w:r>
        <w:rPr>
          <w:rFonts w:hint="eastAsia" w:ascii="微软雅黑" w:hAnsi="微软雅黑" w:eastAsia="微软雅黑" w:cs="微软雅黑"/>
          <w:color w:val="auto"/>
          <w:sz w:val="21"/>
          <w:szCs w:val="21"/>
          <w:highlight w:val="none"/>
        </w:rPr>
        <w:t>未被列入“信用中国”网站(www.creditchina.gov.cn)记录失信被执行人或重大税收违法案件当事人名单，</w:t>
      </w:r>
      <w:r>
        <w:rPr>
          <w:rFonts w:hint="eastAsia" w:ascii="微软雅黑" w:hAnsi="微软雅黑" w:eastAsia="微软雅黑" w:cs="微软雅黑"/>
          <w:color w:val="auto"/>
          <w:sz w:val="21"/>
          <w:szCs w:val="21"/>
          <w:highlight w:val="none"/>
          <w:lang w:eastAsia="zh-CN"/>
        </w:rPr>
        <w:t>投标人</w:t>
      </w:r>
      <w:r>
        <w:rPr>
          <w:rFonts w:hint="eastAsia" w:ascii="微软雅黑" w:hAnsi="微软雅黑" w:eastAsia="微软雅黑" w:cs="微软雅黑"/>
          <w:color w:val="auto"/>
          <w:sz w:val="21"/>
          <w:szCs w:val="21"/>
          <w:highlight w:val="none"/>
        </w:rPr>
        <w:t>须提供《信用记录承诺函》</w:t>
      </w:r>
      <w:r>
        <w:rPr>
          <w:rFonts w:hint="eastAsia" w:ascii="微软雅黑" w:hAnsi="微软雅黑" w:eastAsia="微软雅黑" w:cs="微软雅黑"/>
          <w:color w:val="auto"/>
          <w:sz w:val="20"/>
          <w:szCs w:val="20"/>
          <w:highlight w:val="none"/>
        </w:rPr>
        <w:t>附“信用中国”网站（www.creditchina.gov.cn）的信用记录查询结果截图并打印页面加盖公章</w:t>
      </w:r>
      <w:r>
        <w:rPr>
          <w:rFonts w:hint="eastAsia" w:ascii="微软雅黑" w:hAnsi="微软雅黑" w:cs="微软雅黑"/>
          <w:color w:val="auto"/>
          <w:sz w:val="21"/>
          <w:szCs w:val="21"/>
          <w:lang w:eastAsia="zh-CN"/>
        </w:rPr>
        <w:t>。</w:t>
      </w:r>
    </w:p>
    <w:p>
      <w:pPr>
        <w:pStyle w:val="16"/>
        <w:ind w:left="0" w:leftChars="0" w:firstLine="0" w:firstLineChars="0"/>
        <w:rPr>
          <w:rFonts w:hint="default" w:ascii="Times New Roman" w:hAnsi="Times New Roman" w:eastAsia="微软雅黑" w:cs="Times New Roman"/>
          <w:color w:val="auto"/>
          <w:sz w:val="24"/>
          <w:szCs w:val="20"/>
        </w:rPr>
      </w:pPr>
      <w:r>
        <w:rPr>
          <w:rFonts w:hint="eastAsia" w:ascii="微软雅黑" w:hAnsi="微软雅黑" w:eastAsia="微软雅黑" w:cs="微软雅黑"/>
          <w:color w:val="auto"/>
          <w:sz w:val="21"/>
          <w:szCs w:val="21"/>
          <w:lang w:val="en-US" w:eastAsia="zh-CN"/>
        </w:rPr>
        <w:t xml:space="preserve">6.6 </w:t>
      </w:r>
      <w:r>
        <w:rPr>
          <w:rFonts w:hint="eastAsia" w:ascii="微软雅黑" w:hAnsi="微软雅黑" w:eastAsia="微软雅黑" w:cs="微软雅黑"/>
          <w:snapToGrid/>
          <w:color w:val="auto"/>
          <w:sz w:val="21"/>
          <w:szCs w:val="21"/>
          <w:lang w:val="en-US" w:eastAsia="zh-CN" w:bidi="ar-SA"/>
        </w:rPr>
        <w:t>《公平竞争承诺书》。</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color w:val="auto"/>
          <w:sz w:val="21"/>
          <w:szCs w:val="21"/>
        </w:rPr>
      </w:pPr>
      <w:r>
        <w:rPr>
          <w:rFonts w:hint="eastAsia" w:ascii="微软雅黑" w:hAnsi="微软雅黑" w:cs="微软雅黑"/>
          <w:bCs/>
          <w:color w:val="auto"/>
          <w:sz w:val="21"/>
          <w:szCs w:val="21"/>
          <w:lang w:val="en-US" w:eastAsia="zh-CN"/>
        </w:rPr>
        <w:t xml:space="preserve">6.7  </w:t>
      </w:r>
      <w:r>
        <w:rPr>
          <w:rFonts w:hint="eastAsia" w:ascii="微软雅黑" w:hAnsi="微软雅黑" w:eastAsia="微软雅黑" w:cs="微软雅黑"/>
          <w:bCs/>
          <w:color w:val="auto"/>
          <w:sz w:val="21"/>
          <w:szCs w:val="21"/>
        </w:rPr>
        <w:t>本项目不接受联合体投标。</w:t>
      </w:r>
    </w:p>
    <w:p>
      <w:pPr>
        <w:widowControl w:val="0"/>
        <w:numPr>
          <w:ilvl w:val="0"/>
          <w:numId w:val="1"/>
        </w:numPr>
        <w:tabs>
          <w:tab w:val="left" w:pos="5760"/>
        </w:tabs>
        <w:autoSpaceDN w:val="0"/>
        <w:adjustRightInd/>
        <w:spacing w:after="0" w:line="360" w:lineRule="auto"/>
        <w:jc w:val="both"/>
        <w:rPr>
          <w:rFonts w:hint="eastAsia" w:ascii="微软雅黑" w:hAnsi="微软雅黑" w:eastAsia="微软雅黑" w:cs="微软雅黑"/>
          <w:sz w:val="21"/>
          <w:szCs w:val="21"/>
        </w:rPr>
      </w:pPr>
      <w:r>
        <w:rPr>
          <w:rFonts w:hint="eastAsia" w:ascii="微软雅黑" w:hAnsi="微软雅黑" w:cs="微软雅黑"/>
          <w:b/>
          <w:sz w:val="21"/>
          <w:szCs w:val="21"/>
        </w:rPr>
        <w:t>采购代理机构只接受办理报名及登记手续购买本招标文件的投标人的投标。</w:t>
      </w:r>
    </w:p>
    <w:p>
      <w:pPr>
        <w:widowControl w:val="0"/>
        <w:numPr>
          <w:ilvl w:val="0"/>
          <w:numId w:val="1"/>
        </w:numPr>
        <w:tabs>
          <w:tab w:val="left" w:pos="5760"/>
        </w:tabs>
        <w:autoSpaceDN w:val="0"/>
        <w:adjustRightInd/>
        <w:spacing w:after="0"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b/>
          <w:sz w:val="21"/>
          <w:szCs w:val="21"/>
        </w:rPr>
        <w:t>获取招标文件的时间、地点、方式及招标文件售价：</w:t>
      </w:r>
    </w:p>
    <w:p>
      <w:pPr>
        <w:widowControl w:val="0"/>
        <w:tabs>
          <w:tab w:val="left" w:pos="5760"/>
        </w:tabs>
        <w:autoSpaceDN w:val="0"/>
        <w:adjustRightInd/>
        <w:spacing w:after="0"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8.1  获取招标文件时间：</w:t>
      </w:r>
      <w:r>
        <w:rPr>
          <w:rFonts w:hint="eastAsia" w:ascii="微软雅黑" w:hAnsi="微软雅黑" w:eastAsia="微软雅黑" w:cs="微软雅黑"/>
          <w:color w:val="000000"/>
          <w:sz w:val="21"/>
          <w:szCs w:val="21"/>
          <w:highlight w:val="yellow"/>
        </w:rPr>
        <w:t>202</w:t>
      </w:r>
      <w:r>
        <w:rPr>
          <w:rFonts w:hint="eastAsia" w:ascii="微软雅黑" w:hAnsi="微软雅黑" w:eastAsia="微软雅黑" w:cs="微软雅黑"/>
          <w:color w:val="000000"/>
          <w:sz w:val="21"/>
          <w:szCs w:val="21"/>
          <w:highlight w:val="yellow"/>
          <w:lang w:val="en-US" w:eastAsia="zh-CN"/>
        </w:rPr>
        <w:t>1</w:t>
      </w:r>
      <w:r>
        <w:rPr>
          <w:rFonts w:hint="eastAsia" w:ascii="微软雅黑" w:hAnsi="微软雅黑" w:eastAsia="微软雅黑" w:cs="微软雅黑"/>
          <w:color w:val="000000"/>
          <w:sz w:val="21"/>
          <w:szCs w:val="21"/>
          <w:highlight w:val="yellow"/>
        </w:rPr>
        <w:t>年</w:t>
      </w:r>
      <w:r>
        <w:rPr>
          <w:rFonts w:hint="eastAsia" w:ascii="微软雅黑" w:hAnsi="微软雅黑" w:cs="微软雅黑"/>
          <w:bCs/>
          <w:color w:val="000000"/>
          <w:sz w:val="21"/>
          <w:szCs w:val="21"/>
          <w:highlight w:val="yellow"/>
          <w:lang w:val="en-US" w:eastAsia="zh-CN"/>
        </w:rPr>
        <w:t>9</w:t>
      </w:r>
      <w:r>
        <w:rPr>
          <w:rFonts w:hint="eastAsia" w:ascii="微软雅黑" w:hAnsi="微软雅黑" w:eastAsia="微软雅黑" w:cs="微软雅黑"/>
          <w:color w:val="000000"/>
          <w:sz w:val="21"/>
          <w:szCs w:val="21"/>
          <w:highlight w:val="yellow"/>
        </w:rPr>
        <w:t>月</w:t>
      </w:r>
      <w:r>
        <w:rPr>
          <w:rFonts w:hint="eastAsia" w:ascii="微软雅黑" w:hAnsi="微软雅黑" w:cs="微软雅黑"/>
          <w:bCs/>
          <w:color w:val="000000"/>
          <w:sz w:val="21"/>
          <w:szCs w:val="21"/>
          <w:highlight w:val="yellow"/>
          <w:lang w:val="en-US" w:eastAsia="zh-CN"/>
        </w:rPr>
        <w:t>28</w:t>
      </w:r>
      <w:r>
        <w:rPr>
          <w:rFonts w:hint="eastAsia" w:ascii="微软雅黑" w:hAnsi="微软雅黑" w:eastAsia="微软雅黑" w:cs="微软雅黑"/>
          <w:color w:val="000000"/>
          <w:sz w:val="21"/>
          <w:szCs w:val="21"/>
          <w:highlight w:val="yellow"/>
        </w:rPr>
        <w:t>日至202</w:t>
      </w:r>
      <w:r>
        <w:rPr>
          <w:rFonts w:hint="eastAsia" w:ascii="微软雅黑" w:hAnsi="微软雅黑" w:eastAsia="微软雅黑" w:cs="微软雅黑"/>
          <w:color w:val="000000"/>
          <w:sz w:val="21"/>
          <w:szCs w:val="21"/>
          <w:highlight w:val="yellow"/>
          <w:lang w:val="en-US" w:eastAsia="zh-CN"/>
        </w:rPr>
        <w:t>1</w:t>
      </w:r>
      <w:r>
        <w:rPr>
          <w:rFonts w:hint="eastAsia" w:ascii="微软雅黑" w:hAnsi="微软雅黑" w:eastAsia="微软雅黑" w:cs="微软雅黑"/>
          <w:color w:val="000000"/>
          <w:sz w:val="21"/>
          <w:szCs w:val="21"/>
          <w:highlight w:val="yellow"/>
        </w:rPr>
        <w:t>年</w:t>
      </w:r>
      <w:r>
        <w:rPr>
          <w:rFonts w:hint="eastAsia" w:ascii="微软雅黑" w:hAnsi="微软雅黑" w:cs="微软雅黑"/>
          <w:bCs/>
          <w:color w:val="000000"/>
          <w:sz w:val="21"/>
          <w:szCs w:val="21"/>
          <w:highlight w:val="yellow"/>
          <w:lang w:val="en-US" w:eastAsia="zh-CN"/>
        </w:rPr>
        <w:t>10</w:t>
      </w:r>
      <w:r>
        <w:rPr>
          <w:rFonts w:hint="eastAsia" w:ascii="微软雅黑" w:hAnsi="微软雅黑" w:eastAsia="微软雅黑" w:cs="微软雅黑"/>
          <w:color w:val="000000"/>
          <w:sz w:val="21"/>
          <w:szCs w:val="21"/>
          <w:highlight w:val="yellow"/>
        </w:rPr>
        <w:t>月</w:t>
      </w:r>
      <w:r>
        <w:rPr>
          <w:rFonts w:hint="eastAsia" w:ascii="微软雅黑" w:hAnsi="微软雅黑" w:cs="微软雅黑"/>
          <w:bCs/>
          <w:color w:val="000000"/>
          <w:sz w:val="21"/>
          <w:szCs w:val="21"/>
          <w:highlight w:val="yellow"/>
          <w:lang w:val="en-US" w:eastAsia="zh-CN"/>
        </w:rPr>
        <w:t>12</w:t>
      </w:r>
      <w:r>
        <w:rPr>
          <w:rFonts w:hint="eastAsia" w:ascii="微软雅黑" w:hAnsi="微软雅黑" w:eastAsia="微软雅黑" w:cs="微软雅黑"/>
          <w:color w:val="000000"/>
          <w:sz w:val="21"/>
          <w:szCs w:val="21"/>
          <w:highlight w:val="yellow"/>
        </w:rPr>
        <w:t>日</w:t>
      </w:r>
      <w:r>
        <w:rPr>
          <w:rFonts w:hint="eastAsia" w:ascii="微软雅黑" w:hAnsi="微软雅黑" w:eastAsia="微软雅黑" w:cs="微软雅黑"/>
          <w:sz w:val="21"/>
          <w:szCs w:val="21"/>
        </w:rPr>
        <w:t>，工作日9：00-12：00，14：00-17：00（法定节假日除外）</w:t>
      </w:r>
    </w:p>
    <w:p>
      <w:pPr>
        <w:widowControl w:val="0"/>
        <w:tabs>
          <w:tab w:val="left" w:pos="5760"/>
        </w:tabs>
        <w:autoSpaceDN w:val="0"/>
        <w:adjustRightInd/>
        <w:spacing w:after="0" w:line="360" w:lineRule="auto"/>
        <w:jc w:val="both"/>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8.2  获取招标文件地点：广州市番禺区南村镇敏捷上城国际一期2栋1806</w:t>
      </w:r>
      <w:r>
        <w:rPr>
          <w:rFonts w:hint="eastAsia" w:ascii="微软雅黑" w:hAnsi="微软雅黑" w:cs="微软雅黑"/>
          <w:sz w:val="21"/>
          <w:szCs w:val="21"/>
          <w:lang w:eastAsia="zh-CN"/>
        </w:rPr>
        <w:t>。</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8.3  获取招标文件方式：</w:t>
      </w:r>
      <w:r>
        <w:rPr>
          <w:rFonts w:hint="eastAsia" w:ascii="微软雅黑" w:hAnsi="微软雅黑" w:eastAsia="微软雅黑" w:cs="微软雅黑"/>
          <w:b/>
          <w:bCs/>
          <w:sz w:val="21"/>
          <w:szCs w:val="21"/>
        </w:rPr>
        <w:t>（投标人凭以下资料加盖单位公章购买招标文件）</w:t>
      </w:r>
    </w:p>
    <w:p>
      <w:pPr>
        <w:widowControl w:val="0"/>
        <w:autoSpaceDN w:val="0"/>
        <w:adjustRightInd/>
        <w:spacing w:after="0" w:line="360" w:lineRule="auto"/>
        <w:jc w:val="both"/>
        <w:rPr>
          <w:rFonts w:hint="eastAsia" w:ascii="微软雅黑" w:hAnsi="微软雅黑" w:eastAsia="微软雅黑" w:cs="微软雅黑"/>
          <w:bCs/>
          <w:color w:val="FF0000"/>
          <w:sz w:val="21"/>
          <w:szCs w:val="21"/>
        </w:rPr>
      </w:pPr>
      <w:r>
        <w:rPr>
          <w:rFonts w:hint="eastAsia" w:asciiTheme="minorEastAsia" w:hAnsiTheme="minorEastAsia"/>
          <w:color w:val="FF0000"/>
          <w:sz w:val="20"/>
          <w:szCs w:val="20"/>
        </w:rPr>
        <w:t>营业执照、组织机构代码证、税务登记证的复印件（已实行“三证合一”的单位，只须提供新版营业执照即可）</w:t>
      </w:r>
      <w:r>
        <w:rPr>
          <w:rFonts w:hint="eastAsia" w:ascii="微软雅黑" w:hAnsi="微软雅黑" w:eastAsia="微软雅黑" w:cs="微软雅黑"/>
          <w:bCs/>
          <w:color w:val="FF0000"/>
          <w:sz w:val="21"/>
          <w:szCs w:val="21"/>
        </w:rPr>
        <w:t xml:space="preserve"> </w:t>
      </w:r>
      <w:r>
        <w:rPr>
          <w:rFonts w:hint="eastAsia" w:ascii="微软雅黑" w:hAnsi="微软雅黑" w:eastAsia="微软雅黑" w:cs="微软雅黑"/>
          <w:bCs/>
          <w:sz w:val="21"/>
          <w:szCs w:val="21"/>
        </w:rPr>
        <w:t xml:space="preserve">  </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8.</w:t>
      </w:r>
      <w:r>
        <w:rPr>
          <w:rFonts w:hint="eastAsia" w:ascii="微软雅黑" w:hAnsi="微软雅黑" w:cs="微软雅黑"/>
          <w:sz w:val="21"/>
          <w:szCs w:val="21"/>
          <w:lang w:val="en-US" w:eastAsia="zh-CN"/>
        </w:rPr>
        <w:t>4</w:t>
      </w:r>
      <w:r>
        <w:rPr>
          <w:rFonts w:hint="eastAsia" w:ascii="微软雅黑" w:hAnsi="微软雅黑" w:eastAsia="微软雅黑" w:cs="微软雅黑"/>
          <w:sz w:val="21"/>
          <w:szCs w:val="21"/>
        </w:rPr>
        <w:t xml:space="preserve">   购买招标文件经办人，需提供：</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经办人如是法定代表人，需提供法定代表人证明书及法定代表人身份证复印件；</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经办人如是投标人授权代表，需提供法定代表人授权委托书及授权代表身份证复印件；</w:t>
      </w:r>
    </w:p>
    <w:p>
      <w:pPr>
        <w:tabs>
          <w:tab w:val="left" w:pos="1440"/>
        </w:tabs>
        <w:spacing w:line="360"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备注：1、以上资料参与正式投标时须放入投标文件中。</w:t>
      </w:r>
    </w:p>
    <w:p>
      <w:pPr>
        <w:numPr>
          <w:ilvl w:val="0"/>
          <w:numId w:val="0"/>
        </w:numPr>
        <w:tabs>
          <w:tab w:val="left" w:pos="1440"/>
        </w:tabs>
        <w:spacing w:line="360" w:lineRule="auto"/>
        <w:ind w:firstLine="630" w:firstLineChars="300"/>
        <w:rPr>
          <w:rFonts w:hint="eastAsia"/>
        </w:rPr>
      </w:pPr>
      <w:r>
        <w:rPr>
          <w:rFonts w:hint="eastAsia" w:ascii="微软雅黑" w:hAnsi="微软雅黑" w:cs="微软雅黑"/>
          <w:b/>
          <w:color w:val="FF0000"/>
          <w:sz w:val="21"/>
          <w:szCs w:val="21"/>
          <w:lang w:val="en-US" w:eastAsia="zh-CN"/>
        </w:rPr>
        <w:t>2、</w:t>
      </w:r>
      <w:r>
        <w:rPr>
          <w:rFonts w:hint="eastAsia" w:ascii="微软雅黑" w:hAnsi="微软雅黑" w:eastAsia="微软雅黑" w:cs="微软雅黑"/>
          <w:b/>
          <w:color w:val="FF0000"/>
          <w:sz w:val="21"/>
          <w:szCs w:val="21"/>
        </w:rPr>
        <w:t>已办理报名并成功购买招标文件的投标人参加投标的，不代表通过资格、符合性评审。</w:t>
      </w:r>
    </w:p>
    <w:p>
      <w:pPr>
        <w:tabs>
          <w:tab w:val="left" w:pos="1440"/>
        </w:tabs>
        <w:spacing w:line="360"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为了提高效率，投标人可先下载“招标文件发售登记表（</w:t>
      </w: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"http://www.baochengdaili.com/downs.asp?ID=23" </w:instrText>
      </w:r>
      <w:r>
        <w:rPr>
          <w:rFonts w:hint="eastAsia" w:ascii="微软雅黑" w:hAnsi="微软雅黑" w:eastAsia="微软雅黑" w:cs="微软雅黑"/>
          <w:sz w:val="21"/>
          <w:szCs w:val="21"/>
        </w:rPr>
        <w:fldChar w:fldCharType="separate"/>
      </w:r>
      <w:r>
        <w:rPr>
          <w:rStyle w:val="21"/>
          <w:rFonts w:hint="eastAsia" w:ascii="微软雅黑" w:hAnsi="微软雅黑" w:eastAsia="微软雅黑" w:cs="微软雅黑"/>
          <w:b/>
          <w:sz w:val="21"/>
          <w:szCs w:val="21"/>
        </w:rPr>
        <w:t>点击打开</w:t>
      </w:r>
      <w:r>
        <w:rPr>
          <w:rFonts w:hint="eastAsia" w:ascii="微软雅黑" w:hAnsi="微软雅黑" w:eastAsia="微软雅黑" w:cs="微软雅黑"/>
          <w:b/>
          <w:sz w:val="21"/>
          <w:szCs w:val="21"/>
        </w:rPr>
        <w:fldChar w:fldCharType="end"/>
      </w:r>
      <w:r>
        <w:rPr>
          <w:rFonts w:hint="eastAsia" w:ascii="微软雅黑" w:hAnsi="微软雅黑" w:eastAsia="微软雅黑" w:cs="微软雅黑"/>
          <w:b/>
          <w:sz w:val="21"/>
          <w:szCs w:val="21"/>
        </w:rPr>
        <w:t>）”，填写后打印并与以上资料一并携带购买招标文件。</w:t>
      </w:r>
    </w:p>
    <w:p>
      <w:pPr>
        <w:adjustRightInd/>
        <w:spacing w:line="360" w:lineRule="auto"/>
        <w:jc w:val="both"/>
        <w:rPr>
          <w:rFonts w:hint="eastAsia" w:ascii="微软雅黑" w:hAnsi="微软雅黑" w:eastAsia="微软雅黑" w:cs="微软雅黑"/>
          <w:bCs/>
          <w:sz w:val="21"/>
          <w:szCs w:val="21"/>
        </w:rPr>
      </w:pPr>
      <w:r>
        <w:rPr>
          <w:rFonts w:hint="eastAsia" w:ascii="微软雅黑" w:hAnsi="微软雅黑" w:eastAsia="微软雅黑" w:cs="微软雅黑"/>
          <w:sz w:val="21"/>
          <w:szCs w:val="21"/>
        </w:rPr>
        <w:t>投标人购买招标文件需按要求提供以上资料并经审查，只接受通过以上方式正式获取招标文件</w:t>
      </w:r>
      <w:r>
        <w:rPr>
          <w:rFonts w:hint="eastAsia" w:ascii="微软雅黑" w:hAnsi="微软雅黑" w:eastAsia="微软雅黑" w:cs="微软雅黑"/>
          <w:bCs/>
          <w:sz w:val="21"/>
          <w:szCs w:val="21"/>
        </w:rPr>
        <w:t>的投标人的投标。</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招标文件售价：招标文件每份人民币</w:t>
      </w: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00.00元整，售后不退。（如需邮寄另加人民币50元特快专递费，售后不退。在任何情况下代理机构对邮寄过程中发生的迟交或遗失都不承担责任）。</w:t>
      </w:r>
    </w:p>
    <w:p>
      <w:pPr>
        <w:pStyle w:val="22"/>
        <w:numPr>
          <w:ilvl w:val="0"/>
          <w:numId w:val="2"/>
        </w:numPr>
        <w:snapToGrid w:val="0"/>
        <w:spacing w:line="360" w:lineRule="auto"/>
        <w:ind w:firstLineChars="0"/>
        <w:jc w:val="both"/>
        <w:rPr>
          <w:rFonts w:hint="eastAsia" w:ascii="微软雅黑" w:hAnsi="微软雅黑" w:eastAsia="微软雅黑" w:cs="微软雅黑"/>
          <w:b/>
          <w:bCs/>
          <w:color w:val="FF0000"/>
          <w:sz w:val="21"/>
          <w:szCs w:val="21"/>
          <w:lang w:eastAsia="zh-CN"/>
        </w:rPr>
      </w:pPr>
      <w:r>
        <w:rPr>
          <w:rFonts w:hint="eastAsia" w:ascii="微软雅黑" w:hAnsi="微软雅黑" w:eastAsia="微软雅黑" w:cs="微软雅黑"/>
          <w:b/>
          <w:bCs/>
          <w:sz w:val="21"/>
          <w:szCs w:val="21"/>
          <w:lang w:eastAsia="zh-CN"/>
        </w:rPr>
        <w:t>投标、开标时间及地点：</w:t>
      </w:r>
    </w:p>
    <w:p>
      <w:pPr>
        <w:adjustRightInd/>
        <w:spacing w:line="360" w:lineRule="auto"/>
        <w:jc w:val="both"/>
        <w:rPr>
          <w:rFonts w:hint="eastAsia" w:ascii="微软雅黑" w:hAnsi="微软雅黑" w:eastAsia="微软雅黑" w:cs="微软雅黑"/>
          <w:sz w:val="21"/>
          <w:szCs w:val="21"/>
          <w:highlight w:val="yellow"/>
        </w:rPr>
      </w:pPr>
      <w:r>
        <w:rPr>
          <w:rFonts w:hint="eastAsia" w:ascii="微软雅黑" w:hAnsi="微软雅黑" w:eastAsia="微软雅黑" w:cs="微软雅黑"/>
          <w:sz w:val="21"/>
          <w:szCs w:val="21"/>
        </w:rPr>
        <w:t>9.1 投标文件递交时间：</w:t>
      </w:r>
      <w:r>
        <w:rPr>
          <w:rFonts w:hint="eastAsia" w:ascii="微软雅黑" w:hAnsi="微软雅黑" w:eastAsia="微软雅黑" w:cs="微软雅黑"/>
          <w:color w:val="000000"/>
          <w:sz w:val="21"/>
          <w:szCs w:val="21"/>
          <w:highlight w:val="yellow"/>
        </w:rPr>
        <w:t>202</w:t>
      </w:r>
      <w:r>
        <w:rPr>
          <w:rFonts w:hint="eastAsia" w:ascii="微软雅黑" w:hAnsi="微软雅黑" w:eastAsia="微软雅黑" w:cs="微软雅黑"/>
          <w:color w:val="000000"/>
          <w:sz w:val="21"/>
          <w:szCs w:val="21"/>
          <w:highlight w:val="yellow"/>
          <w:lang w:val="en-US" w:eastAsia="zh-CN"/>
        </w:rPr>
        <w:t>1</w:t>
      </w:r>
      <w:r>
        <w:rPr>
          <w:rFonts w:hint="eastAsia" w:ascii="微软雅黑" w:hAnsi="微软雅黑" w:eastAsia="微软雅黑" w:cs="微软雅黑"/>
          <w:color w:val="000000"/>
          <w:sz w:val="21"/>
          <w:szCs w:val="21"/>
          <w:highlight w:val="yellow"/>
        </w:rPr>
        <w:t>年</w:t>
      </w:r>
      <w:r>
        <w:rPr>
          <w:rFonts w:hint="eastAsia" w:ascii="微软雅黑" w:hAnsi="微软雅黑" w:cs="微软雅黑"/>
          <w:bCs/>
          <w:color w:val="auto"/>
          <w:sz w:val="21"/>
          <w:szCs w:val="21"/>
          <w:highlight w:val="yellow"/>
          <w:lang w:val="en-US" w:eastAsia="zh-CN"/>
        </w:rPr>
        <w:t>10</w:t>
      </w:r>
      <w:r>
        <w:rPr>
          <w:rFonts w:hint="eastAsia" w:ascii="微软雅黑" w:hAnsi="微软雅黑" w:eastAsia="微软雅黑" w:cs="微软雅黑"/>
          <w:color w:val="auto"/>
          <w:sz w:val="21"/>
          <w:szCs w:val="21"/>
          <w:highlight w:val="yellow"/>
        </w:rPr>
        <w:t>月</w:t>
      </w:r>
      <w:r>
        <w:rPr>
          <w:rFonts w:hint="eastAsia" w:ascii="微软雅黑" w:hAnsi="微软雅黑" w:cs="微软雅黑"/>
          <w:bCs/>
          <w:color w:val="auto"/>
          <w:sz w:val="21"/>
          <w:szCs w:val="21"/>
          <w:highlight w:val="yellow"/>
          <w:lang w:val="en-US" w:eastAsia="zh-CN"/>
        </w:rPr>
        <w:t>19</w:t>
      </w:r>
      <w:r>
        <w:rPr>
          <w:rFonts w:hint="eastAsia" w:ascii="微软雅黑" w:hAnsi="微软雅黑" w:eastAsia="微软雅黑" w:cs="微软雅黑"/>
          <w:color w:val="auto"/>
          <w:sz w:val="21"/>
          <w:szCs w:val="21"/>
          <w:highlight w:val="yellow"/>
        </w:rPr>
        <w:t>日9：30-10:0</w:t>
      </w:r>
      <w:r>
        <w:rPr>
          <w:rFonts w:hint="eastAsia" w:ascii="微软雅黑" w:hAnsi="微软雅黑" w:eastAsia="微软雅黑" w:cs="微软雅黑"/>
          <w:sz w:val="21"/>
          <w:szCs w:val="21"/>
          <w:highlight w:val="yellow"/>
        </w:rPr>
        <w:t>0</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9.2 投标截止及开标时间：</w:t>
      </w:r>
      <w:r>
        <w:rPr>
          <w:rFonts w:hint="eastAsia" w:ascii="微软雅黑" w:hAnsi="微软雅黑" w:eastAsia="微软雅黑" w:cs="微软雅黑"/>
          <w:color w:val="auto"/>
          <w:sz w:val="21"/>
          <w:szCs w:val="21"/>
          <w:highlight w:val="yellow"/>
        </w:rPr>
        <w:t>202</w:t>
      </w:r>
      <w:r>
        <w:rPr>
          <w:rFonts w:hint="eastAsia" w:ascii="微软雅黑" w:hAnsi="微软雅黑" w:eastAsia="微软雅黑" w:cs="微软雅黑"/>
          <w:color w:val="auto"/>
          <w:sz w:val="21"/>
          <w:szCs w:val="21"/>
          <w:highlight w:val="yellow"/>
          <w:lang w:val="en-US" w:eastAsia="zh-CN"/>
        </w:rPr>
        <w:t>1</w:t>
      </w:r>
      <w:r>
        <w:rPr>
          <w:rFonts w:hint="eastAsia" w:ascii="微软雅黑" w:hAnsi="微软雅黑" w:eastAsia="微软雅黑" w:cs="微软雅黑"/>
          <w:color w:val="auto"/>
          <w:sz w:val="21"/>
          <w:szCs w:val="21"/>
          <w:highlight w:val="yellow"/>
        </w:rPr>
        <w:t>年</w:t>
      </w:r>
      <w:r>
        <w:rPr>
          <w:rFonts w:hint="eastAsia" w:ascii="微软雅黑" w:hAnsi="微软雅黑" w:cs="微软雅黑"/>
          <w:bCs/>
          <w:color w:val="auto"/>
          <w:sz w:val="21"/>
          <w:szCs w:val="21"/>
          <w:highlight w:val="yellow"/>
          <w:lang w:val="en-US" w:eastAsia="zh-CN"/>
        </w:rPr>
        <w:t>10</w:t>
      </w:r>
      <w:r>
        <w:rPr>
          <w:rFonts w:hint="eastAsia" w:ascii="微软雅黑" w:hAnsi="微软雅黑" w:eastAsia="微软雅黑" w:cs="微软雅黑"/>
          <w:color w:val="auto"/>
          <w:sz w:val="21"/>
          <w:szCs w:val="21"/>
          <w:highlight w:val="yellow"/>
        </w:rPr>
        <w:t>月</w:t>
      </w:r>
      <w:r>
        <w:rPr>
          <w:rFonts w:hint="eastAsia" w:ascii="微软雅黑" w:hAnsi="微软雅黑" w:cs="微软雅黑"/>
          <w:bCs/>
          <w:color w:val="auto"/>
          <w:sz w:val="21"/>
          <w:szCs w:val="21"/>
          <w:highlight w:val="yellow"/>
          <w:lang w:val="en-US" w:eastAsia="zh-CN"/>
        </w:rPr>
        <w:t>19</w:t>
      </w:r>
      <w:r>
        <w:rPr>
          <w:rFonts w:hint="eastAsia" w:ascii="微软雅黑" w:hAnsi="微软雅黑" w:eastAsia="微软雅黑" w:cs="微软雅黑"/>
          <w:color w:val="auto"/>
          <w:sz w:val="21"/>
          <w:szCs w:val="21"/>
          <w:highlight w:val="yellow"/>
        </w:rPr>
        <w:t>日10:00</w:t>
      </w:r>
    </w:p>
    <w:p>
      <w:pPr>
        <w:adjustRightInd/>
        <w:spacing w:line="360" w:lineRule="auto"/>
        <w:jc w:val="both"/>
        <w:rPr>
          <w:rFonts w:hint="default" w:ascii="微软雅黑" w:hAnsi="微软雅黑" w:eastAsia="微软雅黑" w:cs="微软雅黑"/>
          <w:b/>
          <w:sz w:val="21"/>
          <w:szCs w:val="21"/>
          <w:lang w:val="en-US" w:eastAsia="zh-CN"/>
        </w:rPr>
      </w:pPr>
      <w:r>
        <w:rPr>
          <w:rFonts w:hint="eastAsia" w:ascii="微软雅黑" w:hAnsi="微软雅黑" w:eastAsia="微软雅黑" w:cs="微软雅黑"/>
          <w:b/>
          <w:sz w:val="21"/>
          <w:szCs w:val="21"/>
        </w:rPr>
        <w:t>9.3 投标文件递交及开标地点：</w:t>
      </w:r>
      <w:r>
        <w:rPr>
          <w:rFonts w:hint="eastAsia" w:ascii="宋体" w:hAnsi="宋体"/>
          <w:b/>
          <w:bCs/>
          <w:szCs w:val="21"/>
        </w:rPr>
        <w:t>广州市番禺区南村镇海顺路66号（建设银行背后）二栋17A，1806房（又称：敏捷上城国际1期2栋1806）</w:t>
      </w:r>
    </w:p>
    <w:p>
      <w:pPr>
        <w:adjustRightInd/>
        <w:spacing w:line="360" w:lineRule="auto"/>
        <w:jc w:val="both"/>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10 本项目相关公告在以下媒体发布：</w:t>
      </w:r>
    </w:p>
    <w:p>
      <w:pPr>
        <w:adjustRightInd/>
        <w:spacing w:line="360" w:lineRule="auto"/>
        <w:jc w:val="both"/>
        <w:rPr>
          <w:rFonts w:hint="eastAsia" w:ascii="微软雅黑" w:hAnsi="微软雅黑" w:eastAsia="微软雅黑" w:cs="微软雅黑"/>
          <w:bCs/>
          <w:color w:val="000000"/>
          <w:sz w:val="21"/>
          <w:szCs w:val="21"/>
        </w:rPr>
      </w:pPr>
      <w:r>
        <w:rPr>
          <w:rFonts w:hint="eastAsia" w:ascii="微软雅黑" w:hAnsi="微软雅黑" w:eastAsia="微软雅黑" w:cs="微软雅黑"/>
          <w:bCs/>
          <w:color w:val="000000"/>
          <w:sz w:val="21"/>
          <w:szCs w:val="21"/>
        </w:rPr>
        <w:t>10.1法定媒体：中国采购与招标网</w:t>
      </w:r>
      <w:r>
        <w:rPr>
          <w:rFonts w:hint="eastAsia" w:ascii="微软雅黑" w:hAnsi="微软雅黑" w:cs="微软雅黑"/>
          <w:bCs/>
          <w:color w:val="000000"/>
          <w:sz w:val="21"/>
          <w:szCs w:val="21"/>
          <w:lang w:eastAsia="zh-CN"/>
        </w:rPr>
        <w:t>（http://www.chinabidding.com.cn/）</w:t>
      </w:r>
      <w:r>
        <w:rPr>
          <w:rFonts w:hint="eastAsia" w:ascii="微软雅黑" w:hAnsi="微软雅黑" w:eastAsia="微软雅黑" w:cs="微软雅黑"/>
          <w:bCs/>
          <w:sz w:val="21"/>
          <w:szCs w:val="21"/>
        </w:rPr>
        <w:t>。</w:t>
      </w:r>
      <w:r>
        <w:rPr>
          <w:rFonts w:hint="eastAsia" w:ascii="微软雅黑" w:hAnsi="微软雅黑" w:eastAsia="微软雅黑" w:cs="微软雅黑"/>
          <w:bCs/>
          <w:color w:val="000000"/>
          <w:sz w:val="21"/>
          <w:szCs w:val="21"/>
        </w:rPr>
        <w:t>相关公告在法定媒体上公布之日即视为有效送达，不再另行通知。</w:t>
      </w:r>
    </w:p>
    <w:p>
      <w:pPr>
        <w:adjustRightInd/>
        <w:spacing w:line="360" w:lineRule="auto"/>
        <w:jc w:val="both"/>
        <w:rPr>
          <w:rFonts w:hint="eastAsia" w:ascii="微软雅黑" w:hAnsi="微软雅黑" w:eastAsia="微软雅黑" w:cs="微软雅黑"/>
          <w:bCs/>
          <w:color w:val="000000"/>
          <w:sz w:val="21"/>
          <w:szCs w:val="21"/>
        </w:rPr>
      </w:pPr>
      <w:r>
        <w:rPr>
          <w:rFonts w:hint="eastAsia" w:ascii="微软雅黑" w:hAnsi="微软雅黑" w:eastAsia="微软雅黑" w:cs="微软雅黑"/>
          <w:bCs/>
          <w:color w:val="000000"/>
          <w:sz w:val="21"/>
          <w:szCs w:val="21"/>
        </w:rPr>
        <w:t>10.2 补充媒体：采购代理机构网站（http://baochengdaili.com）上公布。</w:t>
      </w:r>
    </w:p>
    <w:p>
      <w:pPr>
        <w:adjustRightInd/>
        <w:spacing w:line="360" w:lineRule="auto"/>
        <w:jc w:val="both"/>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11 投标人认为招标文件的内容损害其权益的，可以在公示期间或者自期满之日起七个工作日内以书面形式（加盖单位公章，电话咨询或传真或电邮形式无效）向采购人或者我司提出质疑，质疑书应包括的内容：具体的质疑事项、事实依据及相关确凿的证明材料、投标人名称及地址、授权代表姓名及其联系电话、质疑时间。质疑书应当署名并由法定代表人或授权代表签字并加盖公章。投标人递交质疑书时需提供质疑书原件、法定代表人授权委托书（应载明委托代理的具体权限及事项）及授权代表身份证复印件。</w:t>
      </w:r>
    </w:p>
    <w:p>
      <w:pPr>
        <w:spacing w:line="360" w:lineRule="auto"/>
        <w:rPr>
          <w:rFonts w:hint="eastAsia" w:ascii="微软雅黑" w:hAnsi="微软雅黑" w:eastAsia="微软雅黑" w:cs="微软雅黑"/>
          <w:bCs/>
          <w:color w:val="auto"/>
          <w:sz w:val="21"/>
          <w:szCs w:val="21"/>
          <w:lang w:eastAsia="zh-CN"/>
        </w:rPr>
      </w:pPr>
      <w:r>
        <w:rPr>
          <w:rFonts w:hint="eastAsia" w:ascii="微软雅黑" w:hAnsi="微软雅黑" w:eastAsia="微软雅黑" w:cs="微软雅黑"/>
          <w:color w:val="000000"/>
          <w:sz w:val="21"/>
          <w:szCs w:val="21"/>
        </w:rPr>
        <w:t>采购人名称：</w:t>
      </w:r>
      <w:r>
        <w:rPr>
          <w:rFonts w:hint="eastAsia" w:ascii="微软雅黑" w:hAnsi="微软雅黑" w:cs="微软雅黑"/>
          <w:bCs/>
          <w:color w:val="auto"/>
          <w:sz w:val="21"/>
          <w:szCs w:val="21"/>
          <w:lang w:eastAsia="zh-CN"/>
        </w:rPr>
        <w:t>广州市增城自来水安装工程有限公司</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采购代理机构：广州宝诚招标代理咨询有限公司</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地址：广州市番禺区南村镇敏捷上城国际一期2栋1806</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联系人：梁先生</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联系方式：</w:t>
      </w:r>
      <w:r>
        <w:rPr>
          <w:rFonts w:hint="eastAsia" w:ascii="微软雅黑" w:hAnsi="微软雅黑" w:eastAsia="微软雅黑" w:cs="微软雅黑"/>
          <w:sz w:val="21"/>
          <w:szCs w:val="21"/>
        </w:rPr>
        <w:t>020-37887429</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邮政编码：511442</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电邮：GZBCZB@163.com</w:t>
      </w:r>
    </w:p>
    <w:p>
      <w:pPr>
        <w:spacing w:line="360" w:lineRule="auto"/>
        <w:rPr>
          <w:rFonts w:hint="eastAsia" w:ascii="微软雅黑" w:hAnsi="微软雅黑" w:eastAsia="微软雅黑" w:cs="微软雅黑"/>
          <w:b/>
          <w:bCs/>
          <w:sz w:val="21"/>
          <w:szCs w:val="21"/>
        </w:rPr>
      </w:pPr>
      <w:r>
        <w:rPr>
          <w:rFonts w:hint="eastAsia" w:ascii="微软雅黑" w:hAnsi="微软雅黑" w:eastAsia="微软雅黑" w:cs="微软雅黑"/>
          <w:color w:val="000000"/>
          <w:sz w:val="21"/>
          <w:szCs w:val="21"/>
        </w:rPr>
        <w:t>网址：</w:t>
      </w: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"http://www.chinapsp.cn" </w:instrText>
      </w:r>
      <w:r>
        <w:rPr>
          <w:rFonts w:hint="eastAsia" w:ascii="微软雅黑" w:hAnsi="微软雅黑" w:eastAsia="微软雅黑" w:cs="微软雅黑"/>
          <w:sz w:val="21"/>
          <w:szCs w:val="21"/>
        </w:rPr>
        <w:fldChar w:fldCharType="separate"/>
      </w:r>
      <w:r>
        <w:rPr>
          <w:rStyle w:val="21"/>
          <w:rFonts w:hint="eastAsia" w:ascii="微软雅黑" w:hAnsi="微软雅黑" w:eastAsia="微软雅黑" w:cs="微软雅黑"/>
          <w:color w:val="000000"/>
          <w:sz w:val="21"/>
          <w:szCs w:val="21"/>
        </w:rPr>
        <w:t>http://baochengdaili.com</w:t>
      </w:r>
      <w:r>
        <w:rPr>
          <w:rFonts w:hint="eastAsia" w:ascii="微软雅黑" w:hAnsi="微软雅黑" w:eastAsia="微软雅黑" w:cs="微软雅黑"/>
          <w:color w:val="000000"/>
          <w:sz w:val="21"/>
          <w:szCs w:val="21"/>
        </w:rPr>
        <w:fldChar w:fldCharType="end"/>
      </w: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t>第二章  投标资料表</w:t>
      </w:r>
    </w:p>
    <w:p>
      <w:pPr>
        <w:rPr>
          <w:rFonts w:ascii="黑体" w:hAnsi="华文中宋" w:eastAsia="黑体" w:cs="华文中宋"/>
          <w:b/>
          <w:bCs/>
          <w:sz w:val="32"/>
          <w:szCs w:val="32"/>
        </w:rPr>
      </w:pPr>
      <w:r>
        <w:rPr>
          <w:rFonts w:hint="eastAsia"/>
          <w:sz w:val="21"/>
          <w:szCs w:val="21"/>
        </w:rPr>
        <w:t>该资料表的条款项号是《投标人须知》及《合同通用条款》条款项号对应的，或增加的条款，是对《投标人须知》及《合同通用条款》的补充、修改和完善，如果有矛盾的话，应以本资料表为准。</w:t>
      </w:r>
    </w:p>
    <w:tbl>
      <w:tblPr>
        <w:tblStyle w:val="17"/>
        <w:tblW w:w="996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9"/>
        <w:gridCol w:w="87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12"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条款项号</w:t>
            </w:r>
          </w:p>
        </w:tc>
        <w:tc>
          <w:tcPr>
            <w:tcW w:w="8793" w:type="dxa"/>
            <w:tcBorders>
              <w:top w:val="single" w:color="auto" w:sz="12" w:space="0"/>
              <w:left w:val="single" w:color="auto" w:sz="6" w:space="0"/>
              <w:bottom w:val="single" w:color="auto" w:sz="6" w:space="0"/>
              <w:right w:val="single" w:color="auto" w:sz="12" w:space="0"/>
            </w:tcBorders>
            <w:noWrap w:val="0"/>
            <w:vAlign w:val="center"/>
          </w:tcPr>
          <w:p>
            <w:pPr>
              <w:jc w:val="center"/>
              <w:rPr>
                <w:rFonts w:hint="eastAsia" w:ascii="微软雅黑" w:hAnsi="微软雅黑" w:eastAsia="微软雅黑" w:cs="微软雅黑"/>
                <w:b/>
                <w:sz w:val="20"/>
                <w:szCs w:val="20"/>
                <w:highlight w:val="magenta"/>
              </w:rPr>
            </w:pPr>
            <w:r>
              <w:rPr>
                <w:rFonts w:hint="eastAsia" w:ascii="微软雅黑" w:hAnsi="微软雅黑" w:eastAsia="微软雅黑" w:cs="微软雅黑"/>
                <w:b/>
                <w:sz w:val="20"/>
                <w:szCs w:val="20"/>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rPr>
                <w:rFonts w:hint="eastAsia" w:ascii="微软雅黑" w:hAnsi="微软雅黑" w:eastAsia="微软雅黑" w:cs="微软雅黑"/>
                <w:b/>
                <w:sz w:val="20"/>
                <w:szCs w:val="20"/>
              </w:rPr>
            </w:pPr>
            <w:r>
              <w:rPr>
                <w:rFonts w:hint="eastAsia" w:ascii="微软雅黑" w:hAnsi="微软雅黑" w:eastAsia="微软雅黑" w:cs="微软雅黑"/>
                <w:sz w:val="20"/>
                <w:szCs w:val="20"/>
              </w:rPr>
              <w:t>对《投标人须知》的修改及补充：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一、说明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监管部门：同级或上级主管部门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rPr>
              <w:t>采购人名称：</w:t>
            </w:r>
            <w:r>
              <w:rPr>
                <w:rFonts w:hint="eastAsia" w:ascii="微软雅黑" w:hAnsi="微软雅黑" w:cs="微软雅黑"/>
                <w:sz w:val="20"/>
                <w:szCs w:val="20"/>
                <w:lang w:eastAsia="zh-CN"/>
              </w:rPr>
              <w:t>广州市增城自来水安装工程有限公司</w:t>
            </w:r>
          </w:p>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资金来源：企业自筹</w:t>
            </w:r>
          </w:p>
          <w:p>
            <w:pPr>
              <w:numPr>
                <w:ilvl w:val="0"/>
                <w:numId w:val="0"/>
              </w:num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本项目总价限价为：</w:t>
            </w:r>
          </w:p>
          <w:p>
            <w:pPr>
              <w:numPr>
                <w:ilvl w:val="0"/>
                <w:numId w:val="0"/>
              </w:num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项目总价限价：</w:t>
            </w:r>
            <w:r>
              <w:rPr>
                <w:rFonts w:hint="eastAsia" w:ascii="微软雅黑" w:hAnsi="微软雅黑" w:cs="微软雅黑"/>
                <w:sz w:val="20"/>
                <w:szCs w:val="20"/>
                <w:lang w:val="en-US" w:eastAsia="zh-CN"/>
              </w:rPr>
              <w:t>人民币</w:t>
            </w:r>
            <w:r>
              <w:rPr>
                <w:rFonts w:hint="eastAsia" w:ascii="宋体" w:hAnsi="宋体" w:eastAsia="宋体" w:cs="宋体"/>
                <w:b/>
                <w:bCs/>
                <w:i w:val="0"/>
                <w:iCs w:val="0"/>
                <w:color w:val="auto"/>
                <w:kern w:val="0"/>
                <w:sz w:val="22"/>
                <w:szCs w:val="22"/>
                <w:highlight w:val="none"/>
                <w:u w:val="none"/>
                <w:lang w:val="en-US" w:eastAsia="zh-CN" w:bidi="ar"/>
              </w:rPr>
              <w:t>3865677</w:t>
            </w:r>
            <w:r>
              <w:rPr>
                <w:rFonts w:hint="eastAsia" w:ascii="微软雅黑" w:hAnsi="微软雅黑" w:cs="微软雅黑"/>
                <w:sz w:val="20"/>
                <w:szCs w:val="20"/>
                <w:lang w:val="en-US" w:eastAsia="zh-CN"/>
              </w:rPr>
              <w:t>元；</w:t>
            </w:r>
          </w:p>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val="en-US" w:eastAsia="zh-CN"/>
              </w:rPr>
              <w:t>单价限价详见项目报价明细表。</w:t>
            </w:r>
          </w:p>
          <w:p>
            <w:pPr>
              <w:numPr>
                <w:ilvl w:val="0"/>
                <w:numId w:val="0"/>
              </w:numPr>
              <w:spacing w:line="360" w:lineRule="auto"/>
              <w:ind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各投标单位报价时须同时提供开标一览表（报价表）及项目</w:t>
            </w:r>
            <w:r>
              <w:rPr>
                <w:rFonts w:hint="eastAsia" w:ascii="微软雅黑" w:hAnsi="微软雅黑" w:eastAsia="微软雅黑" w:cs="微软雅黑"/>
                <w:sz w:val="20"/>
                <w:szCs w:val="20"/>
                <w:lang w:eastAsia="zh-CN"/>
              </w:rPr>
              <w:t>报价</w:t>
            </w:r>
            <w:r>
              <w:rPr>
                <w:rFonts w:hint="eastAsia" w:ascii="微软雅黑" w:hAnsi="微软雅黑" w:eastAsia="微软雅黑" w:cs="微软雅黑"/>
                <w:sz w:val="20"/>
                <w:szCs w:val="20"/>
              </w:rPr>
              <w:t>明细表，否则报价无效。</w:t>
            </w:r>
          </w:p>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rPr>
              <w:t>本项目报价不得高于项目的总价限价及单价限价，否则报价无效。</w:t>
            </w:r>
          </w:p>
          <w:p>
            <w:pPr>
              <w:numPr>
                <w:ilvl w:val="0"/>
                <w:numId w:val="0"/>
              </w:numPr>
              <w:spacing w:line="360" w:lineRule="auto"/>
              <w:ind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各投标单位须在电子文档中提交EXCEL版本的汇总表以便验算。</w:t>
            </w:r>
          </w:p>
          <w:p>
            <w:pPr>
              <w:pStyle w:val="2"/>
              <w:ind w:left="0" w:leftChars="0" w:firstLine="0" w:firstLineChars="0"/>
              <w:rPr>
                <w:rFonts w:hint="eastAsia"/>
              </w:rPr>
            </w:pPr>
            <w:r>
              <w:rPr>
                <w:rFonts w:hint="eastAsia" w:ascii="微软雅黑" w:hAnsi="微软雅黑" w:eastAsia="微软雅黑" w:cs="微软雅黑"/>
                <w:color w:val="FF0000"/>
                <w:sz w:val="20"/>
                <w:szCs w:val="20"/>
                <w:lang w:val="en-US" w:eastAsia="zh-CN"/>
              </w:rPr>
              <w:t>本项目采购人不承诺每项货物的采购数量，供应商取得任务的数量以采购人审批确定。供应商对产品数量无支配权。结算价格按照中标单价乘以实际供货数量据实结算。</w:t>
            </w:r>
          </w:p>
          <w:p>
            <w:pPr>
              <w:pStyle w:val="4"/>
              <w:rPr>
                <w:rFonts w:hint="eastAsia"/>
              </w:rPr>
            </w:pPr>
            <w:r>
              <w:rPr>
                <w:rFonts w:hint="eastAsia" w:ascii="微软雅黑" w:hAnsi="微软雅黑" w:eastAsia="微软雅黑" w:cs="微软雅黑"/>
                <w:b w:val="0"/>
                <w:bCs w:val="0"/>
                <w:color w:val="FF0000"/>
                <w:sz w:val="20"/>
                <w:szCs w:val="20"/>
                <w:lang w:eastAsia="zh-CN"/>
              </w:rPr>
              <w:t>若评标委员会认为投标人报价明显低于其他通过符合性审查投标人的报价，有可能影响产品质量或不能诚信履约的，应当要求其在评标现场合理的时间内提供书面说明，必要时提交相关证明材料（证明材料包含各项费用组成的成本明细、项目实施成本、税费、利润等的详细说明及相关佐证材料），投标人不能证明其报价合理性的，评标委员会应当将其作为无效投标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8"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1.3</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采购代理机构：广州宝诚招标代理咨询有限公司</w:t>
            </w:r>
          </w:p>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地址：</w:t>
            </w:r>
            <w:r>
              <w:rPr>
                <w:rFonts w:hint="eastAsia" w:ascii="微软雅黑" w:hAnsi="微软雅黑" w:eastAsia="微软雅黑" w:cs="微软雅黑"/>
                <w:color w:val="000000"/>
                <w:sz w:val="20"/>
                <w:szCs w:val="20"/>
              </w:rPr>
              <w:t>广州市番禺区南村镇敏捷上城国际一期2栋1806</w:t>
            </w:r>
          </w:p>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电话： 020-37887429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b/>
                <w:sz w:val="20"/>
                <w:szCs w:val="20"/>
              </w:rPr>
              <w:t>二、招标文件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集中答疑会或现场考察：不举行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投标截止日期和时间：按招标文件规定。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8"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b/>
                <w:color w:val="000000"/>
                <w:sz w:val="20"/>
                <w:szCs w:val="20"/>
              </w:rPr>
            </w:pPr>
            <w:r>
              <w:rPr>
                <w:rFonts w:hint="eastAsia" w:ascii="微软雅黑" w:hAnsi="微软雅黑" w:eastAsia="微软雅黑" w:cs="微软雅黑"/>
                <w:b/>
                <w:color w:val="000000"/>
                <w:sz w:val="20"/>
                <w:szCs w:val="20"/>
              </w:rPr>
              <w:t>三、投标文件的编制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投标人所报的投标价在合同执行过程中是固定不变的，不得以任何理由予以变更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不允许有备选方案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3.3</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不允许附加条件报价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7"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3.4</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sz w:val="20"/>
                <w:szCs w:val="20"/>
                <w:highlight w:val="none"/>
              </w:rPr>
            </w:pPr>
            <w:r>
              <w:rPr>
                <w:rFonts w:hint="eastAsia" w:ascii="微软雅黑" w:hAnsi="微软雅黑" w:eastAsia="微软雅黑" w:cs="微软雅黑"/>
                <w:sz w:val="20"/>
                <w:szCs w:val="20"/>
              </w:rPr>
              <w:t>1、</w:t>
            </w:r>
            <w:r>
              <w:rPr>
                <w:rFonts w:hint="eastAsia" w:ascii="微软雅黑" w:hAnsi="微软雅黑" w:eastAsia="微软雅黑" w:cs="微软雅黑"/>
                <w:sz w:val="20"/>
                <w:szCs w:val="20"/>
                <w:highlight w:val="none"/>
              </w:rPr>
              <w:t>投标保证金金额：￥</w:t>
            </w:r>
            <w:r>
              <w:rPr>
                <w:rFonts w:hint="eastAsia" w:ascii="微软雅黑" w:hAnsi="微软雅黑" w:cs="微软雅黑"/>
                <w:sz w:val="20"/>
                <w:szCs w:val="20"/>
                <w:highlight w:val="none"/>
                <w:lang w:val="en-US" w:eastAsia="zh-CN"/>
              </w:rPr>
              <w:t>60000</w:t>
            </w:r>
            <w:r>
              <w:rPr>
                <w:rFonts w:hint="eastAsia" w:ascii="微软雅黑" w:hAnsi="微软雅黑" w:eastAsia="微软雅黑" w:cs="微软雅黑"/>
                <w:sz w:val="20"/>
                <w:szCs w:val="20"/>
                <w:highlight w:val="none"/>
              </w:rPr>
              <w:t>元（人民币</w:t>
            </w:r>
            <w:r>
              <w:rPr>
                <w:rFonts w:hint="eastAsia" w:ascii="微软雅黑" w:hAnsi="微软雅黑" w:cs="微软雅黑"/>
                <w:bCs/>
                <w:color w:val="000000"/>
                <w:sz w:val="20"/>
                <w:szCs w:val="20"/>
                <w:highlight w:val="none"/>
                <w:lang w:val="en-US" w:eastAsia="zh-CN"/>
              </w:rPr>
              <w:t>陆万</w:t>
            </w:r>
            <w:r>
              <w:rPr>
                <w:rFonts w:hint="eastAsia" w:ascii="微软雅黑" w:hAnsi="微软雅黑" w:eastAsia="微软雅黑" w:cs="微软雅黑"/>
                <w:sz w:val="20"/>
                <w:szCs w:val="20"/>
                <w:highlight w:val="none"/>
              </w:rPr>
              <w:t>元整）</w:t>
            </w:r>
          </w:p>
          <w:p>
            <w:pPr>
              <w:spacing w:line="380" w:lineRule="exact"/>
              <w:rPr>
                <w:rFonts w:hint="eastAsia" w:ascii="微软雅黑" w:hAnsi="微软雅黑" w:eastAsia="微软雅黑" w:cs="微软雅黑"/>
                <w:sz w:val="20"/>
                <w:szCs w:val="20"/>
                <w:highlight w:val="none"/>
              </w:rPr>
            </w:pPr>
            <w:r>
              <w:rPr>
                <w:rFonts w:hint="eastAsia" w:ascii="微软雅黑" w:hAnsi="微软雅黑" w:eastAsia="微软雅黑" w:cs="微软雅黑"/>
                <w:bCs/>
                <w:sz w:val="20"/>
                <w:szCs w:val="20"/>
                <w:highlight w:val="none"/>
              </w:rPr>
              <w:t>2、</w:t>
            </w:r>
            <w:r>
              <w:rPr>
                <w:rFonts w:hint="eastAsia" w:ascii="微软雅黑" w:hAnsi="微软雅黑" w:eastAsia="微软雅黑" w:cs="微软雅黑"/>
                <w:sz w:val="20"/>
                <w:szCs w:val="20"/>
                <w:highlight w:val="none"/>
              </w:rPr>
              <w:t>投标保证金在</w:t>
            </w:r>
            <w:r>
              <w:rPr>
                <w:rFonts w:hint="eastAsia" w:ascii="微软雅黑" w:hAnsi="微软雅黑" w:eastAsia="微软雅黑" w:cs="微软雅黑"/>
                <w:color w:val="000000"/>
                <w:sz w:val="20"/>
                <w:szCs w:val="20"/>
                <w:highlight w:val="yellow"/>
              </w:rPr>
              <w:t>202</w:t>
            </w:r>
            <w:r>
              <w:rPr>
                <w:rFonts w:hint="eastAsia" w:ascii="微软雅黑" w:hAnsi="微软雅黑" w:eastAsia="微软雅黑" w:cs="微软雅黑"/>
                <w:color w:val="000000"/>
                <w:sz w:val="20"/>
                <w:szCs w:val="20"/>
                <w:highlight w:val="yellow"/>
                <w:lang w:val="en-US" w:eastAsia="zh-CN"/>
              </w:rPr>
              <w:t>1</w:t>
            </w:r>
            <w:r>
              <w:rPr>
                <w:rFonts w:hint="eastAsia" w:ascii="微软雅黑" w:hAnsi="微软雅黑" w:eastAsia="微软雅黑" w:cs="微软雅黑"/>
                <w:color w:val="000000"/>
                <w:sz w:val="20"/>
                <w:szCs w:val="20"/>
                <w:highlight w:val="yellow"/>
              </w:rPr>
              <w:t>年</w:t>
            </w:r>
            <w:r>
              <w:rPr>
                <w:rFonts w:hint="eastAsia" w:ascii="微软雅黑" w:hAnsi="微软雅黑" w:cs="微软雅黑"/>
                <w:bCs/>
                <w:color w:val="000000"/>
                <w:sz w:val="20"/>
                <w:szCs w:val="20"/>
                <w:highlight w:val="yellow"/>
                <w:lang w:val="en-US" w:eastAsia="zh-CN"/>
              </w:rPr>
              <w:t>10</w:t>
            </w:r>
            <w:r>
              <w:rPr>
                <w:rFonts w:hint="eastAsia" w:ascii="微软雅黑" w:hAnsi="微软雅黑" w:eastAsia="微软雅黑" w:cs="微软雅黑"/>
                <w:color w:val="000000"/>
                <w:sz w:val="20"/>
                <w:szCs w:val="20"/>
                <w:highlight w:val="yellow"/>
              </w:rPr>
              <w:t>月</w:t>
            </w:r>
            <w:r>
              <w:rPr>
                <w:rFonts w:hint="eastAsia" w:ascii="微软雅黑" w:hAnsi="微软雅黑" w:cs="微软雅黑"/>
                <w:bCs/>
                <w:color w:val="000000"/>
                <w:sz w:val="20"/>
                <w:szCs w:val="20"/>
                <w:highlight w:val="yellow"/>
                <w:lang w:val="en-US" w:eastAsia="zh-CN"/>
              </w:rPr>
              <w:t>18</w:t>
            </w:r>
            <w:r>
              <w:rPr>
                <w:rFonts w:hint="eastAsia" w:ascii="微软雅黑" w:hAnsi="微软雅黑" w:eastAsia="微软雅黑" w:cs="微软雅黑"/>
                <w:color w:val="000000"/>
                <w:sz w:val="20"/>
                <w:szCs w:val="20"/>
                <w:highlight w:val="yellow"/>
              </w:rPr>
              <w:t>日</w:t>
            </w:r>
            <w:r>
              <w:rPr>
                <w:rFonts w:hint="eastAsia" w:ascii="微软雅黑" w:hAnsi="微软雅黑" w:eastAsia="微软雅黑" w:cs="微软雅黑"/>
                <w:sz w:val="20"/>
                <w:szCs w:val="20"/>
                <w:highlight w:val="yellow"/>
              </w:rPr>
              <w:t>17:00前</w:t>
            </w:r>
            <w:r>
              <w:rPr>
                <w:rFonts w:hint="eastAsia" w:ascii="微软雅黑" w:hAnsi="微软雅黑" w:eastAsia="微软雅黑" w:cs="微软雅黑"/>
                <w:sz w:val="20"/>
                <w:szCs w:val="20"/>
                <w:highlight w:val="none"/>
              </w:rPr>
              <w:t>到达以下指定账号:</w:t>
            </w:r>
          </w:p>
          <w:p>
            <w:pPr>
              <w:spacing w:line="380" w:lineRule="exact"/>
              <w:ind w:left="337" w:leftChars="153"/>
              <w:rPr>
                <w:rFonts w:hint="eastAsia" w:ascii="微软雅黑" w:hAnsi="微软雅黑" w:eastAsia="微软雅黑" w:cs="微软雅黑"/>
                <w:sz w:val="20"/>
                <w:szCs w:val="20"/>
                <w:highlight w:val="none"/>
                <w:lang w:eastAsia="zh-CN"/>
              </w:rPr>
            </w:pPr>
            <w:r>
              <w:rPr>
                <w:rFonts w:hint="eastAsia" w:ascii="微软雅黑" w:hAnsi="微软雅黑" w:eastAsia="微软雅黑" w:cs="微软雅黑"/>
                <w:sz w:val="20"/>
                <w:szCs w:val="20"/>
                <w:highlight w:val="none"/>
              </w:rPr>
              <w:t>户  名：</w:t>
            </w:r>
            <w:r>
              <w:rPr>
                <w:rFonts w:hint="eastAsia" w:ascii="微软雅黑" w:hAnsi="微软雅黑" w:cs="微软雅黑"/>
                <w:sz w:val="20"/>
                <w:szCs w:val="20"/>
                <w:highlight w:val="none"/>
                <w:lang w:eastAsia="zh-CN"/>
              </w:rPr>
              <w:t>广州宝诚招标代理咨询有限公司</w:t>
            </w:r>
          </w:p>
          <w:p>
            <w:pPr>
              <w:spacing w:line="380" w:lineRule="exact"/>
              <w:ind w:left="337" w:leftChars="153"/>
              <w:rPr>
                <w:rFonts w:hint="default" w:ascii="微软雅黑" w:hAnsi="微软雅黑" w:eastAsia="微软雅黑" w:cs="微软雅黑"/>
                <w:sz w:val="20"/>
                <w:szCs w:val="20"/>
                <w:highlight w:val="none"/>
                <w:lang w:val="en-US" w:eastAsia="zh-CN"/>
              </w:rPr>
            </w:pPr>
            <w:r>
              <w:rPr>
                <w:rFonts w:hint="eastAsia" w:ascii="微软雅黑" w:hAnsi="微软雅黑" w:eastAsia="微软雅黑" w:cs="微软雅黑"/>
                <w:sz w:val="20"/>
                <w:szCs w:val="20"/>
                <w:highlight w:val="none"/>
              </w:rPr>
              <w:t>帐  号：9550 8802 0090 0000 188</w:t>
            </w:r>
          </w:p>
          <w:p>
            <w:pPr>
              <w:spacing w:line="380" w:lineRule="exact"/>
              <w:ind w:left="337" w:leftChars="153"/>
              <w:rPr>
                <w:rFonts w:hint="default" w:ascii="微软雅黑" w:hAnsi="微软雅黑" w:eastAsia="微软雅黑" w:cs="微软雅黑"/>
                <w:sz w:val="20"/>
                <w:szCs w:val="20"/>
                <w:highlight w:val="none"/>
                <w:lang w:val="en-US" w:eastAsia="zh-CN"/>
              </w:rPr>
            </w:pPr>
            <w:r>
              <w:rPr>
                <w:rFonts w:hint="eastAsia" w:ascii="微软雅黑" w:hAnsi="微软雅黑" w:eastAsia="微软雅黑" w:cs="微软雅黑"/>
                <w:sz w:val="20"/>
                <w:szCs w:val="20"/>
                <w:highlight w:val="none"/>
              </w:rPr>
              <w:t>开户行：广发银行广州龙洞支行</w:t>
            </w:r>
          </w:p>
          <w:p>
            <w:pPr>
              <w:spacing w:line="360" w:lineRule="auto"/>
              <w:ind w:left="337" w:leftChars="153"/>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注：</w:t>
            </w:r>
            <w:r>
              <w:rPr>
                <w:rFonts w:hint="eastAsia" w:ascii="微软雅黑" w:hAnsi="微软雅黑" w:eastAsia="微软雅黑" w:cs="微软雅黑"/>
                <w:b/>
                <w:sz w:val="20"/>
                <w:szCs w:val="20"/>
                <w:lang w:val="zh-CN"/>
              </w:rPr>
              <w:t>投标人请在缴款凭证"备注"栏写明</w:t>
            </w:r>
            <w:r>
              <w:rPr>
                <w:rFonts w:hint="eastAsia" w:ascii="微软雅黑" w:hAnsi="微软雅黑" w:eastAsia="微软雅黑" w:cs="微软雅黑"/>
                <w:b/>
                <w:sz w:val="20"/>
                <w:szCs w:val="20"/>
                <w:u w:val="single"/>
                <w:lang w:val="zh-CN"/>
              </w:rPr>
              <w:t xml:space="preserve">   </w:t>
            </w:r>
            <w:r>
              <w:rPr>
                <w:rFonts w:hint="eastAsia" w:ascii="微软雅黑" w:hAnsi="微软雅黑" w:cs="微软雅黑"/>
                <w:b/>
                <w:sz w:val="20"/>
                <w:szCs w:val="20"/>
                <w:u w:val="single"/>
                <w:lang w:val="zh-CN"/>
              </w:rPr>
              <w:t>GZBC21HG08004</w:t>
            </w:r>
            <w:r>
              <w:rPr>
                <w:rFonts w:hint="eastAsia" w:ascii="微软雅黑" w:hAnsi="微软雅黑" w:eastAsia="微软雅黑" w:cs="微软雅黑"/>
                <w:b/>
                <w:sz w:val="20"/>
                <w:szCs w:val="20"/>
                <w:u w:val="single"/>
              </w:rPr>
              <w:t>+项目简称</w:t>
            </w:r>
            <w:r>
              <w:rPr>
                <w:rFonts w:hint="eastAsia" w:ascii="微软雅黑" w:hAnsi="微软雅黑" w:eastAsia="微软雅黑" w:cs="微软雅黑"/>
                <w:b/>
                <w:sz w:val="20"/>
                <w:szCs w:val="20"/>
                <w:u w:val="single"/>
                <w:lang w:val="zh-CN"/>
              </w:rPr>
              <w:t xml:space="preserve">   </w:t>
            </w:r>
            <w:r>
              <w:rPr>
                <w:rFonts w:hint="eastAsia" w:ascii="微软雅黑" w:hAnsi="微软雅黑" w:eastAsia="微软雅黑" w:cs="微软雅黑"/>
                <w:b/>
                <w:sz w:val="20"/>
                <w:szCs w:val="20"/>
                <w:lang w:val="zh-CN"/>
              </w:rPr>
              <w:t>，以便查询。</w:t>
            </w:r>
          </w:p>
          <w:p>
            <w:pPr>
              <w:spacing w:line="380" w:lineRule="exact"/>
              <w:ind w:left="315" w:hanging="300" w:hanging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3、有效期：投标保证金应在投标有效期内有效。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3.5</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投标有效期：90天。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3.6</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投标文件份数：正本一份，副本</w:t>
            </w:r>
            <w:r>
              <w:rPr>
                <w:rFonts w:hint="eastAsia" w:ascii="微软雅黑" w:hAnsi="微软雅黑" w:cs="微软雅黑"/>
                <w:color w:val="000000"/>
                <w:sz w:val="20"/>
                <w:szCs w:val="20"/>
                <w:highlight w:val="none"/>
                <w:lang w:eastAsia="zh-CN"/>
              </w:rPr>
              <w:t>四</w:t>
            </w:r>
            <w:r>
              <w:rPr>
                <w:rFonts w:hint="eastAsia" w:ascii="微软雅黑" w:hAnsi="微软雅黑" w:eastAsia="微软雅黑" w:cs="微软雅黑"/>
                <w:color w:val="000000"/>
                <w:sz w:val="20"/>
                <w:szCs w:val="20"/>
              </w:rPr>
              <w:t>份，电子文件一份。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b/>
                <w:color w:val="000000"/>
                <w:sz w:val="20"/>
                <w:szCs w:val="20"/>
              </w:rPr>
            </w:pPr>
            <w:r>
              <w:rPr>
                <w:rFonts w:hint="eastAsia" w:ascii="微软雅黑" w:hAnsi="微软雅黑" w:eastAsia="微软雅黑" w:cs="微软雅黑"/>
                <w:b/>
                <w:color w:val="000000"/>
                <w:sz w:val="20"/>
                <w:szCs w:val="20"/>
              </w:rPr>
              <w:t>四、投标文件的递交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ind w:left="105" w:hanging="100" w:hangingChars="50"/>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投标文件递交地址：按招标文件投标邀请中规定。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开标日期、时间和地点：按招标文件投标邀请中规定。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color w:val="000000"/>
                <w:sz w:val="20"/>
                <w:szCs w:val="20"/>
              </w:rPr>
            </w:pPr>
            <w:r>
              <w:rPr>
                <w:rFonts w:hint="eastAsia" w:ascii="微软雅黑" w:hAnsi="微软雅黑" w:eastAsia="微软雅黑" w:cs="微软雅黑"/>
                <w:b/>
                <w:color w:val="000000"/>
                <w:sz w:val="20"/>
                <w:szCs w:val="20"/>
              </w:rPr>
              <w:t>五、开标与评标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lang w:val="zh-CN"/>
              </w:rPr>
              <w:t>评委委员会由</w:t>
            </w:r>
            <w:r>
              <w:rPr>
                <w:rFonts w:hint="eastAsia" w:ascii="微软雅黑" w:hAnsi="微软雅黑" w:eastAsia="微软雅黑" w:cs="微软雅黑"/>
                <w:sz w:val="20"/>
                <w:szCs w:val="20"/>
                <w:highlight w:val="none"/>
              </w:rPr>
              <w:t>5</w:t>
            </w:r>
            <w:r>
              <w:rPr>
                <w:rFonts w:hint="eastAsia" w:ascii="微软雅黑" w:hAnsi="微软雅黑" w:eastAsia="微软雅黑" w:cs="微软雅黑"/>
                <w:sz w:val="20"/>
                <w:szCs w:val="20"/>
                <w:lang w:val="zh-CN"/>
              </w:rPr>
              <w:t>名单数组成 ，若有业主代表参与评标则由专家库抽取的专家与采购人代表组成</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val="zh-CN"/>
              </w:rPr>
              <w:t>若无采购人代表参与评标，则由从专家库随机抽取的专家组成评标委员会。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 xml:space="preserve">评标方法：采用综合评分法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5.3</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bCs/>
                <w:color w:val="auto"/>
                <w:sz w:val="20"/>
                <w:szCs w:val="20"/>
                <w:lang w:eastAsia="zh-CN"/>
              </w:rPr>
            </w:pPr>
            <w:r>
              <w:rPr>
                <w:rFonts w:hint="eastAsia" w:ascii="微软雅黑" w:hAnsi="微软雅黑" w:eastAsia="微软雅黑" w:cs="微软雅黑"/>
                <w:bCs/>
                <w:color w:val="auto"/>
                <w:sz w:val="20"/>
                <w:szCs w:val="20"/>
              </w:rPr>
              <w:t>评标原则</w:t>
            </w:r>
            <w:r>
              <w:rPr>
                <w:rFonts w:hint="eastAsia" w:ascii="微软雅黑" w:hAnsi="微软雅黑" w:cs="微软雅黑"/>
                <w:bCs/>
                <w:color w:val="auto"/>
                <w:sz w:val="20"/>
                <w:szCs w:val="20"/>
                <w:lang w:eastAsia="zh-CN"/>
              </w:rPr>
              <w:t>：</w:t>
            </w:r>
          </w:p>
          <w:p>
            <w:pPr>
              <w:numPr>
                <w:ilvl w:val="0"/>
                <w:numId w:val="0"/>
              </w:numPr>
              <w:spacing w:line="360" w:lineRule="auto"/>
              <w:ind w:firstLine="0" w:firstLineChars="0"/>
              <w:rPr>
                <w:rFonts w:hint="eastAsia" w:ascii="微软雅黑" w:hAnsi="微软雅黑" w:eastAsia="微软雅黑" w:cs="微软雅黑"/>
                <w:bCs/>
                <w:color w:val="000000"/>
                <w:sz w:val="20"/>
                <w:szCs w:val="20"/>
              </w:rPr>
            </w:pPr>
            <w:r>
              <w:rPr>
                <w:rFonts w:hint="eastAsia" w:ascii="微软雅黑" w:hAnsi="微软雅黑" w:eastAsia="微软雅黑" w:cs="微软雅黑"/>
                <w:bCs/>
                <w:color w:val="FF0000"/>
                <w:sz w:val="20"/>
                <w:szCs w:val="20"/>
              </w:rPr>
              <w:t>本项目确定一家供应商。</w:t>
            </w:r>
            <w:r>
              <w:rPr>
                <w:rFonts w:hint="eastAsia" w:ascii="微软雅黑" w:hAnsi="微软雅黑" w:cs="微软雅黑"/>
                <w:bCs/>
                <w:color w:val="FF0000"/>
                <w:sz w:val="20"/>
                <w:szCs w:val="20"/>
                <w:lang w:eastAsia="zh-CN"/>
              </w:rPr>
              <w:t>评标委员会</w:t>
            </w:r>
            <w:r>
              <w:rPr>
                <w:rFonts w:hint="eastAsia" w:ascii="微软雅黑" w:hAnsi="微软雅黑" w:eastAsia="微软雅黑" w:cs="微软雅黑"/>
                <w:bCs/>
                <w:color w:val="FF0000"/>
                <w:sz w:val="20"/>
                <w:szCs w:val="20"/>
              </w:rPr>
              <w:t>推荐综合得分排名第一的投标人为第一中标候选人，排名第二的投标人为第二中标候选人。</w:t>
            </w:r>
            <w:r>
              <w:rPr>
                <w:rFonts w:hint="eastAsia" w:ascii="微软雅黑" w:hAnsi="微软雅黑" w:eastAsia="微软雅黑" w:cs="微软雅黑"/>
                <w:bCs/>
                <w:color w:val="FF0000"/>
                <w:sz w:val="20"/>
                <w:szCs w:val="20"/>
                <w:lang w:eastAsia="zh-CN"/>
              </w:rPr>
              <w:t>第二中标候选人报价高于第一中标候选人报价</w:t>
            </w:r>
            <w:r>
              <w:rPr>
                <w:rFonts w:hint="eastAsia" w:ascii="微软雅黑" w:hAnsi="微软雅黑" w:eastAsia="微软雅黑" w:cs="微软雅黑"/>
                <w:bCs/>
                <w:color w:val="FF0000"/>
                <w:sz w:val="20"/>
                <w:szCs w:val="20"/>
                <w:lang w:val="en-US" w:eastAsia="zh-CN"/>
              </w:rPr>
              <w:t>20%（含）以上的，只推荐1名中标候选人。第一中标候选人不得随意放弃中标资格。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b/>
                <w:sz w:val="20"/>
                <w:szCs w:val="20"/>
              </w:rPr>
              <w:t>六、授予合同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00" w:lineRule="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合同签订时间：自《中标通知书》发出之日起三十个日历天内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3"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履约担保</w:t>
            </w:r>
            <w:r>
              <w:rPr>
                <w:rFonts w:hint="eastAsia" w:ascii="微软雅黑" w:hAnsi="微软雅黑" w:cs="微软雅黑"/>
                <w:sz w:val="20"/>
                <w:szCs w:val="20"/>
                <w:lang w:eastAsia="zh-CN"/>
              </w:rPr>
              <w:t>（履约保证金等）</w:t>
            </w:r>
            <w:r>
              <w:rPr>
                <w:rFonts w:hint="eastAsia" w:ascii="微软雅黑" w:hAnsi="微软雅黑" w:eastAsia="微软雅黑" w:cs="微软雅黑"/>
                <w:sz w:val="20"/>
                <w:szCs w:val="20"/>
              </w:rPr>
              <w:t>：详见用户需求书、合同条款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color w:val="FF0000"/>
                <w:sz w:val="20"/>
                <w:szCs w:val="20"/>
              </w:rPr>
            </w:pPr>
            <w:r>
              <w:rPr>
                <w:rFonts w:hint="eastAsia" w:ascii="微软雅黑" w:hAnsi="微软雅黑" w:eastAsia="微软雅黑" w:cs="微软雅黑"/>
                <w:sz w:val="20"/>
                <w:szCs w:val="20"/>
              </w:rPr>
              <w:t>《合同通用条款》仅供参考，合同具体细则以采购人及中标人双方协定为准。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12" w:space="0"/>
              <w:right w:val="single" w:color="auto" w:sz="12" w:space="0"/>
            </w:tcBorders>
            <w:noWrap w:val="0"/>
            <w:vAlign w:val="center"/>
          </w:tcPr>
          <w:p>
            <w:pPr>
              <w:spacing w:line="380" w:lineRule="exact"/>
              <w:rPr>
                <w:rFonts w:hint="eastAsia" w:ascii="微软雅黑" w:hAnsi="微软雅黑" w:eastAsia="微软雅黑" w:cs="微软雅黑"/>
                <w:color w:val="FF0000"/>
                <w:sz w:val="20"/>
                <w:szCs w:val="20"/>
              </w:rPr>
            </w:pPr>
            <w:r>
              <w:rPr>
                <w:rFonts w:hint="eastAsia" w:ascii="微软雅黑" w:hAnsi="微软雅黑" w:eastAsia="微软雅黑" w:cs="微软雅黑"/>
                <w:sz w:val="20"/>
                <w:szCs w:val="20"/>
              </w:rPr>
              <w:t>补充条款：评审结果确定后，采购人根据需要通知评标委员会推荐的</w:t>
            </w:r>
            <w:r>
              <w:rPr>
                <w:rFonts w:hint="eastAsia" w:ascii="微软雅黑" w:hAnsi="微软雅黑" w:cs="微软雅黑"/>
                <w:color w:val="FF0000"/>
                <w:sz w:val="20"/>
                <w:szCs w:val="20"/>
                <w:lang w:eastAsia="zh-CN"/>
              </w:rPr>
              <w:t>第一中标候选人</w:t>
            </w:r>
            <w:r>
              <w:rPr>
                <w:rFonts w:hint="eastAsia" w:ascii="微软雅黑" w:hAnsi="微软雅黑" w:eastAsia="微软雅黑" w:cs="微软雅黑"/>
                <w:sz w:val="20"/>
                <w:szCs w:val="20"/>
              </w:rPr>
              <w:t>在2个工作日内，按投标文件中所列清单中的相关证件、证明文件、合同等文件的原件送采购人核对与投标人投标文件中的复印件是否一致。采购人在接到原件之日起3个工作日内，核对没有不一致的，须确认中标人；核对发现有不一致或第一中标候选人无正当理由不按时提供原件的，书面向采购代理机构提出，并报同级或上级主管部门核实后按投标无效处理。</w:t>
            </w:r>
          </w:p>
        </w:tc>
      </w:tr>
    </w:tbl>
    <w:p>
      <w:pPr>
        <w:spacing w:line="360" w:lineRule="auto"/>
        <w:jc w:val="center"/>
        <w:outlineLvl w:val="0"/>
        <w:rPr>
          <w:rFonts w:ascii="黑体" w:hAnsi="华文中宋" w:eastAsia="黑体" w:cs="华文中宋"/>
          <w:b/>
          <w:bCs/>
          <w:sz w:val="32"/>
          <w:szCs w:val="32"/>
        </w:rPr>
      </w:pPr>
      <w:r>
        <w:br w:type="page"/>
      </w:r>
      <w:bookmarkStart w:id="2" w:name="_Toc453957423"/>
      <w:bookmarkStart w:id="3" w:name="_Toc453956663"/>
      <w:r>
        <w:rPr>
          <w:rFonts w:hint="eastAsia" w:ascii="黑体" w:hAnsi="华文中宋" w:eastAsia="黑体" w:cs="华文中宋"/>
          <w:b/>
          <w:bCs/>
          <w:sz w:val="32"/>
          <w:szCs w:val="32"/>
        </w:rPr>
        <w:t>第三章  用户需求书</w:t>
      </w:r>
      <w:bookmarkEnd w:id="2"/>
      <w:bookmarkEnd w:id="3"/>
    </w:p>
    <w:p>
      <w:pPr>
        <w:spacing w:line="360" w:lineRule="auto"/>
        <w:ind w:left="-525" w:firstLine="269" w:firstLineChars="128"/>
        <w:jc w:val="center"/>
        <w:rPr>
          <w:rFonts w:hint="eastAsia" w:ascii="宋体"/>
          <w:b/>
          <w:sz w:val="21"/>
          <w:szCs w:val="21"/>
        </w:rPr>
      </w:pPr>
      <w:bookmarkStart w:id="4" w:name="_Toc481573221"/>
      <w:bookmarkEnd w:id="4"/>
      <w:bookmarkStart w:id="5" w:name="_Toc485022730"/>
      <w:bookmarkEnd w:id="5"/>
      <w:bookmarkStart w:id="6" w:name="_Toc481572646"/>
      <w:bookmarkEnd w:id="6"/>
      <w:bookmarkStart w:id="7" w:name="_Toc485022376"/>
      <w:bookmarkEnd w:id="7"/>
      <w:bookmarkStart w:id="8" w:name="_Toc485022450"/>
      <w:bookmarkEnd w:id="8"/>
      <w:bookmarkStart w:id="9" w:name="_Toc417632688"/>
      <w:bookmarkEnd w:id="9"/>
      <w:bookmarkStart w:id="10" w:name="_Toc485023216"/>
      <w:bookmarkEnd w:id="10"/>
      <w:bookmarkStart w:id="11" w:name="_Toc485024015"/>
      <w:bookmarkEnd w:id="11"/>
      <w:bookmarkStart w:id="12" w:name="_Toc485024104"/>
      <w:bookmarkEnd w:id="12"/>
      <w:bookmarkStart w:id="13" w:name="_Toc481572438"/>
      <w:bookmarkEnd w:id="13"/>
      <w:bookmarkStart w:id="14" w:name="_Toc481573495"/>
      <w:bookmarkEnd w:id="14"/>
      <w:bookmarkStart w:id="15" w:name="_Toc485024138"/>
      <w:bookmarkEnd w:id="15"/>
      <w:bookmarkStart w:id="16" w:name="_Toc481566498"/>
      <w:bookmarkEnd w:id="16"/>
      <w:bookmarkStart w:id="17" w:name="_Toc485023198"/>
      <w:bookmarkEnd w:id="17"/>
      <w:bookmarkStart w:id="18" w:name="_Toc481572486"/>
      <w:bookmarkEnd w:id="18"/>
      <w:bookmarkStart w:id="19" w:name="_Toc417513251"/>
      <w:bookmarkEnd w:id="19"/>
      <w:bookmarkStart w:id="20" w:name="_Toc485022362"/>
      <w:bookmarkEnd w:id="20"/>
      <w:bookmarkStart w:id="21" w:name="_Toc484792576"/>
      <w:bookmarkEnd w:id="21"/>
      <w:bookmarkStart w:id="22" w:name="_Toc485022619"/>
      <w:bookmarkEnd w:id="22"/>
      <w:bookmarkStart w:id="23" w:name="_Toc481573222"/>
      <w:bookmarkEnd w:id="23"/>
      <w:bookmarkStart w:id="24" w:name="_Toc485024232"/>
      <w:bookmarkEnd w:id="24"/>
      <w:bookmarkStart w:id="25" w:name="_Toc481573613"/>
      <w:bookmarkEnd w:id="25"/>
      <w:bookmarkStart w:id="26" w:name="_Toc481501946"/>
      <w:bookmarkEnd w:id="26"/>
      <w:bookmarkStart w:id="27" w:name="_Toc484792654"/>
      <w:bookmarkEnd w:id="27"/>
      <w:bookmarkStart w:id="28" w:name="_Toc481573499"/>
      <w:bookmarkEnd w:id="28"/>
      <w:bookmarkStart w:id="29" w:name="_Toc396921895"/>
      <w:bookmarkEnd w:id="29"/>
      <w:bookmarkStart w:id="30" w:name="_Toc481573652"/>
      <w:bookmarkEnd w:id="30"/>
      <w:bookmarkStart w:id="31" w:name="_Toc485023763"/>
      <w:bookmarkEnd w:id="31"/>
      <w:bookmarkStart w:id="32" w:name="_Toc485022711"/>
      <w:bookmarkEnd w:id="32"/>
      <w:bookmarkStart w:id="33" w:name="_Toc484792535"/>
      <w:bookmarkEnd w:id="33"/>
      <w:bookmarkStart w:id="34" w:name="_Toc485022513"/>
      <w:bookmarkEnd w:id="34"/>
      <w:bookmarkStart w:id="35" w:name="_Toc481566540"/>
      <w:bookmarkEnd w:id="35"/>
      <w:bookmarkStart w:id="36" w:name="_Toc481572685"/>
      <w:bookmarkEnd w:id="36"/>
      <w:bookmarkStart w:id="37" w:name="_Toc481502224"/>
      <w:bookmarkEnd w:id="37"/>
      <w:bookmarkStart w:id="38" w:name="_Toc481572078"/>
      <w:bookmarkEnd w:id="38"/>
      <w:bookmarkStart w:id="39" w:name="_Toc481571923"/>
      <w:bookmarkEnd w:id="39"/>
      <w:bookmarkStart w:id="40" w:name="_Toc485022466"/>
      <w:bookmarkEnd w:id="40"/>
      <w:bookmarkStart w:id="41" w:name="_Toc485023268"/>
      <w:bookmarkEnd w:id="41"/>
      <w:bookmarkStart w:id="42" w:name="_Toc481572971"/>
      <w:bookmarkEnd w:id="42"/>
      <w:bookmarkStart w:id="43" w:name="_Toc485024295"/>
      <w:bookmarkEnd w:id="43"/>
      <w:bookmarkStart w:id="44" w:name="_Toc484792638"/>
      <w:bookmarkEnd w:id="44"/>
      <w:bookmarkStart w:id="45" w:name="_Toc481572666"/>
      <w:bookmarkEnd w:id="45"/>
      <w:bookmarkStart w:id="46" w:name="_Toc481572330"/>
      <w:bookmarkEnd w:id="46"/>
      <w:bookmarkStart w:id="47" w:name="_Toc481569021"/>
      <w:bookmarkEnd w:id="47"/>
      <w:bookmarkStart w:id="48" w:name="_Toc484792562"/>
      <w:bookmarkEnd w:id="48"/>
      <w:bookmarkStart w:id="49" w:name="_Toc481572524"/>
      <w:bookmarkEnd w:id="49"/>
      <w:bookmarkStart w:id="50" w:name="_Toc485023997"/>
      <w:bookmarkEnd w:id="50"/>
      <w:bookmarkStart w:id="51" w:name="_Toc485022517"/>
      <w:bookmarkEnd w:id="51"/>
      <w:bookmarkStart w:id="52" w:name="_Toc484792520"/>
      <w:bookmarkEnd w:id="52"/>
      <w:bookmarkStart w:id="53" w:name="_Toc417637183"/>
      <w:bookmarkEnd w:id="53"/>
      <w:bookmarkStart w:id="54" w:name="_Toc462071170"/>
      <w:bookmarkEnd w:id="54"/>
      <w:bookmarkStart w:id="55" w:name="_Toc462231839"/>
      <w:bookmarkEnd w:id="55"/>
      <w:bookmarkStart w:id="56" w:name="_Toc485021784"/>
      <w:bookmarkEnd w:id="56"/>
      <w:bookmarkStart w:id="57" w:name="_Toc417814970"/>
      <w:bookmarkEnd w:id="57"/>
      <w:bookmarkStart w:id="58" w:name="_Toc485022137"/>
      <w:bookmarkEnd w:id="58"/>
      <w:bookmarkStart w:id="59" w:name="_Toc481571971"/>
      <w:bookmarkEnd w:id="59"/>
      <w:bookmarkStart w:id="60" w:name="_Toc485021673"/>
      <w:bookmarkEnd w:id="60"/>
      <w:bookmarkStart w:id="61" w:name="_Toc485022453"/>
      <w:bookmarkEnd w:id="61"/>
      <w:bookmarkStart w:id="62" w:name="_Toc481566528"/>
      <w:bookmarkEnd w:id="62"/>
      <w:bookmarkStart w:id="63" w:name="_Toc481568955"/>
      <w:bookmarkEnd w:id="63"/>
      <w:bookmarkStart w:id="64" w:name="_Toc481573135"/>
      <w:bookmarkEnd w:id="64"/>
      <w:bookmarkStart w:id="65" w:name="_Toc481572622"/>
      <w:bookmarkEnd w:id="65"/>
      <w:bookmarkStart w:id="66" w:name="_Toc481569119"/>
      <w:bookmarkEnd w:id="66"/>
      <w:bookmarkStart w:id="67" w:name="_Toc481568951"/>
      <w:bookmarkEnd w:id="67"/>
      <w:bookmarkStart w:id="68" w:name="_Toc481502037"/>
      <w:bookmarkEnd w:id="68"/>
      <w:bookmarkStart w:id="69" w:name="_Toc481566481"/>
      <w:bookmarkEnd w:id="69"/>
      <w:bookmarkStart w:id="70" w:name="_Toc481573617"/>
      <w:bookmarkEnd w:id="70"/>
      <w:bookmarkStart w:id="71" w:name="_Toc485021944"/>
      <w:bookmarkEnd w:id="71"/>
      <w:bookmarkStart w:id="72" w:name="_Toc481573564"/>
      <w:bookmarkEnd w:id="72"/>
      <w:bookmarkStart w:id="73" w:name="_Toc417818740"/>
      <w:bookmarkEnd w:id="73"/>
      <w:bookmarkStart w:id="74" w:name="_Toc485021824"/>
      <w:bookmarkEnd w:id="74"/>
      <w:bookmarkStart w:id="75" w:name="_Toc417818902"/>
      <w:bookmarkEnd w:id="75"/>
      <w:bookmarkStart w:id="76" w:name="_Toc417818981"/>
      <w:bookmarkEnd w:id="76"/>
      <w:bookmarkStart w:id="77" w:name="_Toc485022511"/>
      <w:bookmarkEnd w:id="77"/>
      <w:bookmarkStart w:id="78" w:name="_Toc481572021"/>
      <w:bookmarkEnd w:id="78"/>
      <w:bookmarkStart w:id="79" w:name="_Toc481568967"/>
      <w:bookmarkEnd w:id="79"/>
      <w:bookmarkStart w:id="80" w:name="_Toc481572670"/>
      <w:bookmarkEnd w:id="80"/>
      <w:bookmarkStart w:id="81" w:name="_Toc485023186"/>
      <w:bookmarkEnd w:id="81"/>
      <w:bookmarkStart w:id="82" w:name="_Toc417818741"/>
      <w:bookmarkEnd w:id="82"/>
      <w:bookmarkStart w:id="83" w:name="_Toc485021627"/>
      <w:bookmarkEnd w:id="83"/>
      <w:bookmarkStart w:id="84" w:name="_Toc481573345"/>
      <w:bookmarkEnd w:id="84"/>
      <w:bookmarkStart w:id="85" w:name="_Toc485022639"/>
      <w:bookmarkEnd w:id="85"/>
      <w:bookmarkStart w:id="86" w:name="_Toc481572970"/>
      <w:bookmarkEnd w:id="86"/>
      <w:bookmarkStart w:id="87" w:name="_Toc481572271"/>
      <w:bookmarkEnd w:id="87"/>
      <w:bookmarkStart w:id="88" w:name="_Toc481572453"/>
      <w:bookmarkEnd w:id="88"/>
      <w:bookmarkStart w:id="89" w:name="_Toc481572055"/>
      <w:bookmarkEnd w:id="89"/>
      <w:bookmarkStart w:id="90" w:name="_Toc485024068"/>
      <w:bookmarkEnd w:id="90"/>
      <w:bookmarkStart w:id="91" w:name="_Toc481569078"/>
      <w:bookmarkEnd w:id="91"/>
      <w:bookmarkStart w:id="92" w:name="_Toc481571947"/>
      <w:bookmarkEnd w:id="92"/>
      <w:bookmarkStart w:id="93" w:name="_Toc481573686"/>
      <w:bookmarkEnd w:id="93"/>
      <w:bookmarkStart w:id="94" w:name="_Toc485022077"/>
      <w:bookmarkEnd w:id="94"/>
      <w:bookmarkStart w:id="95" w:name="_Toc417401593"/>
      <w:bookmarkEnd w:id="95"/>
      <w:bookmarkStart w:id="96" w:name="_Toc484792510"/>
      <w:bookmarkEnd w:id="96"/>
      <w:bookmarkStart w:id="97" w:name="_Toc484792493"/>
      <w:bookmarkEnd w:id="97"/>
      <w:bookmarkStart w:id="98" w:name="_Toc481573423"/>
      <w:bookmarkEnd w:id="98"/>
      <w:bookmarkStart w:id="99" w:name="_Toc485021696"/>
      <w:bookmarkEnd w:id="99"/>
      <w:bookmarkStart w:id="100" w:name="_Toc417632600"/>
      <w:bookmarkEnd w:id="100"/>
      <w:bookmarkStart w:id="101" w:name="_Toc417327246"/>
      <w:bookmarkEnd w:id="101"/>
      <w:bookmarkStart w:id="102" w:name="_Toc481572954"/>
      <w:bookmarkEnd w:id="102"/>
      <w:bookmarkStart w:id="103" w:name="_Toc481573456"/>
      <w:bookmarkEnd w:id="103"/>
      <w:bookmarkStart w:id="104" w:name="_Toc485022197"/>
      <w:bookmarkEnd w:id="104"/>
      <w:bookmarkStart w:id="105" w:name="_Toc485021791"/>
      <w:bookmarkEnd w:id="105"/>
      <w:bookmarkStart w:id="106" w:name="_Toc485024352"/>
      <w:bookmarkEnd w:id="106"/>
      <w:bookmarkStart w:id="107" w:name="_Toc485024019"/>
      <w:bookmarkEnd w:id="107"/>
      <w:bookmarkStart w:id="108" w:name="_Toc481573250"/>
      <w:bookmarkEnd w:id="108"/>
      <w:bookmarkStart w:id="109" w:name="_Toc485022667"/>
      <w:bookmarkEnd w:id="109"/>
      <w:bookmarkStart w:id="110" w:name="_Toc417513449"/>
      <w:bookmarkEnd w:id="110"/>
      <w:bookmarkStart w:id="111" w:name="_Toc481573033"/>
      <w:bookmarkEnd w:id="111"/>
      <w:bookmarkStart w:id="112" w:name="_Toc481573052"/>
      <w:bookmarkEnd w:id="112"/>
      <w:bookmarkStart w:id="113" w:name="_Toc481573203"/>
      <w:bookmarkEnd w:id="113"/>
      <w:bookmarkStart w:id="114" w:name="_Toc481502401"/>
      <w:bookmarkEnd w:id="114"/>
      <w:bookmarkStart w:id="115" w:name="_Toc485022449"/>
      <w:bookmarkEnd w:id="115"/>
      <w:bookmarkStart w:id="116" w:name="_Toc462071064"/>
      <w:bookmarkEnd w:id="116"/>
      <w:bookmarkStart w:id="117" w:name="_Toc485024222"/>
      <w:bookmarkEnd w:id="117"/>
      <w:bookmarkStart w:id="118" w:name="_Toc485023873"/>
      <w:bookmarkEnd w:id="118"/>
      <w:bookmarkStart w:id="119" w:name="_Toc484792597"/>
      <w:bookmarkEnd w:id="119"/>
      <w:bookmarkStart w:id="120" w:name="_Toc485021966"/>
      <w:bookmarkEnd w:id="120"/>
      <w:bookmarkStart w:id="121" w:name="_Toc485022296"/>
      <w:bookmarkEnd w:id="121"/>
      <w:bookmarkStart w:id="122" w:name="_Toc481573688"/>
      <w:bookmarkEnd w:id="122"/>
      <w:bookmarkStart w:id="123" w:name="_Toc481572258"/>
      <w:bookmarkEnd w:id="123"/>
      <w:bookmarkStart w:id="124" w:name="_Toc485022196"/>
      <w:bookmarkEnd w:id="124"/>
      <w:bookmarkStart w:id="125" w:name="_Toc481572439"/>
      <w:bookmarkEnd w:id="125"/>
      <w:bookmarkStart w:id="126" w:name="_Toc481572737"/>
      <w:bookmarkEnd w:id="126"/>
      <w:bookmarkStart w:id="127" w:name="_Toc481566426"/>
      <w:bookmarkEnd w:id="127"/>
      <w:bookmarkStart w:id="128" w:name="_Toc485023896"/>
      <w:bookmarkEnd w:id="128"/>
      <w:bookmarkStart w:id="129" w:name="_Toc481573709"/>
      <w:bookmarkEnd w:id="129"/>
      <w:bookmarkStart w:id="130" w:name="_Toc485022631"/>
      <w:bookmarkEnd w:id="130"/>
      <w:bookmarkStart w:id="131" w:name="_Toc417818874"/>
      <w:bookmarkEnd w:id="131"/>
      <w:bookmarkStart w:id="132" w:name="_Toc481573136"/>
      <w:bookmarkEnd w:id="132"/>
      <w:bookmarkStart w:id="133" w:name="_Toc485022076"/>
      <w:bookmarkEnd w:id="133"/>
      <w:bookmarkStart w:id="134" w:name="_Toc485022509"/>
      <w:bookmarkEnd w:id="134"/>
      <w:bookmarkStart w:id="135" w:name="_Toc485022136"/>
      <w:bookmarkEnd w:id="135"/>
      <w:bookmarkStart w:id="136" w:name="_Toc481573490"/>
      <w:bookmarkEnd w:id="136"/>
      <w:bookmarkStart w:id="137" w:name="_Toc485023972"/>
      <w:bookmarkEnd w:id="137"/>
      <w:bookmarkStart w:id="138" w:name="_Toc481572724"/>
      <w:bookmarkEnd w:id="138"/>
      <w:bookmarkStart w:id="139" w:name="_Toc481573726"/>
      <w:bookmarkEnd w:id="139"/>
      <w:bookmarkStart w:id="140" w:name="_Toc484792402"/>
      <w:bookmarkEnd w:id="140"/>
      <w:bookmarkStart w:id="141" w:name="_Toc485022568"/>
      <w:bookmarkEnd w:id="141"/>
      <w:bookmarkStart w:id="142" w:name="_Toc481573132"/>
      <w:bookmarkEnd w:id="142"/>
      <w:bookmarkStart w:id="143" w:name="_Toc481569002"/>
      <w:bookmarkEnd w:id="143"/>
      <w:bookmarkStart w:id="144" w:name="_Toc484792440"/>
      <w:bookmarkEnd w:id="144"/>
      <w:bookmarkStart w:id="145" w:name="_Toc485021724"/>
      <w:bookmarkEnd w:id="145"/>
      <w:bookmarkStart w:id="146" w:name="_Toc484792758"/>
      <w:bookmarkEnd w:id="146"/>
      <w:bookmarkStart w:id="147" w:name="_Toc485022726"/>
      <w:bookmarkEnd w:id="147"/>
      <w:bookmarkStart w:id="148" w:name="_Toc417815024"/>
      <w:bookmarkEnd w:id="148"/>
      <w:bookmarkStart w:id="149" w:name="_Toc484792791"/>
      <w:bookmarkEnd w:id="149"/>
      <w:bookmarkStart w:id="150" w:name="_Toc481572056"/>
      <w:bookmarkEnd w:id="150"/>
      <w:bookmarkStart w:id="151" w:name="_Toc417514049"/>
      <w:bookmarkEnd w:id="151"/>
      <w:bookmarkStart w:id="152" w:name="_Toc484792689"/>
      <w:bookmarkEnd w:id="152"/>
      <w:bookmarkStart w:id="153" w:name="_Toc481573024"/>
      <w:bookmarkEnd w:id="153"/>
      <w:bookmarkStart w:id="154" w:name="_Toc485021674"/>
      <w:bookmarkEnd w:id="154"/>
      <w:bookmarkStart w:id="155" w:name="_Toc485022145"/>
      <w:bookmarkEnd w:id="155"/>
      <w:bookmarkStart w:id="156" w:name="_Toc484792428"/>
      <w:bookmarkEnd w:id="156"/>
      <w:bookmarkStart w:id="157" w:name="_Toc481573370"/>
      <w:bookmarkEnd w:id="157"/>
      <w:bookmarkStart w:id="158" w:name="_Toc485022301"/>
      <w:bookmarkEnd w:id="158"/>
      <w:bookmarkStart w:id="159" w:name="_Toc485022414"/>
      <w:bookmarkEnd w:id="159"/>
      <w:bookmarkStart w:id="160" w:name="_Toc485022397"/>
      <w:bookmarkEnd w:id="160"/>
      <w:bookmarkStart w:id="161" w:name="_Toc481573724"/>
      <w:bookmarkEnd w:id="161"/>
      <w:bookmarkStart w:id="162" w:name="_Toc485021922"/>
      <w:bookmarkEnd w:id="162"/>
      <w:bookmarkStart w:id="163" w:name="_Toc481572551"/>
      <w:bookmarkEnd w:id="163"/>
      <w:bookmarkStart w:id="164" w:name="_Toc481572206"/>
      <w:bookmarkEnd w:id="164"/>
      <w:bookmarkStart w:id="165" w:name="_Toc484792594"/>
      <w:bookmarkEnd w:id="165"/>
      <w:bookmarkStart w:id="166" w:name="_Toc485022232"/>
      <w:bookmarkEnd w:id="166"/>
      <w:bookmarkStart w:id="167" w:name="_Toc481573190"/>
      <w:bookmarkEnd w:id="167"/>
      <w:bookmarkStart w:id="168" w:name="_Toc485022051"/>
      <w:bookmarkEnd w:id="168"/>
      <w:bookmarkStart w:id="169" w:name="_Toc481572318"/>
      <w:bookmarkEnd w:id="169"/>
      <w:bookmarkStart w:id="170" w:name="_Toc485024200"/>
      <w:bookmarkEnd w:id="170"/>
      <w:bookmarkStart w:id="171" w:name="_Toc485022617"/>
      <w:bookmarkEnd w:id="171"/>
      <w:bookmarkStart w:id="172" w:name="_Toc481573088"/>
      <w:bookmarkEnd w:id="172"/>
      <w:bookmarkStart w:id="173" w:name="_Toc485022578"/>
      <w:bookmarkEnd w:id="173"/>
      <w:bookmarkStart w:id="174" w:name="_Toc481572436"/>
      <w:bookmarkEnd w:id="174"/>
      <w:bookmarkStart w:id="175" w:name="_Toc481568975"/>
      <w:bookmarkEnd w:id="175"/>
      <w:bookmarkStart w:id="176" w:name="_Toc481502243"/>
      <w:bookmarkEnd w:id="176"/>
      <w:bookmarkStart w:id="177" w:name="_Toc481566427"/>
      <w:bookmarkEnd w:id="177"/>
      <w:bookmarkStart w:id="178" w:name="_Toc485022355"/>
      <w:bookmarkEnd w:id="178"/>
      <w:bookmarkStart w:id="179" w:name="_Toc485022183"/>
      <w:bookmarkEnd w:id="179"/>
      <w:bookmarkStart w:id="180" w:name="_Toc485022267"/>
      <w:bookmarkEnd w:id="180"/>
      <w:bookmarkStart w:id="181" w:name="_Toc417818682"/>
      <w:bookmarkEnd w:id="181"/>
      <w:bookmarkStart w:id="182" w:name="_Toc481572856"/>
      <w:bookmarkEnd w:id="182"/>
      <w:bookmarkStart w:id="183" w:name="_Toc485023161"/>
      <w:bookmarkEnd w:id="183"/>
      <w:bookmarkStart w:id="184" w:name="_Toc484792427"/>
      <w:bookmarkEnd w:id="184"/>
      <w:bookmarkStart w:id="185" w:name="_Toc417815252"/>
      <w:bookmarkEnd w:id="185"/>
      <w:bookmarkStart w:id="186" w:name="_Toc481572292"/>
      <w:bookmarkEnd w:id="186"/>
      <w:bookmarkStart w:id="187" w:name="_Toc485022594"/>
      <w:bookmarkEnd w:id="187"/>
      <w:bookmarkStart w:id="188" w:name="_Toc485024245"/>
      <w:bookmarkEnd w:id="188"/>
      <w:bookmarkStart w:id="189" w:name="_Toc481571984"/>
      <w:bookmarkEnd w:id="189"/>
      <w:bookmarkStart w:id="190" w:name="_Toc481571972"/>
      <w:bookmarkEnd w:id="190"/>
      <w:bookmarkStart w:id="191" w:name="_Toc481573670"/>
      <w:bookmarkEnd w:id="191"/>
      <w:bookmarkStart w:id="192" w:name="_Toc481572096"/>
      <w:bookmarkEnd w:id="192"/>
      <w:bookmarkStart w:id="193" w:name="_Toc481573147"/>
      <w:bookmarkEnd w:id="193"/>
      <w:bookmarkStart w:id="194" w:name="_Toc417637076"/>
      <w:bookmarkEnd w:id="194"/>
      <w:bookmarkStart w:id="195" w:name="_Toc481502021"/>
      <w:bookmarkEnd w:id="195"/>
      <w:bookmarkStart w:id="196" w:name="_Toc417637368"/>
      <w:bookmarkEnd w:id="196"/>
      <w:bookmarkStart w:id="197" w:name="_Toc481573097"/>
      <w:bookmarkEnd w:id="197"/>
      <w:bookmarkStart w:id="198" w:name="_Toc484792448"/>
      <w:bookmarkEnd w:id="198"/>
      <w:bookmarkStart w:id="199" w:name="_Toc484792653"/>
      <w:bookmarkEnd w:id="199"/>
      <w:bookmarkStart w:id="200" w:name="_Toc485023782"/>
      <w:bookmarkEnd w:id="200"/>
      <w:bookmarkStart w:id="201" w:name="_Toc485022701"/>
      <w:bookmarkEnd w:id="201"/>
      <w:bookmarkStart w:id="202" w:name="_Toc485023797"/>
      <w:bookmarkEnd w:id="202"/>
      <w:bookmarkStart w:id="203" w:name="_Toc485022633"/>
      <w:bookmarkEnd w:id="203"/>
      <w:bookmarkStart w:id="204" w:name="_Toc481572200"/>
      <w:bookmarkEnd w:id="204"/>
      <w:bookmarkStart w:id="205" w:name="_Toc462231855"/>
      <w:bookmarkEnd w:id="205"/>
      <w:bookmarkStart w:id="206" w:name="_Toc481573554"/>
      <w:bookmarkEnd w:id="206"/>
      <w:bookmarkStart w:id="207" w:name="_Toc481566535"/>
      <w:bookmarkEnd w:id="207"/>
      <w:bookmarkStart w:id="208" w:name="_Toc481573728"/>
      <w:bookmarkEnd w:id="208"/>
      <w:bookmarkStart w:id="209" w:name="_Toc485022597"/>
      <w:bookmarkEnd w:id="209"/>
      <w:bookmarkStart w:id="210" w:name="_Toc485023994"/>
      <w:bookmarkEnd w:id="210"/>
      <w:bookmarkStart w:id="211" w:name="_Toc481572392"/>
      <w:bookmarkEnd w:id="211"/>
      <w:bookmarkStart w:id="212" w:name="_Toc485023223"/>
      <w:bookmarkEnd w:id="212"/>
      <w:bookmarkStart w:id="213" w:name="_Toc481573614"/>
      <w:bookmarkEnd w:id="213"/>
      <w:bookmarkStart w:id="214" w:name="_Toc396921843"/>
      <w:bookmarkEnd w:id="214"/>
      <w:bookmarkStart w:id="215" w:name="_Toc481572855"/>
      <w:bookmarkEnd w:id="215"/>
      <w:bookmarkStart w:id="216" w:name="_Toc485024394"/>
      <w:bookmarkEnd w:id="216"/>
      <w:bookmarkStart w:id="217" w:name="_Toc481572289"/>
      <w:bookmarkEnd w:id="217"/>
      <w:bookmarkStart w:id="218" w:name="_Toc484792425"/>
      <w:bookmarkEnd w:id="218"/>
      <w:bookmarkStart w:id="219" w:name="_Toc417818814"/>
      <w:bookmarkEnd w:id="219"/>
      <w:bookmarkStart w:id="220" w:name="_Toc485022017"/>
      <w:bookmarkEnd w:id="220"/>
      <w:bookmarkStart w:id="221" w:name="_Toc484792474"/>
      <w:bookmarkEnd w:id="221"/>
      <w:bookmarkStart w:id="222" w:name="_Toc481572899"/>
      <w:bookmarkEnd w:id="222"/>
      <w:bookmarkStart w:id="223" w:name="_Toc481571986"/>
      <w:bookmarkEnd w:id="223"/>
      <w:bookmarkStart w:id="224" w:name="_Toc485022295"/>
      <w:bookmarkEnd w:id="224"/>
      <w:bookmarkStart w:id="225" w:name="_Toc481566499"/>
      <w:bookmarkEnd w:id="225"/>
      <w:bookmarkStart w:id="226" w:name="_Toc481572204"/>
      <w:bookmarkEnd w:id="226"/>
      <w:bookmarkStart w:id="227" w:name="_Toc417513930"/>
      <w:bookmarkEnd w:id="227"/>
      <w:bookmarkStart w:id="228" w:name="_Toc481572272"/>
      <w:bookmarkEnd w:id="228"/>
      <w:bookmarkStart w:id="229" w:name="_Toc481573732"/>
      <w:bookmarkEnd w:id="229"/>
      <w:bookmarkStart w:id="230" w:name="_Toc417815217"/>
      <w:bookmarkEnd w:id="230"/>
      <w:bookmarkStart w:id="231" w:name="_Toc481566430"/>
      <w:bookmarkEnd w:id="231"/>
      <w:bookmarkStart w:id="232" w:name="_Toc417815224"/>
      <w:bookmarkEnd w:id="232"/>
      <w:bookmarkStart w:id="233" w:name="_Toc481572159"/>
      <w:bookmarkEnd w:id="233"/>
      <w:bookmarkStart w:id="234" w:name="_Toc485024179"/>
      <w:bookmarkEnd w:id="234"/>
      <w:bookmarkStart w:id="235" w:name="_Toc485021990"/>
      <w:bookmarkEnd w:id="235"/>
      <w:bookmarkStart w:id="236" w:name="_Toc485021964"/>
      <w:bookmarkEnd w:id="236"/>
      <w:bookmarkStart w:id="237" w:name="_Toc481571925"/>
      <w:bookmarkEnd w:id="237"/>
      <w:bookmarkStart w:id="238" w:name="_Toc485021775"/>
      <w:bookmarkEnd w:id="238"/>
      <w:bookmarkStart w:id="239" w:name="_Toc481572020"/>
      <w:bookmarkEnd w:id="239"/>
      <w:bookmarkStart w:id="240" w:name="_Toc485022501"/>
      <w:bookmarkEnd w:id="240"/>
      <w:bookmarkStart w:id="241" w:name="_Toc485022184"/>
      <w:bookmarkEnd w:id="241"/>
      <w:bookmarkStart w:id="242" w:name="_Toc481572390"/>
      <w:bookmarkEnd w:id="242"/>
      <w:bookmarkStart w:id="243" w:name="_Toc484792637"/>
      <w:bookmarkEnd w:id="243"/>
      <w:bookmarkStart w:id="244" w:name="_Toc485022034"/>
      <w:bookmarkEnd w:id="244"/>
      <w:bookmarkStart w:id="245" w:name="_Toc485023747"/>
      <w:bookmarkEnd w:id="245"/>
      <w:bookmarkStart w:id="246" w:name="_Toc481573133"/>
      <w:bookmarkEnd w:id="246"/>
      <w:bookmarkStart w:id="247" w:name="_Toc481573437"/>
      <w:bookmarkEnd w:id="247"/>
      <w:bookmarkStart w:id="248" w:name="_Toc485022570"/>
      <w:bookmarkEnd w:id="248"/>
      <w:bookmarkStart w:id="249" w:name="_Toc485023936"/>
      <w:bookmarkEnd w:id="249"/>
      <w:bookmarkStart w:id="250" w:name="_Toc481502133"/>
      <w:bookmarkEnd w:id="250"/>
      <w:bookmarkStart w:id="251" w:name="_Toc481571983"/>
      <w:bookmarkEnd w:id="251"/>
      <w:bookmarkStart w:id="252" w:name="_Toc485022104"/>
      <w:bookmarkEnd w:id="252"/>
      <w:bookmarkStart w:id="253" w:name="_Toc485023788"/>
      <w:bookmarkEnd w:id="253"/>
      <w:bookmarkStart w:id="254" w:name="_Toc485023808"/>
      <w:bookmarkEnd w:id="254"/>
      <w:bookmarkStart w:id="255" w:name="_Toc485024141"/>
      <w:bookmarkEnd w:id="255"/>
      <w:bookmarkStart w:id="256" w:name="_Toc484792595"/>
      <w:bookmarkEnd w:id="256"/>
      <w:bookmarkStart w:id="257" w:name="_Toc417513902"/>
      <w:bookmarkEnd w:id="257"/>
      <w:bookmarkStart w:id="258" w:name="_Toc484792389"/>
      <w:bookmarkEnd w:id="258"/>
      <w:bookmarkStart w:id="259" w:name="_Toc485024201"/>
      <w:bookmarkEnd w:id="259"/>
      <w:bookmarkStart w:id="260" w:name="_Toc484792604"/>
      <w:bookmarkEnd w:id="260"/>
      <w:bookmarkStart w:id="261" w:name="_Toc485022486"/>
      <w:bookmarkEnd w:id="261"/>
      <w:bookmarkStart w:id="262" w:name="_Toc417819114"/>
      <w:bookmarkEnd w:id="262"/>
      <w:bookmarkStart w:id="263" w:name="_Toc481573369"/>
      <w:bookmarkEnd w:id="263"/>
      <w:bookmarkStart w:id="264" w:name="_Toc485023302"/>
      <w:bookmarkEnd w:id="264"/>
      <w:bookmarkStart w:id="265" w:name="_Toc485022550"/>
      <w:bookmarkEnd w:id="265"/>
      <w:bookmarkStart w:id="266" w:name="_Toc417819124"/>
      <w:bookmarkEnd w:id="266"/>
      <w:bookmarkStart w:id="267" w:name="_Toc481572623"/>
      <w:bookmarkEnd w:id="267"/>
      <w:bookmarkStart w:id="268" w:name="_Toc485022598"/>
      <w:bookmarkEnd w:id="268"/>
      <w:bookmarkStart w:id="269" w:name="_Toc417814747"/>
      <w:bookmarkEnd w:id="269"/>
      <w:bookmarkStart w:id="270" w:name="_Toc481502260"/>
      <w:bookmarkEnd w:id="270"/>
      <w:bookmarkStart w:id="271" w:name="_Toc485021982"/>
      <w:bookmarkEnd w:id="271"/>
      <w:bookmarkStart w:id="272" w:name="_Toc481571968"/>
      <w:bookmarkEnd w:id="272"/>
      <w:bookmarkStart w:id="273" w:name="_Toc485023180"/>
      <w:bookmarkEnd w:id="273"/>
      <w:bookmarkStart w:id="274" w:name="_Toc485024021"/>
      <w:bookmarkEnd w:id="274"/>
      <w:bookmarkStart w:id="275" w:name="_Toc481573578"/>
      <w:bookmarkEnd w:id="275"/>
      <w:bookmarkStart w:id="276" w:name="_Toc481573149"/>
      <w:bookmarkEnd w:id="276"/>
      <w:bookmarkStart w:id="277" w:name="_Toc481572038"/>
      <w:bookmarkEnd w:id="277"/>
      <w:bookmarkStart w:id="278" w:name="_Toc481573138"/>
      <w:bookmarkEnd w:id="278"/>
      <w:bookmarkStart w:id="279" w:name="_Toc417637048"/>
      <w:bookmarkEnd w:id="279"/>
      <w:bookmarkStart w:id="280" w:name="_Toc481573261"/>
      <w:bookmarkEnd w:id="280"/>
      <w:bookmarkStart w:id="281" w:name="_Toc484792727"/>
      <w:bookmarkEnd w:id="281"/>
      <w:bookmarkStart w:id="282" w:name="_Toc484792534"/>
      <w:bookmarkEnd w:id="282"/>
      <w:bookmarkStart w:id="283" w:name="_Toc485023249"/>
      <w:bookmarkEnd w:id="283"/>
      <w:bookmarkStart w:id="284" w:name="_Toc417815164"/>
      <w:bookmarkEnd w:id="284"/>
      <w:bookmarkStart w:id="285" w:name="_Toc481566425"/>
      <w:bookmarkEnd w:id="285"/>
      <w:bookmarkStart w:id="286" w:name="_Toc485022467"/>
      <w:bookmarkEnd w:id="286"/>
      <w:bookmarkStart w:id="287" w:name="_Toc481502411"/>
      <w:bookmarkEnd w:id="287"/>
      <w:bookmarkStart w:id="288" w:name="_Toc481502395"/>
      <w:bookmarkEnd w:id="288"/>
      <w:bookmarkStart w:id="289" w:name="_Toc481572448"/>
      <w:bookmarkEnd w:id="289"/>
      <w:bookmarkStart w:id="290" w:name="_Toc481573476"/>
      <w:bookmarkEnd w:id="290"/>
      <w:bookmarkStart w:id="291" w:name="_Toc485022728"/>
      <w:bookmarkEnd w:id="291"/>
      <w:bookmarkStart w:id="292" w:name="_Toc481572370"/>
      <w:bookmarkEnd w:id="292"/>
      <w:bookmarkStart w:id="293" w:name="_Toc481573302"/>
      <w:bookmarkEnd w:id="293"/>
      <w:bookmarkStart w:id="294" w:name="_Toc485021921"/>
      <w:bookmarkEnd w:id="294"/>
      <w:bookmarkStart w:id="295" w:name="_Toc485023200"/>
      <w:bookmarkEnd w:id="295"/>
      <w:bookmarkStart w:id="296" w:name="_Toc481569004"/>
      <w:bookmarkEnd w:id="296"/>
      <w:bookmarkStart w:id="297" w:name="_Toc485024000"/>
      <w:bookmarkEnd w:id="297"/>
      <w:bookmarkStart w:id="298" w:name="_Toc417814843"/>
      <w:bookmarkEnd w:id="298"/>
      <w:bookmarkStart w:id="299" w:name="_Toc481573187"/>
      <w:bookmarkEnd w:id="299"/>
      <w:bookmarkStart w:id="300" w:name="_Toc481572093"/>
      <w:bookmarkEnd w:id="300"/>
      <w:bookmarkStart w:id="301" w:name="_Toc417632653"/>
      <w:bookmarkEnd w:id="301"/>
      <w:bookmarkStart w:id="302" w:name="_Toc485024146"/>
      <w:bookmarkEnd w:id="302"/>
      <w:bookmarkStart w:id="303" w:name="_Toc481566536"/>
      <w:bookmarkEnd w:id="303"/>
      <w:bookmarkStart w:id="304" w:name="_Toc485024034"/>
      <w:bookmarkEnd w:id="304"/>
      <w:bookmarkStart w:id="305" w:name="_Toc481572671"/>
      <w:bookmarkEnd w:id="305"/>
      <w:bookmarkStart w:id="306" w:name="_Toc481573262"/>
      <w:bookmarkEnd w:id="306"/>
      <w:bookmarkStart w:id="307" w:name="_Toc485023897"/>
      <w:bookmarkEnd w:id="307"/>
      <w:bookmarkStart w:id="308" w:name="_Toc485024035"/>
      <w:bookmarkEnd w:id="308"/>
      <w:bookmarkStart w:id="309" w:name="_Toc485022704"/>
      <w:bookmarkEnd w:id="309"/>
      <w:bookmarkStart w:id="310" w:name="_Toc485022180"/>
      <w:bookmarkEnd w:id="310"/>
      <w:bookmarkStart w:id="311" w:name="_Toc481569020"/>
      <w:bookmarkEnd w:id="311"/>
      <w:bookmarkStart w:id="312" w:name="_Toc417401611"/>
      <w:bookmarkEnd w:id="312"/>
      <w:bookmarkStart w:id="313" w:name="_Toc481572988"/>
      <w:bookmarkEnd w:id="313"/>
      <w:bookmarkStart w:id="314" w:name="_Toc481572919"/>
      <w:bookmarkEnd w:id="314"/>
      <w:bookmarkStart w:id="315" w:name="_Toc481566482"/>
      <w:bookmarkEnd w:id="315"/>
      <w:bookmarkStart w:id="316" w:name="_Toc481502214"/>
      <w:bookmarkEnd w:id="316"/>
      <w:bookmarkStart w:id="317" w:name="_Toc485023801"/>
      <w:bookmarkEnd w:id="317"/>
      <w:bookmarkStart w:id="318" w:name="_Toc481568953"/>
      <w:bookmarkEnd w:id="318"/>
      <w:bookmarkStart w:id="319" w:name="_Toc484792742"/>
      <w:bookmarkEnd w:id="319"/>
      <w:bookmarkStart w:id="320" w:name="_Toc417327229"/>
      <w:bookmarkEnd w:id="320"/>
      <w:bookmarkStart w:id="321" w:name="_Toc417818786"/>
      <w:bookmarkEnd w:id="321"/>
      <w:bookmarkStart w:id="322" w:name="_Toc481566429"/>
      <w:bookmarkEnd w:id="322"/>
      <w:bookmarkStart w:id="323" w:name="_Toc481572901"/>
      <w:bookmarkEnd w:id="323"/>
      <w:bookmarkStart w:id="324" w:name="_Toc485023288"/>
      <w:bookmarkEnd w:id="324"/>
      <w:bookmarkStart w:id="325" w:name="_Toc485023980"/>
      <w:bookmarkEnd w:id="325"/>
      <w:bookmarkStart w:id="326" w:name="_Toc417815271"/>
      <w:bookmarkEnd w:id="326"/>
      <w:bookmarkStart w:id="327" w:name="_Toc481569074"/>
      <w:bookmarkEnd w:id="327"/>
      <w:bookmarkStart w:id="328" w:name="_Toc481566428"/>
      <w:bookmarkEnd w:id="328"/>
      <w:bookmarkStart w:id="329" w:name="_Toc484792603"/>
      <w:bookmarkEnd w:id="329"/>
      <w:bookmarkStart w:id="330" w:name="_Toc481572903"/>
      <w:bookmarkEnd w:id="330"/>
      <w:bookmarkStart w:id="331" w:name="_Toc481572326"/>
      <w:bookmarkEnd w:id="331"/>
      <w:bookmarkStart w:id="332" w:name="_Toc485023799"/>
      <w:bookmarkEnd w:id="332"/>
      <w:bookmarkStart w:id="333" w:name="_Toc485022729"/>
      <w:bookmarkEnd w:id="333"/>
      <w:bookmarkStart w:id="334" w:name="_Toc417514018"/>
      <w:bookmarkEnd w:id="334"/>
      <w:bookmarkStart w:id="335" w:name="_Toc485021637"/>
      <w:bookmarkEnd w:id="335"/>
      <w:bookmarkStart w:id="336" w:name="_Toc485023295"/>
      <w:bookmarkEnd w:id="336"/>
      <w:bookmarkStart w:id="337" w:name="_Toc481572452"/>
      <w:bookmarkEnd w:id="337"/>
      <w:bookmarkStart w:id="338" w:name="_Toc485021759"/>
      <w:bookmarkEnd w:id="338"/>
      <w:bookmarkStart w:id="339" w:name="_Toc417327467"/>
      <w:bookmarkEnd w:id="339"/>
      <w:bookmarkStart w:id="340" w:name="_Toc485024375"/>
      <w:bookmarkEnd w:id="340"/>
      <w:bookmarkStart w:id="341" w:name="_Toc484792640"/>
      <w:bookmarkEnd w:id="341"/>
      <w:bookmarkStart w:id="342" w:name="_Toc481573453"/>
      <w:bookmarkEnd w:id="342"/>
      <w:bookmarkStart w:id="343" w:name="_Toc481573029"/>
      <w:bookmarkEnd w:id="343"/>
      <w:bookmarkStart w:id="344" w:name="_Toc481573653"/>
      <w:bookmarkEnd w:id="344"/>
      <w:bookmarkStart w:id="345" w:name="_Toc481573604"/>
      <w:bookmarkEnd w:id="345"/>
      <w:bookmarkStart w:id="346" w:name="_Toc485021670"/>
      <w:bookmarkEnd w:id="346"/>
      <w:bookmarkStart w:id="347" w:name="_Toc485021929"/>
      <w:bookmarkEnd w:id="347"/>
      <w:bookmarkStart w:id="348" w:name="_Toc481572990"/>
      <w:bookmarkEnd w:id="348"/>
      <w:bookmarkStart w:id="349" w:name="_Toc485021810"/>
      <w:bookmarkEnd w:id="349"/>
      <w:bookmarkStart w:id="350" w:name="_Toc485021768"/>
      <w:bookmarkEnd w:id="350"/>
      <w:bookmarkStart w:id="351" w:name="_Toc481572914"/>
      <w:bookmarkEnd w:id="351"/>
      <w:bookmarkStart w:id="352" w:name="_Toc485022628"/>
      <w:bookmarkEnd w:id="352"/>
      <w:bookmarkStart w:id="353" w:name="_Toc481572668"/>
      <w:bookmarkEnd w:id="353"/>
      <w:bookmarkStart w:id="354" w:name="_Toc481572957"/>
      <w:bookmarkEnd w:id="354"/>
      <w:bookmarkStart w:id="355" w:name="_Toc485023284"/>
      <w:bookmarkEnd w:id="355"/>
      <w:bookmarkStart w:id="356" w:name="_Toc485022718"/>
      <w:bookmarkEnd w:id="356"/>
      <w:bookmarkStart w:id="357" w:name="_Toc481572226"/>
      <w:bookmarkEnd w:id="357"/>
      <w:bookmarkStart w:id="358" w:name="_Toc481571970"/>
      <w:bookmarkEnd w:id="358"/>
      <w:bookmarkStart w:id="359" w:name="_Toc481573601"/>
      <w:bookmarkEnd w:id="359"/>
      <w:bookmarkStart w:id="360" w:name="_Toc485024041"/>
      <w:bookmarkEnd w:id="360"/>
      <w:bookmarkStart w:id="361" w:name="_Toc481569039"/>
      <w:bookmarkEnd w:id="361"/>
      <w:bookmarkStart w:id="362" w:name="_Toc481571987"/>
      <w:bookmarkEnd w:id="362"/>
      <w:bookmarkStart w:id="363" w:name="_Toc485023162"/>
      <w:bookmarkEnd w:id="363"/>
      <w:bookmarkStart w:id="364" w:name="_Toc417513854"/>
      <w:bookmarkEnd w:id="364"/>
      <w:bookmarkStart w:id="365" w:name="_Toc485022616"/>
      <w:bookmarkEnd w:id="365"/>
      <w:bookmarkStart w:id="366" w:name="_Toc485022297"/>
      <w:bookmarkEnd w:id="366"/>
      <w:bookmarkStart w:id="367" w:name="_Toc481572925"/>
      <w:bookmarkEnd w:id="367"/>
      <w:bookmarkStart w:id="368" w:name="_Toc485023178"/>
      <w:bookmarkEnd w:id="368"/>
      <w:bookmarkStart w:id="369" w:name="_Toc485024226"/>
      <w:bookmarkEnd w:id="369"/>
      <w:bookmarkStart w:id="370" w:name="_Toc417818547"/>
      <w:bookmarkEnd w:id="370"/>
      <w:bookmarkStart w:id="371" w:name="_Toc485022352"/>
      <w:bookmarkEnd w:id="371"/>
      <w:bookmarkStart w:id="372" w:name="_Toc481572672"/>
      <w:bookmarkEnd w:id="372"/>
      <w:bookmarkStart w:id="373" w:name="_Toc417637340"/>
      <w:bookmarkEnd w:id="373"/>
      <w:bookmarkStart w:id="374" w:name="_Toc485024334"/>
      <w:bookmarkEnd w:id="374"/>
      <w:bookmarkStart w:id="375" w:name="_Toc481502430"/>
      <w:bookmarkEnd w:id="375"/>
      <w:bookmarkStart w:id="376" w:name="_Toc485022614"/>
      <w:bookmarkEnd w:id="376"/>
      <w:bookmarkStart w:id="377" w:name="_Toc484792657"/>
      <w:bookmarkEnd w:id="377"/>
      <w:bookmarkStart w:id="378" w:name="_Toc481572586"/>
      <w:bookmarkEnd w:id="378"/>
      <w:bookmarkStart w:id="379" w:name="_Toc484792596"/>
      <w:bookmarkEnd w:id="379"/>
      <w:bookmarkStart w:id="380" w:name="_Toc485022683"/>
      <w:bookmarkEnd w:id="380"/>
      <w:bookmarkStart w:id="381" w:name="_Toc481572215"/>
      <w:bookmarkEnd w:id="381"/>
      <w:bookmarkStart w:id="382" w:name="_Toc417814840"/>
      <w:bookmarkEnd w:id="382"/>
      <w:bookmarkStart w:id="383" w:name="_Toc485021741"/>
      <w:bookmarkEnd w:id="383"/>
      <w:bookmarkStart w:id="384" w:name="_Toc481572085"/>
      <w:bookmarkEnd w:id="384"/>
      <w:bookmarkStart w:id="385" w:name="_Toc417818921"/>
      <w:bookmarkEnd w:id="385"/>
      <w:bookmarkStart w:id="386" w:name="_Toc485022665"/>
      <w:bookmarkEnd w:id="386"/>
      <w:bookmarkStart w:id="387" w:name="_Toc417401576"/>
      <w:bookmarkEnd w:id="387"/>
      <w:bookmarkStart w:id="388" w:name="_Toc417401523"/>
      <w:bookmarkEnd w:id="388"/>
      <w:bookmarkStart w:id="389" w:name="_Toc481573220"/>
      <w:bookmarkEnd w:id="389"/>
      <w:bookmarkStart w:id="390" w:name="_Toc481572918"/>
      <w:bookmarkEnd w:id="390"/>
      <w:bookmarkStart w:id="391" w:name="_Toc417513247"/>
      <w:bookmarkEnd w:id="391"/>
      <w:bookmarkStart w:id="392" w:name="_Toc484792655"/>
      <w:bookmarkEnd w:id="392"/>
      <w:bookmarkStart w:id="393" w:name="_Toc417632572"/>
      <w:bookmarkEnd w:id="393"/>
      <w:bookmarkStart w:id="394" w:name="_Toc481573259"/>
      <w:bookmarkEnd w:id="394"/>
      <w:bookmarkStart w:id="395" w:name="_Toc481501817"/>
      <w:bookmarkEnd w:id="395"/>
      <w:bookmarkStart w:id="396" w:name="_Toc417632670"/>
      <w:bookmarkEnd w:id="396"/>
      <w:bookmarkStart w:id="397" w:name="_Toc485023894"/>
      <w:bookmarkEnd w:id="397"/>
      <w:bookmarkStart w:id="398" w:name="_Toc485022198"/>
      <w:bookmarkEnd w:id="398"/>
      <w:bookmarkStart w:id="399" w:name="_Toc417814838"/>
      <w:bookmarkEnd w:id="399"/>
      <w:bookmarkStart w:id="400" w:name="_Toc481572864"/>
      <w:bookmarkEnd w:id="400"/>
      <w:bookmarkStart w:id="401" w:name="_Toc485024086"/>
      <w:bookmarkEnd w:id="401"/>
      <w:bookmarkStart w:id="402" w:name="_Toc485022569"/>
      <w:bookmarkEnd w:id="402"/>
      <w:bookmarkStart w:id="403" w:name="_Toc484792442"/>
      <w:bookmarkEnd w:id="403"/>
      <w:bookmarkStart w:id="404" w:name="_Toc417818694"/>
      <w:bookmarkEnd w:id="404"/>
      <w:bookmarkStart w:id="405" w:name="_Toc417818867"/>
      <w:bookmarkEnd w:id="405"/>
      <w:bookmarkStart w:id="406" w:name="_Toc481572451"/>
      <w:bookmarkEnd w:id="406"/>
      <w:bookmarkStart w:id="407" w:name="_Toc481502158"/>
      <w:bookmarkEnd w:id="407"/>
      <w:bookmarkStart w:id="408" w:name="_Toc485021671"/>
      <w:bookmarkEnd w:id="408"/>
      <w:bookmarkStart w:id="409" w:name="_Toc485022081"/>
      <w:bookmarkEnd w:id="409"/>
      <w:bookmarkStart w:id="410" w:name="_Toc481571924"/>
      <w:bookmarkEnd w:id="410"/>
      <w:bookmarkStart w:id="411" w:name="_Toc417814841"/>
      <w:bookmarkEnd w:id="411"/>
      <w:bookmarkStart w:id="412" w:name="_Toc485024297"/>
      <w:bookmarkEnd w:id="412"/>
      <w:bookmarkStart w:id="413" w:name="_Toc481573091"/>
      <w:bookmarkEnd w:id="413"/>
      <w:bookmarkStart w:id="414" w:name="_Toc485022632"/>
      <w:bookmarkEnd w:id="414"/>
      <w:bookmarkStart w:id="415" w:name="_Toc481566411"/>
      <w:bookmarkEnd w:id="415"/>
      <w:bookmarkStart w:id="416" w:name="_Toc417815283"/>
      <w:bookmarkEnd w:id="416"/>
      <w:bookmarkStart w:id="417" w:name="_Toc417819107"/>
      <w:bookmarkEnd w:id="417"/>
      <w:bookmarkStart w:id="418" w:name="_Toc485023254"/>
      <w:bookmarkEnd w:id="418"/>
      <w:bookmarkStart w:id="419" w:name="_Toc485024018"/>
      <w:bookmarkEnd w:id="419"/>
      <w:bookmarkStart w:id="420" w:name="_Toc481569038"/>
      <w:bookmarkEnd w:id="420"/>
      <w:bookmarkStart w:id="421" w:name="_Toc481572558"/>
      <w:bookmarkEnd w:id="421"/>
      <w:bookmarkStart w:id="422" w:name="_Toc481572523"/>
      <w:bookmarkEnd w:id="422"/>
      <w:bookmarkStart w:id="423" w:name="_Toc485022160"/>
      <w:bookmarkEnd w:id="423"/>
      <w:bookmarkStart w:id="424" w:name="_Toc485023311"/>
      <w:bookmarkEnd w:id="424"/>
      <w:bookmarkStart w:id="425" w:name="_Toc481566580"/>
      <w:bookmarkEnd w:id="425"/>
      <w:bookmarkStart w:id="426" w:name="_Toc485021970"/>
      <w:bookmarkEnd w:id="426"/>
      <w:bookmarkStart w:id="427" w:name="_Toc485023869"/>
      <w:bookmarkEnd w:id="427"/>
      <w:bookmarkStart w:id="428" w:name="_Toc485023770"/>
      <w:bookmarkEnd w:id="428"/>
      <w:bookmarkStart w:id="429" w:name="_Toc481502073"/>
      <w:bookmarkEnd w:id="429"/>
      <w:bookmarkStart w:id="430" w:name="_Toc417814640"/>
      <w:bookmarkEnd w:id="430"/>
      <w:bookmarkStart w:id="431" w:name="_Toc485022269"/>
      <w:bookmarkEnd w:id="431"/>
      <w:bookmarkStart w:id="432" w:name="_Toc485023214"/>
      <w:bookmarkEnd w:id="432"/>
      <w:bookmarkStart w:id="433" w:name="_Toc462231787"/>
      <w:bookmarkEnd w:id="433"/>
      <w:bookmarkStart w:id="434" w:name="_Toc485022146"/>
      <w:bookmarkEnd w:id="434"/>
      <w:bookmarkStart w:id="435" w:name="_Toc485021636"/>
      <w:bookmarkEnd w:id="435"/>
      <w:bookmarkStart w:id="436" w:name="_Toc485024262"/>
      <w:bookmarkEnd w:id="436"/>
      <w:bookmarkStart w:id="437" w:name="_Toc481571933"/>
      <w:bookmarkEnd w:id="437"/>
      <w:bookmarkStart w:id="438" w:name="_Toc462071152"/>
      <w:bookmarkEnd w:id="438"/>
      <w:bookmarkStart w:id="439" w:name="_Toc485021757"/>
      <w:bookmarkEnd w:id="439"/>
      <w:bookmarkStart w:id="440" w:name="_Toc485024371"/>
      <w:bookmarkEnd w:id="440"/>
      <w:bookmarkStart w:id="441" w:name="_Toc485023179"/>
      <w:bookmarkEnd w:id="441"/>
      <w:bookmarkStart w:id="442" w:name="_Toc485024314"/>
      <w:bookmarkEnd w:id="442"/>
      <w:bookmarkStart w:id="443" w:name="_Toc485022602"/>
      <w:bookmarkEnd w:id="443"/>
      <w:bookmarkStart w:id="444" w:name="_Toc485022508"/>
      <w:bookmarkEnd w:id="444"/>
      <w:bookmarkStart w:id="445" w:name="_Toc481568929"/>
      <w:bookmarkEnd w:id="445"/>
      <w:bookmarkStart w:id="446" w:name="_Toc481501801"/>
      <w:bookmarkEnd w:id="446"/>
      <w:bookmarkStart w:id="447" w:name="_Toc484792439"/>
      <w:bookmarkEnd w:id="447"/>
      <w:bookmarkStart w:id="448" w:name="_Toc417637146"/>
      <w:bookmarkEnd w:id="448"/>
      <w:bookmarkStart w:id="449" w:name="_Toc481572097"/>
      <w:bookmarkEnd w:id="449"/>
      <w:bookmarkStart w:id="450" w:name="_Toc481566521"/>
      <w:bookmarkEnd w:id="450"/>
      <w:bookmarkStart w:id="451" w:name="_Toc481573598"/>
      <w:bookmarkEnd w:id="451"/>
      <w:bookmarkStart w:id="452" w:name="_Toc481566367"/>
      <w:bookmarkEnd w:id="452"/>
      <w:bookmarkStart w:id="453" w:name="_Toc417815089"/>
      <w:bookmarkEnd w:id="453"/>
      <w:bookmarkStart w:id="454" w:name="_Toc485024123"/>
      <w:bookmarkEnd w:id="454"/>
      <w:bookmarkStart w:id="455" w:name="_Toc481573026"/>
      <w:bookmarkEnd w:id="455"/>
      <w:bookmarkStart w:id="456" w:name="_Toc481566368"/>
      <w:bookmarkEnd w:id="456"/>
      <w:bookmarkStart w:id="457" w:name="_Toc417818980"/>
      <w:bookmarkEnd w:id="457"/>
      <w:bookmarkStart w:id="458" w:name="_Toc485024225"/>
      <w:bookmarkEnd w:id="458"/>
      <w:bookmarkStart w:id="459" w:name="_Toc481572205"/>
      <w:bookmarkEnd w:id="459"/>
      <w:bookmarkStart w:id="460" w:name="_Toc481572857"/>
      <w:bookmarkEnd w:id="460"/>
      <w:bookmarkStart w:id="461" w:name="_Toc485022320"/>
      <w:bookmarkEnd w:id="461"/>
      <w:bookmarkStart w:id="462" w:name="_Toc417513248"/>
      <w:bookmarkEnd w:id="462"/>
      <w:bookmarkStart w:id="463" w:name="_Toc481573185"/>
      <w:bookmarkEnd w:id="463"/>
      <w:bookmarkStart w:id="464" w:name="_Toc484792691"/>
      <w:bookmarkEnd w:id="464"/>
      <w:bookmarkStart w:id="465" w:name="_Toc481572795"/>
      <w:bookmarkEnd w:id="465"/>
      <w:bookmarkStart w:id="466" w:name="_Toc481572353"/>
      <w:bookmarkEnd w:id="466"/>
      <w:bookmarkStart w:id="467" w:name="_Toc485023185"/>
      <w:bookmarkEnd w:id="467"/>
      <w:bookmarkStart w:id="468" w:name="_Toc481566390"/>
      <w:bookmarkEnd w:id="468"/>
      <w:bookmarkStart w:id="469" w:name="_Toc485021969"/>
      <w:bookmarkEnd w:id="469"/>
      <w:bookmarkStart w:id="470" w:name="_Toc485022399"/>
      <w:bookmarkEnd w:id="470"/>
      <w:bookmarkStart w:id="471" w:name="_Toc485023783"/>
      <w:bookmarkEnd w:id="471"/>
      <w:bookmarkStart w:id="472" w:name="_Toc485023836"/>
      <w:bookmarkEnd w:id="472"/>
      <w:bookmarkStart w:id="473" w:name="_Toc485022494"/>
      <w:bookmarkEnd w:id="473"/>
      <w:bookmarkStart w:id="474" w:name="_Toc481573017"/>
      <w:bookmarkEnd w:id="474"/>
      <w:bookmarkStart w:id="475" w:name="_Toc485023285"/>
      <w:bookmarkEnd w:id="475"/>
      <w:bookmarkStart w:id="476" w:name="_Toc484792642"/>
      <w:bookmarkEnd w:id="476"/>
      <w:bookmarkStart w:id="477" w:name="_Toc485022411"/>
      <w:bookmarkEnd w:id="477"/>
      <w:bookmarkStart w:id="478" w:name="_Toc485022592"/>
      <w:bookmarkEnd w:id="478"/>
      <w:bookmarkStart w:id="479" w:name="_Toc484792690"/>
      <w:bookmarkEnd w:id="479"/>
      <w:bookmarkStart w:id="480" w:name="_Toc485022483"/>
      <w:bookmarkEnd w:id="480"/>
      <w:bookmarkStart w:id="481" w:name="_Toc481573322"/>
      <w:bookmarkEnd w:id="481"/>
      <w:bookmarkStart w:id="482" w:name="_Toc485022484"/>
      <w:bookmarkEnd w:id="482"/>
      <w:bookmarkStart w:id="483" w:name="_Toc484792476"/>
      <w:bookmarkEnd w:id="483"/>
      <w:bookmarkStart w:id="484" w:name="_Toc417815085"/>
      <w:bookmarkEnd w:id="484"/>
      <w:bookmarkStart w:id="485" w:name="_Toc481572525"/>
      <w:bookmarkEnd w:id="485"/>
      <w:bookmarkStart w:id="486" w:name="_Toc485022571"/>
      <w:bookmarkEnd w:id="486"/>
      <w:bookmarkStart w:id="487" w:name="_Toc481566501"/>
      <w:bookmarkEnd w:id="487"/>
      <w:bookmarkStart w:id="488" w:name="_Toc485023212"/>
      <w:bookmarkEnd w:id="488"/>
      <w:bookmarkStart w:id="489" w:name="_Toc481572450"/>
      <w:bookmarkEnd w:id="489"/>
      <w:bookmarkStart w:id="490" w:name="_Toc485021689"/>
      <w:bookmarkEnd w:id="490"/>
      <w:bookmarkStart w:id="491" w:name="_Toc485024261"/>
      <w:bookmarkEnd w:id="491"/>
      <w:bookmarkStart w:id="492" w:name="_Toc485024142"/>
      <w:bookmarkEnd w:id="492"/>
      <w:bookmarkStart w:id="493" w:name="_Toc481573555"/>
      <w:bookmarkEnd w:id="493"/>
      <w:bookmarkStart w:id="494" w:name="_Toc485022577"/>
      <w:bookmarkEnd w:id="494"/>
      <w:bookmarkStart w:id="495" w:name="_Toc485023895"/>
      <w:bookmarkEnd w:id="495"/>
      <w:bookmarkStart w:id="496" w:name="_Toc485021968"/>
      <w:bookmarkEnd w:id="496"/>
      <w:bookmarkStart w:id="497" w:name="_Toc484792479"/>
      <w:bookmarkEnd w:id="497"/>
      <w:bookmarkStart w:id="498" w:name="_Toc485021630"/>
      <w:bookmarkEnd w:id="498"/>
      <w:bookmarkStart w:id="499" w:name="_Toc481573727"/>
      <w:bookmarkEnd w:id="499"/>
      <w:bookmarkStart w:id="500" w:name="_Toc485024085"/>
      <w:bookmarkEnd w:id="500"/>
      <w:bookmarkStart w:id="501" w:name="_Toc481566416"/>
      <w:bookmarkEnd w:id="501"/>
      <w:bookmarkStart w:id="502" w:name="_Toc485022278"/>
      <w:bookmarkEnd w:id="502"/>
      <w:bookmarkStart w:id="503" w:name="_Toc485024330"/>
      <w:bookmarkEnd w:id="503"/>
      <w:bookmarkStart w:id="504" w:name="_Toc481572603"/>
      <w:bookmarkEnd w:id="504"/>
      <w:bookmarkStart w:id="505" w:name="_Toc485022596"/>
      <w:bookmarkEnd w:id="505"/>
      <w:bookmarkStart w:id="506" w:name="_Toc484792652"/>
      <w:bookmarkEnd w:id="506"/>
      <w:bookmarkStart w:id="507" w:name="_Toc462071136"/>
      <w:bookmarkEnd w:id="507"/>
      <w:bookmarkStart w:id="508" w:name="_Toc396921860"/>
      <w:bookmarkEnd w:id="508"/>
      <w:bookmarkStart w:id="509" w:name="_Toc481573483"/>
      <w:bookmarkEnd w:id="509"/>
      <w:bookmarkStart w:id="510" w:name="_Toc485024224"/>
      <w:bookmarkEnd w:id="510"/>
      <w:bookmarkStart w:id="511" w:name="_Toc481572905"/>
      <w:bookmarkEnd w:id="511"/>
      <w:bookmarkStart w:id="512" w:name="_Toc481572166"/>
      <w:bookmarkEnd w:id="512"/>
      <w:bookmarkStart w:id="513" w:name="_Toc485022630"/>
      <w:bookmarkEnd w:id="513"/>
      <w:bookmarkStart w:id="514" w:name="_Toc484792754"/>
      <w:bookmarkEnd w:id="514"/>
      <w:bookmarkStart w:id="515" w:name="_Toc485024001"/>
      <w:bookmarkEnd w:id="515"/>
      <w:bookmarkStart w:id="516" w:name="_Toc481572059"/>
      <w:bookmarkEnd w:id="516"/>
      <w:bookmarkStart w:id="517" w:name="_Toc481569077"/>
      <w:bookmarkEnd w:id="517"/>
      <w:bookmarkStart w:id="518" w:name="_Toc417815086"/>
      <w:bookmarkEnd w:id="518"/>
      <w:bookmarkStart w:id="519" w:name="_Toc481573367"/>
      <w:bookmarkEnd w:id="519"/>
      <w:bookmarkStart w:id="520" w:name="_Toc485024106"/>
      <w:bookmarkEnd w:id="520"/>
      <w:bookmarkStart w:id="521" w:name="_Toc484792381"/>
      <w:bookmarkEnd w:id="521"/>
      <w:bookmarkStart w:id="522" w:name="_Toc485022234"/>
      <w:bookmarkEnd w:id="522"/>
      <w:bookmarkStart w:id="523" w:name="_Toc417637333"/>
      <w:bookmarkEnd w:id="523"/>
      <w:bookmarkStart w:id="524" w:name="_Toc481572449"/>
      <w:bookmarkEnd w:id="524"/>
      <w:bookmarkStart w:id="525" w:name="_Toc481573224"/>
      <w:bookmarkEnd w:id="525"/>
      <w:bookmarkStart w:id="526" w:name="_Toc485024368"/>
      <w:bookmarkEnd w:id="526"/>
      <w:bookmarkStart w:id="527" w:name="_Toc481573148"/>
      <w:bookmarkEnd w:id="527"/>
      <w:bookmarkStart w:id="528" w:name="_Toc485022398"/>
      <w:bookmarkEnd w:id="528"/>
      <w:bookmarkStart w:id="529" w:name="_Toc485024103"/>
      <w:bookmarkEnd w:id="529"/>
      <w:bookmarkStart w:id="530" w:name="_Toc485021965"/>
      <w:bookmarkEnd w:id="530"/>
      <w:bookmarkStart w:id="531" w:name="_Toc481571985"/>
      <w:bookmarkEnd w:id="531"/>
      <w:bookmarkStart w:id="532" w:name="_Toc417327176"/>
      <w:bookmarkEnd w:id="532"/>
      <w:bookmarkStart w:id="533" w:name="_Toc485024030"/>
      <w:bookmarkEnd w:id="533"/>
      <w:bookmarkStart w:id="534" w:name="_Toc417632660"/>
      <w:bookmarkEnd w:id="534"/>
      <w:bookmarkStart w:id="535" w:name="_Toc481573098"/>
      <w:bookmarkEnd w:id="535"/>
      <w:bookmarkStart w:id="536" w:name="_Toc484792379"/>
      <w:bookmarkEnd w:id="536"/>
      <w:bookmarkStart w:id="537" w:name="_Toc481571932"/>
      <w:bookmarkEnd w:id="537"/>
      <w:bookmarkStart w:id="538" w:name="_Toc481572686"/>
      <w:bookmarkEnd w:id="538"/>
      <w:bookmarkStart w:id="539" w:name="_Toc481568906"/>
      <w:bookmarkEnd w:id="539"/>
      <w:bookmarkStart w:id="540" w:name="_Toc481566502"/>
      <w:bookmarkEnd w:id="540"/>
      <w:bookmarkStart w:id="541" w:name="_Toc485024165"/>
      <w:bookmarkEnd w:id="541"/>
      <w:bookmarkStart w:id="542" w:name="_Toc481573602"/>
      <w:bookmarkEnd w:id="542"/>
      <w:bookmarkStart w:id="543" w:name="_Toc485023762"/>
      <w:bookmarkEnd w:id="543"/>
      <w:bookmarkStart w:id="544" w:name="_Toc485024359"/>
      <w:bookmarkEnd w:id="544"/>
      <w:bookmarkStart w:id="545" w:name="_Toc485022182"/>
      <w:bookmarkEnd w:id="545"/>
      <w:bookmarkStart w:id="546" w:name="_Toc485024140"/>
      <w:bookmarkEnd w:id="546"/>
      <w:bookmarkStart w:id="547" w:name="_Toc481502447"/>
      <w:bookmarkEnd w:id="547"/>
      <w:bookmarkStart w:id="548" w:name="_Toc417814836"/>
      <w:bookmarkEnd w:id="548"/>
      <w:bookmarkStart w:id="549" w:name="_Toc485024002"/>
      <w:bookmarkEnd w:id="549"/>
      <w:bookmarkStart w:id="550" w:name="_Toc481571973"/>
      <w:bookmarkEnd w:id="550"/>
      <w:bookmarkStart w:id="551" w:name="_Toc485024208"/>
      <w:bookmarkEnd w:id="551"/>
      <w:bookmarkStart w:id="552" w:name="_Toc481566463"/>
      <w:bookmarkEnd w:id="552"/>
      <w:bookmarkStart w:id="553" w:name="_Toc485022601"/>
      <w:bookmarkEnd w:id="553"/>
      <w:bookmarkStart w:id="554" w:name="_Toc485022016"/>
      <w:bookmarkEnd w:id="554"/>
      <w:bookmarkStart w:id="555" w:name="_Toc485021628"/>
      <w:bookmarkEnd w:id="555"/>
      <w:bookmarkStart w:id="556" w:name="_Toc481572325"/>
      <w:bookmarkEnd w:id="556"/>
      <w:bookmarkStart w:id="557" w:name="_Toc485022512"/>
      <w:bookmarkEnd w:id="557"/>
      <w:bookmarkStart w:id="558" w:name="_Toc481573371"/>
      <w:bookmarkEnd w:id="558"/>
      <w:bookmarkStart w:id="559" w:name="_Toc485022599"/>
      <w:bookmarkEnd w:id="559"/>
      <w:bookmarkStart w:id="560" w:name="_Toc484792707"/>
      <w:bookmarkEnd w:id="560"/>
      <w:bookmarkStart w:id="561" w:name="_Toc485022703"/>
      <w:bookmarkEnd w:id="561"/>
      <w:bookmarkStart w:id="562" w:name="_Toc484792728"/>
      <w:bookmarkEnd w:id="562"/>
      <w:bookmarkStart w:id="563" w:name="_Toc481573258"/>
      <w:bookmarkEnd w:id="563"/>
      <w:bookmarkStart w:id="564" w:name="_Toc485021740"/>
      <w:bookmarkEnd w:id="564"/>
      <w:bookmarkStart w:id="565" w:name="_Toc481572058"/>
      <w:bookmarkEnd w:id="565"/>
      <w:bookmarkStart w:id="566" w:name="_Toc484792749"/>
      <w:bookmarkEnd w:id="566"/>
      <w:bookmarkStart w:id="567" w:name="_Toc481572039"/>
      <w:bookmarkEnd w:id="567"/>
      <w:bookmarkStart w:id="568" w:name="_Toc481573687"/>
      <w:bookmarkEnd w:id="568"/>
      <w:bookmarkStart w:id="569" w:name="_Toc485022753"/>
      <w:bookmarkEnd w:id="569"/>
      <w:bookmarkStart w:id="570" w:name="_Toc481573716"/>
      <w:bookmarkEnd w:id="570"/>
      <w:bookmarkStart w:id="571" w:name="_Toc485024333"/>
      <w:bookmarkEnd w:id="571"/>
      <w:bookmarkStart w:id="572" w:name="_Toc481572505"/>
      <w:bookmarkEnd w:id="572"/>
      <w:bookmarkStart w:id="573" w:name="_Toc481573385"/>
      <w:bookmarkEnd w:id="573"/>
      <w:bookmarkStart w:id="574" w:name="_Toc484792777"/>
      <w:bookmarkEnd w:id="574"/>
      <w:bookmarkStart w:id="575" w:name="_Toc481572218"/>
      <w:bookmarkEnd w:id="575"/>
      <w:bookmarkStart w:id="576" w:name="_Toc485024263"/>
      <w:bookmarkEnd w:id="576"/>
      <w:bookmarkStart w:id="577" w:name="_Toc485022199"/>
      <w:bookmarkEnd w:id="577"/>
      <w:bookmarkStart w:id="578" w:name="_Toc481566468"/>
      <w:bookmarkEnd w:id="578"/>
      <w:bookmarkStart w:id="579" w:name="_Toc481566539"/>
      <w:bookmarkEnd w:id="579"/>
      <w:bookmarkStart w:id="580" w:name="_Toc485021983"/>
      <w:bookmarkEnd w:id="580"/>
      <w:bookmarkStart w:id="581" w:name="_Toc484792708"/>
      <w:bookmarkEnd w:id="581"/>
      <w:bookmarkStart w:id="582" w:name="_Toc484792441"/>
      <w:bookmarkEnd w:id="582"/>
      <w:bookmarkStart w:id="583" w:name="_Toc485021967"/>
      <w:bookmarkEnd w:id="583"/>
      <w:bookmarkStart w:id="584" w:name="_Toc485024137"/>
      <w:bookmarkEnd w:id="584"/>
      <w:bookmarkStart w:id="585" w:name="_Toc481572692"/>
      <w:bookmarkEnd w:id="585"/>
      <w:bookmarkStart w:id="586" w:name="_Toc485023767"/>
      <w:bookmarkEnd w:id="586"/>
      <w:bookmarkStart w:id="587" w:name="_Toc417637252"/>
      <w:bookmarkEnd w:id="587"/>
      <w:bookmarkStart w:id="588" w:name="_Toc481572794"/>
      <w:bookmarkEnd w:id="588"/>
      <w:bookmarkStart w:id="589" w:name="_Toc484792438"/>
      <w:bookmarkEnd w:id="589"/>
      <w:bookmarkStart w:id="590" w:name="_Toc485021723"/>
      <w:bookmarkEnd w:id="590"/>
      <w:bookmarkStart w:id="591" w:name="_Toc484792639"/>
      <w:bookmarkEnd w:id="591"/>
      <w:bookmarkStart w:id="592" w:name="_Toc484792750"/>
      <w:bookmarkEnd w:id="592"/>
      <w:bookmarkStart w:id="593" w:name="_Toc481501726"/>
      <w:bookmarkEnd w:id="593"/>
      <w:bookmarkStart w:id="594" w:name="_Toc417818628"/>
      <w:bookmarkEnd w:id="594"/>
      <w:bookmarkStart w:id="595" w:name="_Toc481502320"/>
      <w:bookmarkEnd w:id="595"/>
      <w:bookmarkStart w:id="596" w:name="_Toc485023852"/>
      <w:bookmarkEnd w:id="596"/>
      <w:bookmarkStart w:id="597" w:name="_Toc485023313"/>
      <w:bookmarkEnd w:id="597"/>
      <w:bookmarkStart w:id="598" w:name="_Toc462071142"/>
      <w:bookmarkEnd w:id="598"/>
      <w:bookmarkStart w:id="599" w:name="_Toc417819171"/>
      <w:bookmarkEnd w:id="599"/>
      <w:bookmarkStart w:id="600" w:name="_Toc481502056"/>
      <w:bookmarkEnd w:id="600"/>
      <w:bookmarkStart w:id="601" w:name="_Toc481568915"/>
      <w:bookmarkEnd w:id="601"/>
      <w:bookmarkStart w:id="602" w:name="_Toc485023153"/>
      <w:bookmarkEnd w:id="602"/>
      <w:bookmarkStart w:id="603" w:name="_Toc481566436"/>
      <w:bookmarkEnd w:id="603"/>
      <w:bookmarkStart w:id="604" w:name="_Toc485022400"/>
      <w:bookmarkEnd w:id="604"/>
      <w:bookmarkStart w:id="605" w:name="_Toc417327486"/>
      <w:bookmarkEnd w:id="605"/>
      <w:bookmarkStart w:id="606" w:name="_Toc485022416"/>
      <w:bookmarkEnd w:id="606"/>
      <w:bookmarkStart w:id="607" w:name="_Toc485023764"/>
      <w:bookmarkEnd w:id="607"/>
      <w:bookmarkStart w:id="608" w:name="_Toc485023899"/>
      <w:bookmarkEnd w:id="608"/>
      <w:bookmarkStart w:id="609" w:name="_Toc481572329"/>
      <w:bookmarkEnd w:id="609"/>
      <w:bookmarkStart w:id="610" w:name="_Toc481572784"/>
      <w:bookmarkEnd w:id="610"/>
      <w:bookmarkStart w:id="611" w:name="_Toc481572094"/>
      <w:bookmarkEnd w:id="611"/>
      <w:bookmarkStart w:id="612" w:name="_Toc485023999"/>
      <w:bookmarkEnd w:id="612"/>
      <w:bookmarkStart w:id="613" w:name="_Toc417637136"/>
      <w:bookmarkEnd w:id="613"/>
      <w:bookmarkStart w:id="614" w:name="_Toc481573563"/>
      <w:bookmarkEnd w:id="614"/>
      <w:bookmarkStart w:id="615" w:name="_Toc481573535"/>
      <w:bookmarkEnd w:id="615"/>
      <w:bookmarkStart w:id="616" w:name="_Toc481572203"/>
      <w:bookmarkEnd w:id="616"/>
      <w:bookmarkStart w:id="617" w:name="_Toc481566414"/>
      <w:bookmarkEnd w:id="617"/>
      <w:bookmarkStart w:id="618" w:name="_Toc485022666"/>
      <w:bookmarkEnd w:id="618"/>
      <w:bookmarkStart w:id="619" w:name="_Toc485022139"/>
      <w:bookmarkEnd w:id="619"/>
      <w:bookmarkStart w:id="620" w:name="_Toc481569040"/>
      <w:bookmarkEnd w:id="620"/>
      <w:bookmarkStart w:id="621" w:name="_Toc481572758"/>
      <w:bookmarkEnd w:id="621"/>
      <w:bookmarkStart w:id="622" w:name="_Toc417814693"/>
      <w:bookmarkEnd w:id="622"/>
      <w:bookmarkStart w:id="623" w:name="_Toc485022422"/>
      <w:bookmarkEnd w:id="623"/>
      <w:bookmarkStart w:id="624" w:name="_Toc417819026"/>
      <w:bookmarkEnd w:id="624"/>
      <w:bookmarkStart w:id="625" w:name="_Toc485024313"/>
      <w:bookmarkEnd w:id="625"/>
      <w:bookmarkStart w:id="626" w:name="_Toc485023769"/>
      <w:bookmarkEnd w:id="626"/>
      <w:bookmarkStart w:id="627" w:name="_Toc484792536"/>
      <w:bookmarkEnd w:id="627"/>
      <w:bookmarkStart w:id="628" w:name="_Toc485024229"/>
      <w:bookmarkEnd w:id="628"/>
      <w:bookmarkStart w:id="629" w:name="_Toc485023213"/>
      <w:bookmarkEnd w:id="629"/>
      <w:bookmarkStart w:id="630" w:name="_Toc485022233"/>
      <w:bookmarkEnd w:id="630"/>
      <w:bookmarkStart w:id="631" w:name="_Toc485022250"/>
      <w:bookmarkEnd w:id="631"/>
      <w:bookmarkStart w:id="632" w:name="_Toc481572879"/>
      <w:bookmarkEnd w:id="632"/>
      <w:bookmarkStart w:id="633" w:name="_Toc485023738"/>
      <w:bookmarkEnd w:id="633"/>
      <w:bookmarkStart w:id="634" w:name="_Toc481572562"/>
      <w:bookmarkEnd w:id="634"/>
      <w:bookmarkStart w:id="635" w:name="_Toc481569083"/>
      <w:bookmarkEnd w:id="635"/>
      <w:bookmarkStart w:id="636" w:name="_Toc485022700"/>
      <w:bookmarkEnd w:id="636"/>
      <w:bookmarkStart w:id="637" w:name="_Toc481573492"/>
      <w:bookmarkEnd w:id="637"/>
      <w:bookmarkStart w:id="638" w:name="_Toc481566412"/>
      <w:bookmarkEnd w:id="638"/>
      <w:bookmarkStart w:id="639" w:name="_Toc481572216"/>
      <w:bookmarkEnd w:id="639"/>
      <w:bookmarkStart w:id="640" w:name="_Toc417819142"/>
      <w:bookmarkEnd w:id="640"/>
      <w:bookmarkStart w:id="641" w:name="_Toc485024102"/>
      <w:bookmarkEnd w:id="641"/>
      <w:bookmarkStart w:id="642" w:name="_Toc484792663"/>
      <w:bookmarkEnd w:id="642"/>
      <w:bookmarkStart w:id="643" w:name="_Toc485024072"/>
      <w:bookmarkEnd w:id="643"/>
      <w:bookmarkStart w:id="644" w:name="_Toc485022487"/>
      <w:bookmarkEnd w:id="644"/>
      <w:bookmarkStart w:id="645" w:name="_Toc484792511"/>
      <w:bookmarkEnd w:id="645"/>
      <w:bookmarkStart w:id="646" w:name="_Toc417814612"/>
      <w:bookmarkEnd w:id="646"/>
      <w:bookmarkStart w:id="647" w:name="_Toc417819159"/>
      <w:bookmarkEnd w:id="647"/>
      <w:bookmarkStart w:id="648" w:name="_Toc417327236"/>
      <w:bookmarkEnd w:id="648"/>
      <w:bookmarkStart w:id="649" w:name="_Toc481572158"/>
      <w:bookmarkEnd w:id="649"/>
      <w:bookmarkStart w:id="650" w:name="_Toc485021629"/>
      <w:bookmarkEnd w:id="650"/>
      <w:bookmarkStart w:id="651" w:name="_Toc417814839"/>
      <w:bookmarkEnd w:id="651"/>
      <w:bookmarkStart w:id="652" w:name="_Toc481573025"/>
      <w:bookmarkEnd w:id="652"/>
      <w:bookmarkStart w:id="653" w:name="_Toc481566376"/>
      <w:bookmarkEnd w:id="653"/>
      <w:bookmarkStart w:id="654" w:name="_Toc485023768"/>
      <w:bookmarkEnd w:id="654"/>
      <w:bookmarkStart w:id="655" w:name="_Toc485023312"/>
      <w:bookmarkEnd w:id="655"/>
      <w:bookmarkStart w:id="656" w:name="_Toc485024004"/>
      <w:bookmarkEnd w:id="656"/>
      <w:bookmarkStart w:id="657" w:name="_Toc481568914"/>
      <w:bookmarkEnd w:id="657"/>
      <w:bookmarkStart w:id="658" w:name="_Toc484792643"/>
      <w:bookmarkEnd w:id="658"/>
      <w:bookmarkStart w:id="659" w:name="_Toc481573768"/>
      <w:bookmarkEnd w:id="659"/>
      <w:bookmarkStart w:id="660" w:name="_Toc485022334"/>
      <w:bookmarkEnd w:id="660"/>
      <w:bookmarkStart w:id="661" w:name="_Toc481569060"/>
      <w:bookmarkEnd w:id="661"/>
      <w:bookmarkStart w:id="662" w:name="_Toc481573494"/>
      <w:bookmarkEnd w:id="662"/>
      <w:bookmarkStart w:id="663" w:name="_Toc485024244"/>
      <w:bookmarkEnd w:id="663"/>
      <w:bookmarkStart w:id="664" w:name="_Toc485022536"/>
      <w:bookmarkEnd w:id="664"/>
      <w:bookmarkStart w:id="665" w:name="_Toc481572165"/>
      <w:bookmarkEnd w:id="665"/>
      <w:bookmarkStart w:id="666" w:name="_Toc481572684"/>
      <w:bookmarkEnd w:id="666"/>
      <w:bookmarkStart w:id="667" w:name="_Toc481572682"/>
      <w:bookmarkEnd w:id="667"/>
      <w:bookmarkStart w:id="668" w:name="_Toc481573651"/>
      <w:bookmarkEnd w:id="668"/>
      <w:bookmarkStart w:id="669" w:name="_Toc462071084"/>
      <w:bookmarkEnd w:id="669"/>
      <w:bookmarkStart w:id="670" w:name="_Toc417815087"/>
      <w:bookmarkEnd w:id="670"/>
      <w:bookmarkStart w:id="671" w:name="_Toc417815136"/>
      <w:bookmarkEnd w:id="671"/>
      <w:bookmarkStart w:id="672" w:name="_Toc485023215"/>
      <w:bookmarkEnd w:id="672"/>
      <w:bookmarkStart w:id="673" w:name="_Toc417401495"/>
      <w:bookmarkEnd w:id="673"/>
      <w:bookmarkStart w:id="674" w:name="_Toc481572487"/>
      <w:bookmarkEnd w:id="674"/>
      <w:bookmarkStart w:id="675" w:name="_Toc481572667"/>
      <w:bookmarkEnd w:id="675"/>
      <w:bookmarkStart w:id="676" w:name="_Toc484792537"/>
      <w:bookmarkEnd w:id="676"/>
      <w:bookmarkStart w:id="677" w:name="_Toc481572253"/>
      <w:bookmarkEnd w:id="677"/>
      <w:bookmarkStart w:id="678" w:name="_Toc485023152"/>
      <w:bookmarkEnd w:id="678"/>
      <w:bookmarkStart w:id="679" w:name="_Toc485024249"/>
      <w:bookmarkEnd w:id="679"/>
      <w:bookmarkStart w:id="680" w:name="_Toc485024016"/>
      <w:bookmarkEnd w:id="680"/>
      <w:bookmarkStart w:id="681" w:name="_Toc481573600"/>
      <w:bookmarkEnd w:id="681"/>
      <w:bookmarkStart w:id="682" w:name="_Toc485023199"/>
      <w:bookmarkEnd w:id="682"/>
      <w:bookmarkStart w:id="683" w:name="_Toc481573656"/>
      <w:bookmarkEnd w:id="683"/>
      <w:bookmarkStart w:id="684" w:name="_Toc485023834"/>
      <w:bookmarkEnd w:id="684"/>
      <w:bookmarkStart w:id="685" w:name="_Toc481572836"/>
      <w:bookmarkEnd w:id="685"/>
      <w:bookmarkStart w:id="686" w:name="_Toc485023309"/>
      <w:bookmarkEnd w:id="686"/>
      <w:bookmarkStart w:id="687" w:name="_Toc485022629"/>
      <w:bookmarkEnd w:id="687"/>
      <w:bookmarkStart w:id="688" w:name="_Toc481572904"/>
      <w:bookmarkEnd w:id="688"/>
      <w:bookmarkStart w:id="689" w:name="_Toc485024017"/>
      <w:bookmarkEnd w:id="689"/>
      <w:bookmarkStart w:id="690" w:name="_Toc485023979"/>
      <w:bookmarkEnd w:id="690"/>
      <w:bookmarkStart w:id="691" w:name="_Toc481573615"/>
      <w:bookmarkEnd w:id="691"/>
      <w:bookmarkStart w:id="692" w:name="_Toc485023771"/>
      <w:bookmarkEnd w:id="692"/>
      <w:bookmarkStart w:id="693" w:name="_Toc485022251"/>
      <w:bookmarkEnd w:id="693"/>
      <w:bookmarkStart w:id="694" w:name="_Toc481573266"/>
      <w:bookmarkEnd w:id="694"/>
      <w:bookmarkStart w:id="695" w:name="_Toc485022670"/>
      <w:bookmarkEnd w:id="695"/>
      <w:bookmarkStart w:id="696" w:name="_Toc484792513"/>
      <w:bookmarkEnd w:id="696"/>
      <w:bookmarkStart w:id="697" w:name="_Toc485021686"/>
      <w:bookmarkEnd w:id="697"/>
      <w:bookmarkStart w:id="698" w:name="_Toc481573380"/>
      <w:bookmarkEnd w:id="698"/>
      <w:bookmarkStart w:id="699" w:name="_Toc484792509"/>
      <w:bookmarkEnd w:id="699"/>
      <w:bookmarkStart w:id="700" w:name="_Toc485022021"/>
      <w:bookmarkEnd w:id="700"/>
      <w:bookmarkStart w:id="701" w:name="_Toc481573723"/>
      <w:bookmarkEnd w:id="701"/>
      <w:bookmarkStart w:id="702" w:name="_Toc481566537"/>
      <w:bookmarkEnd w:id="702"/>
      <w:bookmarkStart w:id="703" w:name="_Toc481572632"/>
      <w:bookmarkEnd w:id="703"/>
      <w:bookmarkStart w:id="704" w:name="_Toc485022186"/>
      <w:bookmarkEnd w:id="704"/>
      <w:bookmarkStart w:id="705" w:name="_Toc481573331"/>
      <w:bookmarkEnd w:id="705"/>
      <w:bookmarkStart w:id="706" w:name="_Toc481572987"/>
      <w:bookmarkEnd w:id="706"/>
      <w:bookmarkStart w:id="707" w:name="_Toc417818663"/>
      <w:bookmarkEnd w:id="707"/>
      <w:bookmarkStart w:id="708" w:name="_Toc481572328"/>
      <w:bookmarkEnd w:id="708"/>
      <w:bookmarkStart w:id="709" w:name="_Toc481572202"/>
      <w:bookmarkEnd w:id="709"/>
      <w:bookmarkStart w:id="710" w:name="_Toc481573134"/>
      <w:bookmarkEnd w:id="710"/>
      <w:bookmarkStart w:id="711" w:name="_Toc481572560"/>
      <w:bookmarkEnd w:id="711"/>
      <w:bookmarkStart w:id="712" w:name="_Toc485022401"/>
      <w:bookmarkEnd w:id="712"/>
      <w:bookmarkStart w:id="713" w:name="_Toc481572991"/>
      <w:bookmarkEnd w:id="713"/>
      <w:bookmarkStart w:id="714" w:name="_Toc481572488"/>
      <w:bookmarkEnd w:id="714"/>
      <w:bookmarkStart w:id="715" w:name="_Toc485024067"/>
      <w:bookmarkEnd w:id="715"/>
      <w:bookmarkStart w:id="716" w:name="_Toc417513983"/>
      <w:bookmarkEnd w:id="716"/>
      <w:bookmarkStart w:id="717" w:name="_Toc417815088"/>
      <w:bookmarkEnd w:id="717"/>
      <w:bookmarkStart w:id="718" w:name="_Toc481572624"/>
      <w:bookmarkEnd w:id="718"/>
      <w:bookmarkStart w:id="719" w:name="_Toc485022085"/>
      <w:bookmarkEnd w:id="719"/>
      <w:bookmarkStart w:id="720" w:name="_Toc417815090"/>
      <w:bookmarkEnd w:id="720"/>
      <w:bookmarkStart w:id="721" w:name="_Toc481572953"/>
      <w:bookmarkEnd w:id="721"/>
      <w:bookmarkStart w:id="722" w:name="_Toc485023740"/>
      <w:bookmarkEnd w:id="722"/>
      <w:bookmarkStart w:id="723" w:name="_Toc485023337"/>
      <w:bookmarkEnd w:id="723"/>
      <w:bookmarkStart w:id="724" w:name="_Toc481568954"/>
      <w:bookmarkEnd w:id="724"/>
      <w:bookmarkStart w:id="725" w:name="_Toc485022618"/>
      <w:bookmarkEnd w:id="725"/>
      <w:bookmarkStart w:id="726" w:name="_Toc485021758"/>
      <w:bookmarkEnd w:id="726"/>
      <w:bookmarkStart w:id="727" w:name="_Toc481569076"/>
      <w:bookmarkEnd w:id="727"/>
      <w:bookmarkStart w:id="728" w:name="_Toc462231873"/>
      <w:bookmarkEnd w:id="728"/>
      <w:bookmarkStart w:id="729" w:name="_Toc485024408"/>
      <w:bookmarkEnd w:id="729"/>
      <w:bookmarkStart w:id="730" w:name="_Toc485024130"/>
      <w:bookmarkEnd w:id="730"/>
      <w:bookmarkStart w:id="731" w:name="_Toc481572819"/>
      <w:bookmarkEnd w:id="731"/>
      <w:bookmarkStart w:id="732" w:name="_Toc481572433"/>
      <w:bookmarkEnd w:id="732"/>
      <w:bookmarkStart w:id="733" w:name="_Toc481568949"/>
      <w:bookmarkEnd w:id="733"/>
      <w:bookmarkStart w:id="734" w:name="_Toc485024198"/>
      <w:bookmarkEnd w:id="734"/>
      <w:bookmarkStart w:id="735" w:name="_Toc485024296"/>
      <w:bookmarkEnd w:id="735"/>
      <w:bookmarkStart w:id="736" w:name="_Toc481572311"/>
      <w:bookmarkEnd w:id="736"/>
      <w:bookmarkStart w:id="737" w:name="_Toc417513856"/>
      <w:bookmarkEnd w:id="737"/>
      <w:bookmarkStart w:id="738" w:name="_Toc481573027"/>
      <w:bookmarkEnd w:id="738"/>
      <w:bookmarkStart w:id="739" w:name="_Toc485021930"/>
      <w:bookmarkEnd w:id="739"/>
      <w:bookmarkStart w:id="740" w:name="_Toc484792735"/>
      <w:bookmarkEnd w:id="740"/>
      <w:bookmarkStart w:id="741" w:name="_Toc484792422"/>
      <w:bookmarkEnd w:id="741"/>
      <w:bookmarkStart w:id="742" w:name="_Toc481573186"/>
      <w:bookmarkEnd w:id="742"/>
      <w:bookmarkStart w:id="743" w:name="_Toc485023872"/>
      <w:bookmarkEnd w:id="743"/>
      <w:bookmarkStart w:id="744" w:name="_Toc481572413"/>
      <w:bookmarkEnd w:id="744"/>
      <w:bookmarkStart w:id="745" w:name="_Toc396921760"/>
      <w:bookmarkEnd w:id="745"/>
      <w:bookmarkStart w:id="746" w:name="_Toc485022448"/>
      <w:bookmarkEnd w:id="746"/>
      <w:bookmarkStart w:id="747" w:name="_Toc481501751"/>
      <w:bookmarkEnd w:id="747"/>
      <w:bookmarkStart w:id="748" w:name="_Toc481573285"/>
      <w:bookmarkEnd w:id="748"/>
      <w:bookmarkStart w:id="749" w:name="_Toc481566375"/>
      <w:bookmarkEnd w:id="749"/>
      <w:bookmarkStart w:id="750" w:name="_Toc481572721"/>
      <w:bookmarkEnd w:id="750"/>
      <w:bookmarkStart w:id="751" w:name="_Toc485023737"/>
      <w:bookmarkEnd w:id="751"/>
      <w:bookmarkStart w:id="752" w:name="_Toc481572290"/>
      <w:bookmarkEnd w:id="752"/>
      <w:bookmarkStart w:id="753" w:name="_Toc485024069"/>
      <w:bookmarkEnd w:id="753"/>
      <w:bookmarkStart w:id="754" w:name="_Toc484792492"/>
      <w:bookmarkEnd w:id="754"/>
      <w:bookmarkStart w:id="755" w:name="_Toc481568965"/>
      <w:bookmarkEnd w:id="755"/>
      <w:bookmarkStart w:id="756" w:name="_Toc481566413"/>
      <w:bookmarkEnd w:id="756"/>
      <w:bookmarkStart w:id="757" w:name="_Toc485023182"/>
      <w:bookmarkEnd w:id="757"/>
      <w:bookmarkStart w:id="758" w:name="_Toc485023765"/>
      <w:bookmarkEnd w:id="758"/>
      <w:bookmarkStart w:id="759" w:name="_Toc485022268"/>
      <w:bookmarkEnd w:id="759"/>
      <w:bookmarkStart w:id="760" w:name="_Toc485021787"/>
      <w:bookmarkEnd w:id="760"/>
      <w:bookmarkStart w:id="761" w:name="_Toc417815005"/>
      <w:bookmarkEnd w:id="761"/>
      <w:bookmarkStart w:id="762" w:name="_Toc481573419"/>
      <w:bookmarkEnd w:id="762"/>
      <w:bookmarkStart w:id="763" w:name="_Toc485023176"/>
      <w:bookmarkEnd w:id="763"/>
      <w:bookmarkStart w:id="764" w:name="_Toc485023310"/>
      <w:bookmarkEnd w:id="764"/>
      <w:bookmarkStart w:id="765" w:name="_Toc485022396"/>
      <w:bookmarkEnd w:id="765"/>
      <w:bookmarkStart w:id="766" w:name="_Toc417814700"/>
      <w:bookmarkEnd w:id="766"/>
      <w:bookmarkStart w:id="767" w:name="_Toc481572219"/>
      <w:bookmarkEnd w:id="767"/>
      <w:bookmarkStart w:id="768" w:name="_Toc481566563"/>
      <w:bookmarkEnd w:id="768"/>
      <w:bookmarkStart w:id="769" w:name="_Toc481573725"/>
      <w:bookmarkEnd w:id="769"/>
      <w:bookmarkStart w:id="770" w:name="_Toc485023250"/>
      <w:bookmarkEnd w:id="770"/>
      <w:bookmarkStart w:id="771" w:name="_Toc481573028"/>
      <w:bookmarkEnd w:id="771"/>
      <w:bookmarkStart w:id="772" w:name="_Toc485023287"/>
      <w:bookmarkEnd w:id="772"/>
      <w:bookmarkStart w:id="773" w:name="_Toc485023835"/>
      <w:bookmarkEnd w:id="773"/>
      <w:bookmarkStart w:id="774" w:name="_Toc481572792"/>
      <w:bookmarkEnd w:id="774"/>
      <w:bookmarkStart w:id="775" w:name="_Toc481572057"/>
      <w:bookmarkEnd w:id="775"/>
      <w:bookmarkStart w:id="776" w:name="_Toc481571982"/>
      <w:bookmarkEnd w:id="776"/>
      <w:bookmarkStart w:id="777" w:name="_Toc417637387"/>
      <w:bookmarkEnd w:id="777"/>
      <w:bookmarkStart w:id="778" w:name="_Toc481566369"/>
      <w:bookmarkEnd w:id="778"/>
      <w:bookmarkStart w:id="779" w:name="_Toc481572437"/>
      <w:bookmarkEnd w:id="779"/>
      <w:bookmarkStart w:id="780" w:name="_Toc417514037"/>
      <w:bookmarkEnd w:id="780"/>
      <w:bookmarkStart w:id="781" w:name="_Toc485022615"/>
      <w:bookmarkEnd w:id="781"/>
      <w:bookmarkStart w:id="782" w:name="_Toc485021979"/>
      <w:bookmarkEnd w:id="782"/>
      <w:bookmarkStart w:id="783" w:name="_Toc481571969"/>
      <w:bookmarkEnd w:id="783"/>
      <w:bookmarkStart w:id="784" w:name="_Toc484792424"/>
      <w:bookmarkEnd w:id="784"/>
      <w:bookmarkStart w:id="785" w:name="_Toc481572101"/>
      <w:bookmarkEnd w:id="785"/>
      <w:bookmarkStart w:id="786" w:name="_Toc485024370"/>
      <w:bookmarkEnd w:id="786"/>
      <w:bookmarkStart w:id="787" w:name="_Toc485024246"/>
      <w:bookmarkEnd w:id="787"/>
      <w:bookmarkStart w:id="788" w:name="_Toc481573089"/>
      <w:bookmarkEnd w:id="788"/>
      <w:bookmarkStart w:id="789" w:name="_Toc481572022"/>
      <w:bookmarkEnd w:id="789"/>
      <w:bookmarkStart w:id="790" w:name="_Toc481569041"/>
      <w:bookmarkEnd w:id="790"/>
      <w:bookmarkStart w:id="791" w:name="_Toc481572793"/>
      <w:bookmarkEnd w:id="791"/>
      <w:bookmarkStart w:id="792" w:name="_Toc481573420"/>
      <w:bookmarkEnd w:id="792"/>
      <w:bookmarkStart w:id="793" w:name="_Toc417327264"/>
      <w:bookmarkEnd w:id="793"/>
      <w:bookmarkStart w:id="794" w:name="_Toc481573137"/>
      <w:bookmarkEnd w:id="794"/>
      <w:bookmarkStart w:id="795" w:name="_Toc417401630"/>
      <w:bookmarkEnd w:id="795"/>
      <w:bookmarkStart w:id="796" w:name="_Toc481568952"/>
      <w:bookmarkEnd w:id="796"/>
      <w:bookmarkStart w:id="797" w:name="_Toc481572738"/>
      <w:bookmarkEnd w:id="797"/>
      <w:bookmarkStart w:id="798" w:name="_Toc485024020"/>
      <w:bookmarkEnd w:id="798"/>
      <w:bookmarkStart w:id="799" w:name="_Toc484792617"/>
      <w:bookmarkEnd w:id="799"/>
      <w:bookmarkStart w:id="800" w:name="_Toc396921850"/>
      <w:bookmarkEnd w:id="800"/>
      <w:bookmarkStart w:id="801" w:name="_Toc481572561"/>
      <w:bookmarkEnd w:id="801"/>
      <w:bookmarkStart w:id="802" w:name="_Toc485023786"/>
      <w:bookmarkEnd w:id="802"/>
      <w:bookmarkStart w:id="803" w:name="_Toc485022702"/>
      <w:bookmarkEnd w:id="803"/>
      <w:bookmarkStart w:id="804" w:name="_Toc485023351"/>
      <w:bookmarkEnd w:id="804"/>
      <w:bookmarkStart w:id="805" w:name="_Toc485023177"/>
      <w:bookmarkEnd w:id="805"/>
      <w:bookmarkStart w:id="806" w:name="_Toc481501807"/>
      <w:bookmarkEnd w:id="806"/>
      <w:bookmarkStart w:id="807" w:name="_Toc481573330"/>
      <w:bookmarkEnd w:id="807"/>
      <w:bookmarkStart w:id="808" w:name="_Toc481573556"/>
      <w:bookmarkEnd w:id="808"/>
      <w:bookmarkStart w:id="809" w:name="_Toc481573454"/>
      <w:bookmarkEnd w:id="809"/>
      <w:bookmarkStart w:id="810" w:name="_Toc481573690"/>
      <w:bookmarkEnd w:id="810"/>
      <w:bookmarkStart w:id="811" w:name="_Toc485024259"/>
      <w:bookmarkEnd w:id="811"/>
      <w:bookmarkStart w:id="812" w:name="_Toc481572156"/>
      <w:bookmarkEnd w:id="812"/>
      <w:bookmarkStart w:id="813" w:name="_Toc481573383"/>
      <w:bookmarkEnd w:id="813"/>
      <w:bookmarkStart w:id="814" w:name="_Toc417814835"/>
      <w:bookmarkEnd w:id="814"/>
      <w:bookmarkStart w:id="815" w:name="_Toc485024260"/>
      <w:bookmarkEnd w:id="815"/>
      <w:bookmarkStart w:id="816" w:name="_Toc417327449"/>
      <w:bookmarkEnd w:id="816"/>
      <w:bookmarkStart w:id="817" w:name="_Toc481566464"/>
      <w:bookmarkEnd w:id="817"/>
      <w:bookmarkStart w:id="818" w:name="_Toc485024269"/>
      <w:bookmarkEnd w:id="818"/>
      <w:bookmarkStart w:id="819" w:name="_Toc485021981"/>
      <w:bookmarkEnd w:id="819"/>
      <w:bookmarkStart w:id="820" w:name="_Toc485022195"/>
      <w:bookmarkEnd w:id="820"/>
      <w:bookmarkStart w:id="821" w:name="_Toc485022069"/>
      <w:bookmarkEnd w:id="821"/>
      <w:bookmarkStart w:id="822" w:name="_Toc481566410"/>
      <w:bookmarkEnd w:id="822"/>
      <w:bookmarkStart w:id="823" w:name="_Toc481573158"/>
      <w:bookmarkEnd w:id="823"/>
      <w:bookmarkStart w:id="824" w:name="_Toc481566415"/>
      <w:bookmarkEnd w:id="824"/>
      <w:bookmarkStart w:id="825" w:name="_Toc481572916"/>
      <w:bookmarkEnd w:id="825"/>
      <w:bookmarkStart w:id="826" w:name="_Toc481573069"/>
      <w:bookmarkEnd w:id="826"/>
      <w:bookmarkStart w:id="827" w:name="_Toc485021676"/>
      <w:bookmarkEnd w:id="827"/>
      <w:bookmarkStart w:id="828" w:name="_Toc485023970"/>
      <w:bookmarkEnd w:id="828"/>
      <w:bookmarkStart w:id="829" w:name="_Toc485021760"/>
      <w:bookmarkEnd w:id="829"/>
      <w:bookmarkStart w:id="830" w:name="_Toc481572157"/>
      <w:bookmarkEnd w:id="830"/>
      <w:bookmarkStart w:id="831" w:name="_Toc417815234"/>
      <w:bookmarkEnd w:id="831"/>
      <w:bookmarkStart w:id="832" w:name="_Toc417814917"/>
      <w:bookmarkEnd w:id="832"/>
      <w:bookmarkStart w:id="833" w:name="_Toc481569079"/>
      <w:bookmarkEnd w:id="833"/>
      <w:bookmarkStart w:id="834" w:name="_Toc485023785"/>
      <w:bookmarkEnd w:id="834"/>
      <w:bookmarkStart w:id="835" w:name="_Toc481502027"/>
      <w:bookmarkEnd w:id="835"/>
      <w:bookmarkStart w:id="836" w:name="_Toc485022595"/>
      <w:bookmarkEnd w:id="836"/>
      <w:bookmarkStart w:id="837" w:name="_Toc417327379"/>
      <w:bookmarkEnd w:id="837"/>
      <w:bookmarkStart w:id="838" w:name="_Toc417818575"/>
      <w:bookmarkEnd w:id="838"/>
      <w:bookmarkStart w:id="839" w:name="_Toc481568907"/>
      <w:bookmarkEnd w:id="839"/>
      <w:bookmarkStart w:id="840" w:name="_Toc417814842"/>
      <w:bookmarkEnd w:id="840"/>
      <w:bookmarkStart w:id="841" w:name="_Toc485022271"/>
      <w:bookmarkEnd w:id="841"/>
      <w:bookmarkStart w:id="842" w:name="_Toc417513990"/>
      <w:bookmarkEnd w:id="842"/>
      <w:bookmarkStart w:id="843" w:name="_Toc481573518"/>
      <w:bookmarkEnd w:id="843"/>
      <w:bookmarkStart w:id="844" w:name="_Toc417815083"/>
      <w:bookmarkEnd w:id="844"/>
      <w:bookmarkStart w:id="845" w:name="_Toc485023871"/>
      <w:bookmarkEnd w:id="845"/>
      <w:bookmarkStart w:id="846" w:name="_Toc481572865"/>
      <w:bookmarkEnd w:id="846"/>
      <w:bookmarkStart w:id="847" w:name="_Toc481572755"/>
      <w:bookmarkEnd w:id="847"/>
      <w:bookmarkStart w:id="848" w:name="_Toc485021685"/>
      <w:bookmarkEnd w:id="848"/>
      <w:bookmarkStart w:id="849" w:name="_Toc481571926"/>
      <w:bookmarkEnd w:id="849"/>
      <w:bookmarkStart w:id="850" w:name="_Toc485024248"/>
      <w:bookmarkEnd w:id="850"/>
      <w:bookmarkStart w:id="851" w:name="_Toc485021786"/>
      <w:bookmarkEnd w:id="851"/>
      <w:bookmarkStart w:id="852" w:name="_Toc485022413"/>
      <w:bookmarkEnd w:id="852"/>
      <w:bookmarkStart w:id="853" w:name="_Toc485022412"/>
      <w:bookmarkEnd w:id="853"/>
      <w:bookmarkStart w:id="854" w:name="_Toc485023784"/>
      <w:bookmarkEnd w:id="854"/>
      <w:bookmarkStart w:id="855" w:name="_Toc417514000"/>
      <w:bookmarkEnd w:id="855"/>
      <w:bookmarkStart w:id="856" w:name="_Toc481573557"/>
      <w:bookmarkEnd w:id="856"/>
      <w:bookmarkStart w:id="857" w:name="_Toc485023184"/>
      <w:bookmarkEnd w:id="857"/>
      <w:bookmarkStart w:id="858" w:name="_Toc481572669"/>
      <w:bookmarkEnd w:id="858"/>
      <w:bookmarkStart w:id="859" w:name="_Toc485024369"/>
      <w:bookmarkEnd w:id="859"/>
      <w:bookmarkStart w:id="860" w:name="_Toc485024243"/>
      <w:bookmarkEnd w:id="860"/>
      <w:bookmarkStart w:id="861" w:name="_Toc481566465"/>
      <w:bookmarkEnd w:id="861"/>
      <w:bookmarkStart w:id="862" w:name="_Toc485024031"/>
      <w:bookmarkEnd w:id="862"/>
      <w:bookmarkStart w:id="863" w:name="_Toc481572435"/>
      <w:bookmarkEnd w:id="863"/>
      <w:bookmarkStart w:id="864" w:name="_Toc417327351"/>
      <w:bookmarkEnd w:id="864"/>
      <w:bookmarkStart w:id="865" w:name="_Toc485024258"/>
      <w:bookmarkEnd w:id="865"/>
      <w:bookmarkStart w:id="866" w:name="_Toc485024139"/>
      <w:bookmarkEnd w:id="866"/>
      <w:bookmarkStart w:id="867" w:name="_Toc481572683"/>
      <w:bookmarkEnd w:id="867"/>
      <w:bookmarkStart w:id="868" w:name="_Toc485022727"/>
      <w:bookmarkEnd w:id="868"/>
      <w:bookmarkStart w:id="869" w:name="_Toc481566500"/>
      <w:bookmarkEnd w:id="869"/>
      <w:bookmarkStart w:id="870" w:name="_Toc462231760"/>
      <w:bookmarkEnd w:id="870"/>
      <w:bookmarkStart w:id="871" w:name="_Toc485022725"/>
      <w:bookmarkEnd w:id="871"/>
      <w:bookmarkStart w:id="872" w:name="_Toc481572434"/>
      <w:bookmarkEnd w:id="872"/>
      <w:bookmarkStart w:id="873" w:name="_Toc485023318"/>
      <w:bookmarkEnd w:id="873"/>
      <w:bookmarkStart w:id="874" w:name="_Toc481573090"/>
      <w:bookmarkEnd w:id="874"/>
      <w:bookmarkStart w:id="875" w:name="_Toc481572327"/>
      <w:bookmarkEnd w:id="875"/>
      <w:bookmarkStart w:id="876" w:name="_Toc485023217"/>
      <w:bookmarkEnd w:id="876"/>
      <w:bookmarkStart w:id="877" w:name="_Toc481573616"/>
      <w:bookmarkEnd w:id="877"/>
      <w:bookmarkStart w:id="878" w:name="_Toc485022237"/>
      <w:bookmarkEnd w:id="878"/>
      <w:bookmarkStart w:id="879" w:name="_Toc417818645"/>
      <w:bookmarkEnd w:id="879"/>
      <w:bookmarkStart w:id="880" w:name="_Toc485023880"/>
      <w:bookmarkEnd w:id="880"/>
      <w:bookmarkStart w:id="881" w:name="_Toc485021783"/>
      <w:bookmarkEnd w:id="881"/>
      <w:bookmarkStart w:id="882" w:name="_Toc481569067"/>
      <w:bookmarkEnd w:id="882"/>
      <w:bookmarkStart w:id="883" w:name="_Toc484792656"/>
      <w:bookmarkEnd w:id="883"/>
      <w:bookmarkStart w:id="884" w:name="_Toc484792539"/>
      <w:bookmarkEnd w:id="884"/>
      <w:bookmarkStart w:id="885" w:name="_Toc485021782"/>
      <w:bookmarkEnd w:id="885"/>
      <w:bookmarkStart w:id="886" w:name="_Toc481502208"/>
      <w:bookmarkEnd w:id="886"/>
      <w:bookmarkStart w:id="887" w:name="_Toc481569007"/>
      <w:bookmarkEnd w:id="887"/>
      <w:bookmarkStart w:id="888" w:name="_Toc481573368"/>
      <w:bookmarkEnd w:id="888"/>
      <w:bookmarkStart w:id="889" w:name="_Toc481569003"/>
      <w:bookmarkEnd w:id="889"/>
      <w:bookmarkStart w:id="890" w:name="_Toc417819054"/>
      <w:bookmarkEnd w:id="890"/>
      <w:bookmarkStart w:id="891" w:name="_Toc481502345"/>
      <w:bookmarkEnd w:id="891"/>
      <w:bookmarkStart w:id="892" w:name="_Toc484792726"/>
      <w:bookmarkEnd w:id="892"/>
      <w:bookmarkStart w:id="893" w:name="_Toc485023870"/>
      <w:bookmarkEnd w:id="893"/>
      <w:bookmarkStart w:id="894" w:name="_Toc481568905"/>
      <w:bookmarkEnd w:id="894"/>
      <w:bookmarkStart w:id="895" w:name="_Toc485024230"/>
      <w:bookmarkEnd w:id="895"/>
      <w:bookmarkStart w:id="896" w:name="_Toc485024199"/>
      <w:bookmarkEnd w:id="896"/>
      <w:bookmarkStart w:id="897" w:name="_Toc485024300"/>
      <w:bookmarkEnd w:id="897"/>
      <w:bookmarkStart w:id="898" w:name="_Toc485024247"/>
      <w:bookmarkEnd w:id="898"/>
      <w:bookmarkStart w:id="899" w:name="_Toc484792752"/>
      <w:bookmarkEnd w:id="899"/>
      <w:bookmarkStart w:id="900" w:name="_Toc481572858"/>
      <w:bookmarkEnd w:id="900"/>
      <w:bookmarkStart w:id="901" w:name="_Toc417815036"/>
      <w:bookmarkEnd w:id="901"/>
      <w:bookmarkStart w:id="902" w:name="_Toc481572491"/>
      <w:bookmarkEnd w:id="902"/>
      <w:bookmarkStart w:id="903" w:name="_Toc481572120"/>
      <w:bookmarkEnd w:id="903"/>
      <w:bookmarkStart w:id="904" w:name="_Toc481572915"/>
      <w:bookmarkEnd w:id="904"/>
      <w:bookmarkStart w:id="905" w:name="_Toc481573381"/>
      <w:bookmarkEnd w:id="905"/>
      <w:bookmarkStart w:id="906" w:name="_Toc481573152"/>
      <w:bookmarkEnd w:id="906"/>
      <w:bookmarkStart w:id="907" w:name="_Toc481572902"/>
      <w:bookmarkEnd w:id="907"/>
      <w:bookmarkStart w:id="908" w:name="_Toc481566538"/>
      <w:bookmarkEnd w:id="908"/>
      <w:bookmarkStart w:id="909" w:name="_Toc481572521"/>
      <w:bookmarkEnd w:id="909"/>
      <w:bookmarkStart w:id="910" w:name="_Toc485024033"/>
      <w:bookmarkEnd w:id="910"/>
      <w:bookmarkStart w:id="911" w:name="_Toc481569037"/>
      <w:bookmarkEnd w:id="911"/>
      <w:bookmarkStart w:id="912" w:name="_Toc481572291"/>
      <w:bookmarkEnd w:id="912"/>
      <w:bookmarkStart w:id="913" w:name="_Toc481501836"/>
      <w:bookmarkEnd w:id="913"/>
      <w:bookmarkStart w:id="914" w:name="_Toc481572220"/>
      <w:bookmarkEnd w:id="914"/>
      <w:bookmarkStart w:id="915" w:name="_Toc485022080"/>
      <w:bookmarkEnd w:id="915"/>
      <w:bookmarkStart w:id="916" w:name="_Toc484792543"/>
      <w:bookmarkEnd w:id="916"/>
      <w:bookmarkStart w:id="917" w:name="_Toc417814977"/>
      <w:bookmarkEnd w:id="917"/>
      <w:bookmarkStart w:id="918" w:name="_Toc485023903"/>
      <w:bookmarkEnd w:id="918"/>
      <w:bookmarkStart w:id="919" w:name="_Toc485022593"/>
      <w:bookmarkEnd w:id="919"/>
      <w:bookmarkStart w:id="920" w:name="_Toc484792641"/>
      <w:bookmarkEnd w:id="920"/>
      <w:bookmarkStart w:id="921" w:name="_Toc417818501"/>
      <w:bookmarkEnd w:id="921"/>
      <w:bookmarkStart w:id="922" w:name="_Toc481569102"/>
      <w:bookmarkEnd w:id="922"/>
      <w:bookmarkStart w:id="923" w:name="_Toc417632707"/>
      <w:bookmarkEnd w:id="923"/>
      <w:bookmarkStart w:id="924" w:name="_Toc417327148"/>
      <w:bookmarkEnd w:id="924"/>
      <w:bookmarkStart w:id="925" w:name="_Toc481572389"/>
      <w:bookmarkEnd w:id="925"/>
      <w:bookmarkStart w:id="926" w:name="_Toc481572757"/>
      <w:bookmarkEnd w:id="926"/>
      <w:bookmarkStart w:id="927" w:name="_Toc485024227"/>
      <w:bookmarkEnd w:id="927"/>
      <w:bookmarkStart w:id="928" w:name="_Toc481573457"/>
      <w:bookmarkEnd w:id="928"/>
      <w:bookmarkStart w:id="929" w:name="_Toc485024223"/>
      <w:bookmarkEnd w:id="929"/>
      <w:bookmarkStart w:id="930" w:name="_Toc485022353"/>
      <w:bookmarkEnd w:id="930"/>
      <w:bookmarkStart w:id="931" w:name="_Toc481573599"/>
      <w:bookmarkEnd w:id="931"/>
      <w:bookmarkStart w:id="932" w:name="_Toc485022078"/>
      <w:bookmarkEnd w:id="932"/>
      <w:bookmarkStart w:id="933" w:name="_Toc481572180"/>
      <w:bookmarkEnd w:id="933"/>
      <w:bookmarkStart w:id="934" w:name="_Toc485022354"/>
      <w:bookmarkEnd w:id="934"/>
      <w:bookmarkStart w:id="935" w:name="_Toc481572989"/>
      <w:bookmarkEnd w:id="935"/>
      <w:bookmarkStart w:id="936" w:name="_Toc485023154"/>
      <w:bookmarkEnd w:id="936"/>
      <w:bookmarkStart w:id="937" w:name="_Toc481572255"/>
      <w:bookmarkEnd w:id="937"/>
      <w:bookmarkStart w:id="938" w:name="_Toc481566366"/>
      <w:bookmarkEnd w:id="938"/>
      <w:bookmarkStart w:id="939" w:name="_Toc481572631"/>
      <w:bookmarkEnd w:id="939"/>
      <w:bookmarkStart w:id="940" w:name="_Toc481573323"/>
      <w:bookmarkEnd w:id="940"/>
      <w:bookmarkStart w:id="941" w:name="_Toc485022035"/>
      <w:bookmarkEnd w:id="941"/>
      <w:bookmarkStart w:id="942" w:name="_Toc485023898"/>
      <w:bookmarkEnd w:id="942"/>
      <w:bookmarkStart w:id="943" w:name="_Toc485023971"/>
      <w:bookmarkEnd w:id="943"/>
      <w:bookmarkStart w:id="944" w:name="_Toc396921878"/>
      <w:bookmarkEnd w:id="944"/>
      <w:bookmarkStart w:id="945" w:name="_Toc481568908"/>
      <w:bookmarkEnd w:id="945"/>
      <w:bookmarkStart w:id="946" w:name="_Toc485022485"/>
      <w:bookmarkEnd w:id="946"/>
      <w:bookmarkStart w:id="947" w:name="_Toc485022200"/>
      <w:bookmarkEnd w:id="947"/>
      <w:bookmarkStart w:id="948" w:name="_Toc485022185"/>
      <w:bookmarkEnd w:id="948"/>
      <w:bookmarkStart w:id="949" w:name="_Toc481573324"/>
      <w:bookmarkEnd w:id="949"/>
      <w:bookmarkStart w:id="950" w:name="_Toc485024331"/>
      <w:bookmarkEnd w:id="950"/>
      <w:bookmarkStart w:id="951" w:name="_Toc417814889"/>
      <w:bookmarkEnd w:id="951"/>
      <w:bookmarkStart w:id="952" w:name="_Toc485022293"/>
      <w:bookmarkEnd w:id="952"/>
      <w:bookmarkStart w:id="953" w:name="_Toc481568950"/>
      <w:bookmarkEnd w:id="953"/>
      <w:bookmarkStart w:id="954" w:name="_Toc481572092"/>
      <w:bookmarkEnd w:id="954"/>
      <w:bookmarkStart w:id="955" w:name="_Toc485023286"/>
      <w:bookmarkEnd w:id="955"/>
      <w:bookmarkStart w:id="956" w:name="_Toc485023203"/>
      <w:bookmarkEnd w:id="956"/>
      <w:bookmarkStart w:id="957" w:name="_Toc481573384"/>
      <w:bookmarkEnd w:id="957"/>
      <w:bookmarkStart w:id="958" w:name="_Toc481572334"/>
      <w:bookmarkEnd w:id="958"/>
      <w:bookmarkStart w:id="959" w:name="_Toc481573391"/>
      <w:bookmarkEnd w:id="959"/>
      <w:bookmarkStart w:id="960" w:name="_Toc481573493"/>
      <w:bookmarkEnd w:id="960"/>
      <w:bookmarkStart w:id="961" w:name="_Toc462231890"/>
      <w:bookmarkEnd w:id="961"/>
      <w:bookmarkStart w:id="962" w:name="_Toc481573491"/>
      <w:bookmarkEnd w:id="962"/>
      <w:bookmarkStart w:id="963" w:name="_Toc485022206"/>
      <w:bookmarkEnd w:id="963"/>
      <w:bookmarkStart w:id="964" w:name="_Toc485023802"/>
      <w:bookmarkEnd w:id="964"/>
      <w:bookmarkStart w:id="965" w:name="_Toc481572917"/>
      <w:bookmarkEnd w:id="965"/>
      <w:bookmarkStart w:id="966" w:name="_Toc417401583"/>
      <w:bookmarkEnd w:id="966"/>
      <w:bookmarkStart w:id="967" w:name="_Toc481572459"/>
      <w:bookmarkEnd w:id="967"/>
      <w:bookmarkStart w:id="968" w:name="_Toc481572791"/>
      <w:bookmarkEnd w:id="968"/>
      <w:bookmarkStart w:id="969" w:name="_Toc481501971"/>
      <w:bookmarkEnd w:id="969"/>
      <w:bookmarkStart w:id="970" w:name="_Toc417637280"/>
      <w:bookmarkEnd w:id="970"/>
      <w:bookmarkStart w:id="971" w:name="_Toc417327283"/>
      <w:bookmarkEnd w:id="971"/>
      <w:bookmarkStart w:id="972" w:name="_Toc481573751"/>
      <w:bookmarkEnd w:id="972"/>
      <w:bookmarkStart w:id="973" w:name="_Toc485023761"/>
      <w:bookmarkEnd w:id="973"/>
      <w:bookmarkStart w:id="974" w:name="_Toc481572254"/>
      <w:bookmarkEnd w:id="974"/>
      <w:bookmarkStart w:id="975" w:name="_Toc485022361"/>
      <w:bookmarkEnd w:id="975"/>
      <w:bookmarkStart w:id="976" w:name="_Toc481568968"/>
      <w:bookmarkEnd w:id="976"/>
      <w:bookmarkStart w:id="977" w:name="_Toc485022734"/>
      <w:bookmarkEnd w:id="977"/>
      <w:bookmarkStart w:id="978" w:name="_Toc481572756"/>
      <w:bookmarkEnd w:id="978"/>
      <w:bookmarkStart w:id="979" w:name="_Toc481568966"/>
      <w:bookmarkEnd w:id="979"/>
      <w:bookmarkStart w:id="980" w:name="_Toc417818933"/>
      <w:bookmarkEnd w:id="980"/>
      <w:bookmarkStart w:id="981" w:name="_Toc485023181"/>
      <w:bookmarkEnd w:id="981"/>
      <w:bookmarkStart w:id="982" w:name="_Toc481573689"/>
      <w:bookmarkEnd w:id="982"/>
      <w:bookmarkStart w:id="983" w:name="_Toc481573455"/>
      <w:bookmarkEnd w:id="983"/>
      <w:bookmarkStart w:id="984" w:name="_Toc481573366"/>
      <w:bookmarkEnd w:id="984"/>
      <w:bookmarkStart w:id="985" w:name="_Toc485022684"/>
      <w:bookmarkEnd w:id="985"/>
      <w:bookmarkStart w:id="986" w:name="_Toc481573436"/>
      <w:bookmarkEnd w:id="986"/>
      <w:bookmarkStart w:id="987" w:name="_Toc484792388"/>
      <w:bookmarkEnd w:id="987"/>
      <w:bookmarkStart w:id="988" w:name="_Toc417637164"/>
      <w:bookmarkEnd w:id="988"/>
      <w:bookmarkStart w:id="989" w:name="_Toc485023739"/>
      <w:bookmarkEnd w:id="989"/>
      <w:bookmarkStart w:id="990" w:name="_Toc481572025"/>
      <w:bookmarkEnd w:id="990"/>
      <w:bookmarkStart w:id="991" w:name="_Toc481572796"/>
      <w:bookmarkEnd w:id="991"/>
      <w:bookmarkStart w:id="992" w:name="_Toc485022402"/>
      <w:bookmarkEnd w:id="992"/>
      <w:bookmarkStart w:id="993" w:name="_Toc481573418"/>
      <w:bookmarkEnd w:id="993"/>
      <w:bookmarkStart w:id="994" w:name="_Toc481573010"/>
      <w:bookmarkEnd w:id="994"/>
      <w:bookmarkStart w:id="995" w:name="_Toc481573151"/>
      <w:bookmarkEnd w:id="995"/>
      <w:bookmarkStart w:id="996" w:name="_Toc485023746"/>
      <w:bookmarkEnd w:id="996"/>
      <w:bookmarkStart w:id="997" w:name="_Toc481573260"/>
      <w:bookmarkEnd w:id="997"/>
      <w:bookmarkStart w:id="998" w:name="_Toc485024105"/>
      <w:bookmarkEnd w:id="998"/>
      <w:bookmarkStart w:id="999" w:name="_Toc417814710"/>
      <w:bookmarkEnd w:id="999"/>
      <w:bookmarkStart w:id="1000" w:name="_Toc485023996"/>
      <w:bookmarkEnd w:id="1000"/>
      <w:bookmarkStart w:id="1001" w:name="_Toc484792725"/>
      <w:bookmarkEnd w:id="1001"/>
      <w:bookmarkStart w:id="1002" w:name="_Toc481572398"/>
      <w:bookmarkEnd w:id="1002"/>
      <w:bookmarkStart w:id="1003" w:name="_Toc417818884"/>
      <w:bookmarkEnd w:id="1003"/>
      <w:bookmarkStart w:id="1004" w:name="_Toc481572800"/>
      <w:bookmarkEnd w:id="1004"/>
      <w:bookmarkStart w:id="1005" w:name="_Toc485022138"/>
      <w:bookmarkEnd w:id="1005"/>
      <w:bookmarkStart w:id="1006" w:name="_Toc481572559"/>
      <w:bookmarkEnd w:id="1006"/>
      <w:bookmarkStart w:id="1007" w:name="_Toc485023267"/>
      <w:bookmarkEnd w:id="1007"/>
      <w:bookmarkStart w:id="1008" w:name="_Toc484792724"/>
      <w:bookmarkEnd w:id="1008"/>
      <w:bookmarkStart w:id="1009" w:name="_Toc485022510"/>
      <w:bookmarkEnd w:id="1009"/>
      <w:bookmarkStart w:id="1010" w:name="_Toc481573243"/>
      <w:bookmarkEnd w:id="1010"/>
      <w:bookmarkStart w:id="1011" w:name="_Toc485023995"/>
      <w:bookmarkEnd w:id="1011"/>
      <w:bookmarkStart w:id="1012" w:name="_Toc484792694"/>
      <w:bookmarkEnd w:id="1012"/>
      <w:bookmarkStart w:id="1013" w:name="_Toc481572754"/>
      <w:bookmarkEnd w:id="1013"/>
      <w:bookmarkStart w:id="1014" w:name="_Toc481572777"/>
      <w:bookmarkEnd w:id="1014"/>
      <w:bookmarkStart w:id="1015" w:name="_Toc485024367"/>
      <w:bookmarkEnd w:id="1015"/>
      <w:bookmarkStart w:id="1016" w:name="_Toc481572137"/>
      <w:bookmarkEnd w:id="1016"/>
      <w:bookmarkStart w:id="1017" w:name="_Toc485024231"/>
      <w:bookmarkEnd w:id="1017"/>
      <w:bookmarkStart w:id="1018" w:name="_Toc485023787"/>
      <w:bookmarkEnd w:id="1018"/>
      <w:bookmarkStart w:id="1019" w:name="_Toc485022294"/>
      <w:bookmarkEnd w:id="1019"/>
      <w:bookmarkStart w:id="1020" w:name="_Toc481572900"/>
      <w:bookmarkEnd w:id="1020"/>
      <w:bookmarkStart w:id="1021" w:name="_Toc462071187"/>
      <w:bookmarkEnd w:id="1021"/>
      <w:bookmarkStart w:id="1022" w:name="_Toc485023998"/>
      <w:bookmarkEnd w:id="1022"/>
      <w:bookmarkStart w:id="1023" w:name="_Toc485022285"/>
      <w:bookmarkEnd w:id="1023"/>
      <w:bookmarkStart w:id="1024" w:name="_Toc485022053"/>
      <w:bookmarkEnd w:id="1024"/>
      <w:bookmarkStart w:id="1025" w:name="_Toc481573223"/>
      <w:bookmarkEnd w:id="1025"/>
      <w:bookmarkStart w:id="1026" w:name="_Toc485021722"/>
      <w:bookmarkEnd w:id="1026"/>
      <w:bookmarkStart w:id="1027" w:name="_Toc485023973"/>
      <w:bookmarkEnd w:id="1027"/>
      <w:bookmarkStart w:id="1028" w:name="_Toc484792512"/>
      <w:bookmarkEnd w:id="1028"/>
      <w:bookmarkStart w:id="1029" w:name="_Toc485021920"/>
      <w:bookmarkEnd w:id="1029"/>
      <w:bookmarkStart w:id="1030" w:name="_Toc481572288"/>
      <w:bookmarkEnd w:id="1030"/>
      <w:bookmarkStart w:id="1031" w:name="_Toc417818500"/>
      <w:bookmarkEnd w:id="1031"/>
      <w:bookmarkStart w:id="1032" w:name="_Toc485024366"/>
      <w:bookmarkEnd w:id="1032"/>
      <w:bookmarkStart w:id="1033" w:name="_Toc485022055"/>
      <w:bookmarkEnd w:id="1033"/>
      <w:bookmarkStart w:id="1034" w:name="_Toc484792753"/>
      <w:bookmarkEnd w:id="1034"/>
      <w:bookmarkStart w:id="1035" w:name="_Toc485023800"/>
      <w:bookmarkEnd w:id="1035"/>
      <w:bookmarkStart w:id="1036" w:name="_Toc481572399"/>
      <w:bookmarkEnd w:id="1036"/>
      <w:bookmarkStart w:id="1037" w:name="_Toc485023922"/>
      <w:bookmarkEnd w:id="1037"/>
      <w:bookmarkStart w:id="1038" w:name="_Toc481572217"/>
      <w:bookmarkEnd w:id="1038"/>
      <w:bookmarkStart w:id="1039" w:name="_Toc481572504"/>
      <w:bookmarkEnd w:id="1039"/>
      <w:bookmarkStart w:id="1040" w:name="_Toc485024228"/>
      <w:bookmarkEnd w:id="1040"/>
      <w:bookmarkStart w:id="1041" w:name="_Toc481572567"/>
      <w:bookmarkEnd w:id="1041"/>
      <w:bookmarkStart w:id="1042" w:name="_Toc417327439"/>
      <w:bookmarkEnd w:id="1042"/>
      <w:bookmarkStart w:id="1043" w:name="_Toc485022613"/>
      <w:bookmarkEnd w:id="1043"/>
      <w:bookmarkStart w:id="1044" w:name="_Toc485022181"/>
      <w:bookmarkEnd w:id="1044"/>
      <w:bookmarkStart w:id="1045" w:name="_Toc485023887"/>
      <w:bookmarkEnd w:id="1045"/>
      <w:bookmarkStart w:id="1046" w:name="_Toc485023798"/>
      <w:bookmarkEnd w:id="1046"/>
      <w:bookmarkStart w:id="1047" w:name="_Toc485024207"/>
      <w:bookmarkEnd w:id="1047"/>
      <w:bookmarkStart w:id="1048" w:name="_Toc417513855"/>
      <w:bookmarkEnd w:id="1048"/>
      <w:bookmarkStart w:id="1049" w:name="_Toc485021675"/>
      <w:bookmarkEnd w:id="1049"/>
      <w:bookmarkStart w:id="1050" w:name="_Toc484792423"/>
      <w:bookmarkEnd w:id="1050"/>
      <w:bookmarkStart w:id="1051" w:name="_Toc485023839"/>
      <w:bookmarkEnd w:id="1051"/>
      <w:bookmarkStart w:id="1052" w:name="_Toc485024332"/>
      <w:bookmarkEnd w:id="1052"/>
      <w:bookmarkStart w:id="1053" w:name="_Toc484792751"/>
      <w:bookmarkEnd w:id="1053"/>
      <w:bookmarkStart w:id="1054" w:name="_Toc484792538"/>
      <w:bookmarkEnd w:id="1054"/>
      <w:bookmarkStart w:id="1055" w:name="_Toc485022062"/>
      <w:bookmarkEnd w:id="1055"/>
      <w:bookmarkStart w:id="1056" w:name="_Toc481572391"/>
      <w:bookmarkEnd w:id="1056"/>
      <w:bookmarkStart w:id="1057" w:name="_Toc417815082"/>
      <w:bookmarkEnd w:id="1057"/>
      <w:bookmarkStart w:id="1058" w:name="_Toc417814987"/>
      <w:bookmarkEnd w:id="1058"/>
      <w:bookmarkStart w:id="1059" w:name="_Toc485022054"/>
      <w:bookmarkEnd w:id="1059"/>
      <w:bookmarkStart w:id="1060" w:name="_Toc481573603"/>
      <w:bookmarkEnd w:id="1060"/>
      <w:bookmarkStart w:id="1061" w:name="_Toc485023183"/>
      <w:bookmarkEnd w:id="1061"/>
      <w:bookmarkStart w:id="1062" w:name="_Toc485022415"/>
      <w:bookmarkEnd w:id="1062"/>
      <w:bookmarkStart w:id="1063" w:name="_Toc481571993"/>
      <w:bookmarkEnd w:id="1063"/>
      <w:bookmarkStart w:id="1064" w:name="_Toc485023201"/>
      <w:bookmarkEnd w:id="1064"/>
      <w:bookmarkStart w:id="1065" w:name="_Toc485022270"/>
      <w:bookmarkEnd w:id="1065"/>
      <w:bookmarkStart w:id="1066" w:name="_Toc485021687"/>
      <w:bookmarkEnd w:id="1066"/>
      <w:bookmarkStart w:id="1067" w:name="_Toc485021785"/>
      <w:bookmarkEnd w:id="1067"/>
      <w:bookmarkStart w:id="1068" w:name="_Toc481572719"/>
      <w:bookmarkEnd w:id="1068"/>
      <w:bookmarkStart w:id="1069" w:name="_Toc485024032"/>
      <w:bookmarkEnd w:id="1069"/>
      <w:bookmarkStart w:id="1070" w:name="_Toc481568969"/>
      <w:bookmarkEnd w:id="1070"/>
      <w:bookmarkStart w:id="1071" w:name="_Toc481573321"/>
      <w:bookmarkEnd w:id="1071"/>
      <w:bookmarkStart w:id="1072" w:name="_Toc481501853"/>
      <w:bookmarkEnd w:id="1072"/>
      <w:bookmarkStart w:id="1073" w:name="_Toc484792475"/>
      <w:bookmarkEnd w:id="1073"/>
      <w:bookmarkStart w:id="1074" w:name="_Toc417513250"/>
      <w:bookmarkEnd w:id="1074"/>
      <w:bookmarkStart w:id="1075" w:name="_Toc481573618"/>
      <w:bookmarkEnd w:id="1075"/>
      <w:bookmarkStart w:id="1076" w:name="_Toc481573669"/>
      <w:bookmarkEnd w:id="1076"/>
      <w:bookmarkStart w:id="1077" w:name="_Toc485021761"/>
      <w:bookmarkEnd w:id="1077"/>
      <w:bookmarkStart w:id="1078" w:name="_Toc485023766"/>
      <w:bookmarkEnd w:id="1078"/>
      <w:bookmarkStart w:id="1079" w:name="_Toc462231845"/>
      <w:bookmarkEnd w:id="1079"/>
      <w:bookmarkStart w:id="1080" w:name="_Toc481573624"/>
      <w:bookmarkEnd w:id="1080"/>
      <w:bookmarkStart w:id="1081" w:name="_Toc417327432"/>
      <w:bookmarkEnd w:id="1081"/>
      <w:bookmarkStart w:id="1082" w:name="_Toc485021980"/>
      <w:bookmarkEnd w:id="1082"/>
      <w:bookmarkStart w:id="1083" w:name="_Toc481572952"/>
      <w:bookmarkEnd w:id="1083"/>
      <w:bookmarkStart w:id="1084" w:name="_Toc396921790"/>
      <w:bookmarkEnd w:id="1084"/>
      <w:bookmarkStart w:id="1085" w:name="_Toc484792382"/>
      <w:bookmarkEnd w:id="1085"/>
      <w:bookmarkStart w:id="1086" w:name="_Toc485021672"/>
      <w:bookmarkEnd w:id="1086"/>
      <w:bookmarkStart w:id="1087" w:name="_Toc481572522"/>
      <w:bookmarkEnd w:id="1087"/>
      <w:bookmarkStart w:id="1088" w:name="_Toc481572625"/>
      <w:bookmarkEnd w:id="1088"/>
      <w:bookmarkStart w:id="1089" w:name="_Toc485023155"/>
      <w:bookmarkEnd w:id="1089"/>
      <w:bookmarkStart w:id="1090" w:name="_Toc481572095"/>
      <w:bookmarkEnd w:id="1090"/>
      <w:bookmarkStart w:id="1091" w:name="_Toc481572563"/>
      <w:bookmarkEnd w:id="1091"/>
      <w:bookmarkStart w:id="1092" w:name="_Toc481573112"/>
      <w:bookmarkEnd w:id="1092"/>
      <w:bookmarkStart w:id="1093" w:name="_Toc481573257"/>
      <w:bookmarkEnd w:id="1093"/>
      <w:bookmarkStart w:id="1094" w:name="_Toc485023197"/>
      <w:bookmarkEnd w:id="1094"/>
      <w:bookmarkStart w:id="1095" w:name="_Toc417814728"/>
      <w:bookmarkEnd w:id="1095"/>
      <w:bookmarkStart w:id="1096" w:name="_Toc484792380"/>
      <w:bookmarkEnd w:id="1096"/>
      <w:bookmarkStart w:id="1097" w:name="_Toc485023202"/>
      <w:bookmarkEnd w:id="1097"/>
      <w:bookmarkStart w:id="1098" w:name="_Toc481571967"/>
      <w:bookmarkEnd w:id="1098"/>
      <w:bookmarkStart w:id="1099" w:name="_Toc485022052"/>
      <w:bookmarkEnd w:id="1099"/>
      <w:bookmarkStart w:id="1100" w:name="_Toc485021690"/>
      <w:bookmarkEnd w:id="1100"/>
      <w:bookmarkStart w:id="1101" w:name="_Toc485022600"/>
      <w:bookmarkEnd w:id="1101"/>
      <w:bookmarkStart w:id="1102" w:name="_Toc485023251"/>
      <w:bookmarkEnd w:id="1102"/>
      <w:bookmarkStart w:id="1103" w:name="_Toc481573365"/>
      <w:bookmarkEnd w:id="1103"/>
      <w:bookmarkStart w:id="1104" w:name="_Toc485023853"/>
      <w:bookmarkEnd w:id="1104"/>
      <w:bookmarkStart w:id="1105" w:name="_Toc485022767"/>
      <w:bookmarkEnd w:id="1105"/>
      <w:bookmarkStart w:id="1106" w:name="_Toc485022292"/>
      <w:bookmarkEnd w:id="1106"/>
      <w:bookmarkStart w:id="1107" w:name="_Toc481572201"/>
      <w:bookmarkEnd w:id="1107"/>
      <w:bookmarkStart w:id="1108" w:name="_Toc484792527"/>
      <w:bookmarkEnd w:id="1108"/>
      <w:bookmarkStart w:id="1109" w:name="_Toc484792426"/>
      <w:bookmarkEnd w:id="1109"/>
      <w:bookmarkStart w:id="1110" w:name="_Toc485022118"/>
      <w:bookmarkEnd w:id="1110"/>
      <w:bookmarkStart w:id="1111" w:name="_Toc481573382"/>
      <w:bookmarkEnd w:id="1111"/>
      <w:bookmarkStart w:id="1112" w:name="_Toc417637129"/>
      <w:bookmarkEnd w:id="1112"/>
      <w:bookmarkStart w:id="1113" w:name="_Toc481566544"/>
      <w:bookmarkEnd w:id="1113"/>
      <w:bookmarkStart w:id="1114" w:name="_Toc485021727"/>
      <w:bookmarkEnd w:id="1114"/>
      <w:bookmarkStart w:id="1115" w:name="_Toc485023314"/>
      <w:bookmarkEnd w:id="1115"/>
      <w:bookmarkStart w:id="1116" w:name="_Toc481568964"/>
      <w:bookmarkEnd w:id="1116"/>
      <w:bookmarkStart w:id="1117" w:name="_Toc485021650"/>
      <w:bookmarkEnd w:id="1117"/>
      <w:bookmarkStart w:id="1118" w:name="_Toc485022018"/>
      <w:bookmarkEnd w:id="1118"/>
      <w:bookmarkStart w:id="1119" w:name="_Toc485021688"/>
      <w:bookmarkEnd w:id="1119"/>
      <w:bookmarkStart w:id="1120" w:name="_Toc485021923"/>
      <w:bookmarkEnd w:id="1120"/>
      <w:bookmarkStart w:id="1121" w:name="_Toc481573150"/>
      <w:bookmarkEnd w:id="1121"/>
      <w:bookmarkStart w:id="1122" w:name="_Toc481572720"/>
      <w:bookmarkEnd w:id="1122"/>
      <w:bookmarkStart w:id="1123" w:name="_Toc481572544"/>
      <w:bookmarkEnd w:id="1123"/>
      <w:bookmarkStart w:id="1124" w:name="_Toc481569075"/>
      <w:bookmarkEnd w:id="1124"/>
      <w:bookmarkStart w:id="1125" w:name="_Toc485022079"/>
      <w:bookmarkEnd w:id="1125"/>
      <w:bookmarkStart w:id="1126" w:name="_Toc484792437"/>
      <w:bookmarkEnd w:id="1126"/>
      <w:bookmarkStart w:id="1127" w:name="_Toc485021984"/>
      <w:bookmarkEnd w:id="1127"/>
      <w:bookmarkStart w:id="1128" w:name="_Toc485024003"/>
      <w:bookmarkEnd w:id="1128"/>
      <w:bookmarkStart w:id="1129" w:name="_Toc481572681"/>
      <w:bookmarkEnd w:id="1129"/>
      <w:bookmarkStart w:id="1130" w:name="_Toc417637350"/>
      <w:bookmarkEnd w:id="1130"/>
      <w:bookmarkStart w:id="1131" w:name="_Toc481573204"/>
      <w:bookmarkEnd w:id="1131"/>
      <w:bookmarkStart w:id="1132" w:name="_Toc417818635"/>
      <w:bookmarkEnd w:id="1132"/>
      <w:r>
        <w:rPr>
          <w:rFonts w:hint="eastAsia" w:ascii="宋体"/>
          <w:b/>
          <w:sz w:val="21"/>
          <w:szCs w:val="21"/>
        </w:rPr>
        <w:t>说明：投标人须对本项目为单位的服务进行整体响应，任何只对其中一部分内容进行的响应都被视为无效响应。</w:t>
      </w:r>
    </w:p>
    <w:p>
      <w:pPr>
        <w:spacing w:line="360" w:lineRule="auto"/>
        <w:ind w:left="-525" w:firstLine="269" w:firstLineChars="128"/>
        <w:jc w:val="center"/>
        <w:rPr>
          <w:rFonts w:hint="eastAsia" w:ascii="宋体"/>
          <w:b/>
          <w:color w:val="FF0000"/>
          <w:sz w:val="21"/>
          <w:szCs w:val="21"/>
        </w:rPr>
      </w:pPr>
      <w:r>
        <w:rPr>
          <w:rFonts w:hint="eastAsia" w:ascii="宋体"/>
          <w:b/>
          <w:color w:val="FF0000"/>
          <w:sz w:val="21"/>
          <w:szCs w:val="21"/>
        </w:rPr>
        <w:t>（带“★”的条款为</w:t>
      </w:r>
      <w:r>
        <w:rPr>
          <w:rFonts w:hint="eastAsia" w:ascii="宋体"/>
          <w:b/>
          <w:color w:val="FF0000"/>
          <w:sz w:val="21"/>
          <w:szCs w:val="21"/>
          <w:lang w:eastAsia="zh-CN"/>
        </w:rPr>
        <w:t>实质性条款</w:t>
      </w:r>
      <w:r>
        <w:rPr>
          <w:rFonts w:hint="eastAsia" w:ascii="宋体"/>
          <w:b/>
          <w:color w:val="FF0000"/>
          <w:sz w:val="21"/>
          <w:szCs w:val="21"/>
        </w:rPr>
        <w:t>，</w:t>
      </w:r>
      <w:r>
        <w:rPr>
          <w:rFonts w:hint="eastAsia" w:ascii="宋体"/>
          <w:b/>
          <w:color w:val="FF0000"/>
          <w:sz w:val="21"/>
          <w:szCs w:val="21"/>
          <w:lang w:eastAsia="zh-CN"/>
        </w:rPr>
        <w:t>投标人如有任何一条负偏离则导致投标无效</w:t>
      </w:r>
      <w:r>
        <w:rPr>
          <w:rFonts w:hint="eastAsia" w:ascii="宋体"/>
          <w:b/>
          <w:color w:val="FF0000"/>
          <w:sz w:val="21"/>
          <w:szCs w:val="21"/>
        </w:rPr>
        <w:t>。）</w:t>
      </w:r>
    </w:p>
    <w:p>
      <w:pPr>
        <w:pStyle w:val="16"/>
      </w:pPr>
    </w:p>
    <w:tbl>
      <w:tblPr>
        <w:tblStyle w:val="17"/>
        <w:tblpPr w:leftFromText="180" w:rightFromText="180" w:vertAnchor="text" w:horzAnchor="page" w:tblpX="1517" w:tblpY="516"/>
        <w:tblOverlap w:val="never"/>
        <w:tblW w:w="9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52"/>
        <w:gridCol w:w="3787"/>
        <w:gridCol w:w="31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2652" w:type="dxa"/>
            <w:tcBorders>
              <w:top w:val="single" w:color="auto" w:sz="12" w:space="0"/>
              <w:left w:val="single" w:color="auto" w:sz="12" w:space="0"/>
              <w:bottom w:val="double" w:color="auto" w:sz="4" w:space="0"/>
              <w:right w:val="single" w:color="auto" w:sz="4"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lang w:eastAsia="zh-CN"/>
              </w:rPr>
              <w:t>项目</w:t>
            </w:r>
            <w:r>
              <w:rPr>
                <w:rFonts w:hint="eastAsia" w:ascii="微软雅黑" w:hAnsi="微软雅黑" w:cs="微软雅黑"/>
                <w:b/>
                <w:sz w:val="21"/>
                <w:szCs w:val="21"/>
              </w:rPr>
              <w:t>内容</w:t>
            </w:r>
          </w:p>
        </w:tc>
        <w:tc>
          <w:tcPr>
            <w:tcW w:w="3787" w:type="dxa"/>
            <w:tcBorders>
              <w:top w:val="single" w:color="auto" w:sz="12" w:space="0"/>
              <w:left w:val="single" w:color="auto" w:sz="4" w:space="0"/>
              <w:bottom w:val="double" w:color="auto" w:sz="4" w:space="0"/>
              <w:right w:val="single" w:color="auto" w:sz="4" w:space="0"/>
            </w:tcBorders>
            <w:shd w:val="clear" w:color="auto" w:fill="EEECE1"/>
            <w:noWrap w:val="0"/>
            <w:vAlign w:val="center"/>
          </w:tcPr>
          <w:p>
            <w:pPr>
              <w:spacing w:line="360" w:lineRule="auto"/>
              <w:jc w:val="center"/>
              <w:rPr>
                <w:rFonts w:hint="default" w:ascii="微软雅黑" w:hAnsi="微软雅黑" w:cs="微软雅黑"/>
                <w:b/>
                <w:sz w:val="21"/>
                <w:szCs w:val="21"/>
                <w:lang w:val="en-US"/>
              </w:rPr>
            </w:pPr>
            <w:r>
              <w:rPr>
                <w:rFonts w:hint="eastAsia" w:ascii="微软雅黑" w:hAnsi="微软雅黑" w:cs="微软雅黑"/>
                <w:b/>
                <w:sz w:val="21"/>
                <w:szCs w:val="21"/>
                <w:lang w:val="en-US" w:eastAsia="zh-CN"/>
              </w:rPr>
              <w:t>供货期</w:t>
            </w:r>
          </w:p>
        </w:tc>
        <w:tc>
          <w:tcPr>
            <w:tcW w:w="3189" w:type="dxa"/>
            <w:tcBorders>
              <w:top w:val="single" w:color="auto" w:sz="12" w:space="0"/>
              <w:left w:val="single" w:color="auto" w:sz="4" w:space="0"/>
              <w:bottom w:val="double" w:color="auto" w:sz="4" w:space="0"/>
              <w:right w:val="single" w:color="auto" w:sz="12"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rPr>
              <w:t>最高限价（人民币）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2652" w:type="dxa"/>
            <w:tcBorders>
              <w:top w:val="single" w:color="auto" w:sz="4" w:space="0"/>
              <w:left w:val="single" w:color="auto" w:sz="12"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阀门采购</w:t>
            </w:r>
          </w:p>
        </w:tc>
        <w:tc>
          <w:tcPr>
            <w:tcW w:w="3787" w:type="dxa"/>
            <w:tcBorders>
              <w:top w:val="single" w:color="auto" w:sz="4" w:space="0"/>
              <w:left w:val="single" w:color="auto" w:sz="4"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自合同签订之日起一年。</w:t>
            </w:r>
            <w:r>
              <w:rPr>
                <w:rFonts w:hint="eastAsia" w:ascii="微软雅黑" w:hAnsi="微软雅黑" w:cs="微软雅黑"/>
                <w:bCs/>
                <w:color w:val="auto"/>
                <w:sz w:val="21"/>
                <w:szCs w:val="21"/>
                <w:u w:val="none"/>
                <w:lang w:eastAsia="zh-CN"/>
              </w:rPr>
              <w:t>供货期届满或累计货物结算总额达到合同总价后（先到为准），本合同自然终止。</w:t>
            </w:r>
          </w:p>
        </w:tc>
        <w:tc>
          <w:tcPr>
            <w:tcW w:w="3189" w:type="dxa"/>
            <w:tcBorders>
              <w:top w:val="single" w:color="auto" w:sz="4" w:space="0"/>
              <w:left w:val="single" w:color="auto" w:sz="4" w:space="0"/>
              <w:bottom w:val="single" w:color="auto" w:sz="12" w:space="0"/>
              <w:right w:val="single" w:color="auto" w:sz="12" w:space="0"/>
            </w:tcBorders>
            <w:noWrap w:val="0"/>
            <w:vAlign w:val="center"/>
          </w:tcPr>
          <w:p>
            <w:pPr>
              <w:spacing w:line="360" w:lineRule="auto"/>
              <w:rPr>
                <w:rFonts w:hint="eastAsia" w:eastAsia="仿宋_GB2312" w:cs="仿宋_GB2312"/>
                <w:b/>
                <w:bCs/>
                <w:color w:val="auto"/>
                <w:sz w:val="24"/>
                <w:szCs w:val="24"/>
                <w:highlight w:val="none"/>
                <w:lang w:val="en-US" w:eastAsia="zh-CN"/>
              </w:rPr>
            </w:pPr>
            <w:r>
              <w:rPr>
                <w:rFonts w:hint="eastAsia" w:ascii="微软雅黑" w:hAnsi="微软雅黑" w:eastAsia="微软雅黑" w:cs="微软雅黑"/>
                <w:sz w:val="20"/>
                <w:szCs w:val="20"/>
                <w:lang w:eastAsia="zh-CN"/>
              </w:rPr>
              <w:t>本项目总价限价为：</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项目总价限价：3865677元</w:t>
            </w:r>
            <w:r>
              <w:rPr>
                <w:rFonts w:hint="eastAsia" w:ascii="微软雅黑" w:hAnsi="微软雅黑" w:cs="微软雅黑"/>
                <w:sz w:val="20"/>
                <w:szCs w:val="20"/>
                <w:lang w:val="en-US" w:eastAsia="zh-CN"/>
              </w:rPr>
              <w:t>；</w:t>
            </w:r>
          </w:p>
          <w:p>
            <w:pPr>
              <w:spacing w:line="360" w:lineRule="auto"/>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0"/>
                <w:szCs w:val="20"/>
                <w:lang w:val="en-US" w:eastAsia="zh-CN"/>
              </w:rPr>
              <w:t>单价限价详见项目报价明细表。</w:t>
            </w:r>
          </w:p>
        </w:tc>
      </w:tr>
    </w:tbl>
    <w:p>
      <w:pPr>
        <w:ind w:firstLine="426"/>
        <w:rPr>
          <w:rFonts w:hint="eastAsia" w:ascii="黑体" w:hAnsi="华文中宋" w:eastAsia="黑体" w:cs="华文中宋"/>
          <w:b/>
          <w:bCs/>
          <w:sz w:val="32"/>
          <w:szCs w:val="32"/>
        </w:rPr>
      </w:pPr>
      <w:r>
        <w:rPr>
          <w:rFonts w:hint="eastAsia" w:ascii="微软雅黑" w:hAnsi="微软雅黑" w:eastAsia="微软雅黑" w:cs="微软雅黑"/>
          <w:bCs/>
          <w:sz w:val="20"/>
          <w:szCs w:val="20"/>
        </w:rPr>
        <w:t xml:space="preserve"> </w:t>
      </w:r>
    </w:p>
    <w:p>
      <w:pPr>
        <w:spacing w:line="300" w:lineRule="exact"/>
        <w:jc w:val="center"/>
        <w:rPr>
          <w:rFonts w:hint="eastAsia" w:ascii="微软雅黑" w:hAnsi="微软雅黑" w:eastAsia="微软雅黑" w:cs="微软雅黑"/>
          <w:b/>
          <w:bCs/>
          <w:sz w:val="20"/>
          <w:szCs w:val="20"/>
          <w:lang w:eastAsia="zh-CN"/>
        </w:rPr>
      </w:pPr>
      <w:r>
        <w:rPr>
          <w:rFonts w:hint="eastAsia" w:ascii="微软雅黑" w:hAnsi="微软雅黑" w:eastAsia="微软雅黑" w:cs="微软雅黑"/>
          <w:b/>
          <w:bCs/>
          <w:sz w:val="20"/>
          <w:szCs w:val="20"/>
        </w:rPr>
        <w:t>(1)遥控浮球阀</w:t>
      </w:r>
      <w:r>
        <w:rPr>
          <w:rFonts w:hint="eastAsia" w:ascii="微软雅黑" w:hAnsi="微软雅黑" w:cs="微软雅黑"/>
          <w:b/>
          <w:bCs/>
          <w:sz w:val="20"/>
          <w:szCs w:val="20"/>
          <w:lang w:eastAsia="zh-CN"/>
        </w:rPr>
        <w:t>技术要求</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eastAsia="zh-CN"/>
        </w:rPr>
        <w:t>一、</w:t>
      </w:r>
      <w:r>
        <w:rPr>
          <w:rFonts w:hint="eastAsia" w:ascii="微软雅黑" w:hAnsi="微软雅黑" w:eastAsia="微软雅黑" w:cs="微软雅黑"/>
          <w:sz w:val="20"/>
          <w:szCs w:val="20"/>
        </w:rPr>
        <w:t>用途</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遥控浮球阀安装于配水池进水端管线上或阴井内，以便水池达到满水位时，遥控浮球阀自动关闭停止进水。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要求规格形式及功能：</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1、为水力垂直操作式阀体，由导盘活塞及隔膜操作经由不锈钢管（1/2＂口以上，可允许长达10公尺以上）和浮球先导阀控制主阀开关。</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2、当水池达到满水位时，浮球和浮球先导阀可自动控制关闭主阀，停止进水。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3、当水池水位下降至浮球先导阀设定低水位以下时，主阀自动开启补充进水。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4、必要时可由人工全开或全闭。</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eastAsia="zh-CN"/>
        </w:rPr>
        <w:t>二、</w:t>
      </w:r>
      <w:r>
        <w:rPr>
          <w:rFonts w:hint="eastAsia" w:ascii="微软雅黑" w:hAnsi="微软雅黑" w:eastAsia="微软雅黑" w:cs="微软雅黑"/>
          <w:sz w:val="20"/>
          <w:szCs w:val="20"/>
        </w:rPr>
        <w:t>工作压力范围：1.0Mpa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★材质及构造</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default" w:ascii="微软雅黑" w:hAnsi="微软雅黑" w:cs="微软雅黑"/>
          <w:sz w:val="20"/>
          <w:szCs w:val="20"/>
          <w:lang w:val="en-US"/>
        </w:rPr>
        <w:t xml:space="preserve"> </w:t>
      </w:r>
      <w:r>
        <w:rPr>
          <w:rFonts w:hint="eastAsia" w:ascii="微软雅黑" w:hAnsi="微软雅黑" w:eastAsia="微软雅黑" w:cs="微软雅黑"/>
          <w:sz w:val="20"/>
          <w:szCs w:val="20"/>
        </w:rPr>
        <w:t>、阀体及阀盖:</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材质：球墨铸铁QT450-10/QT500-7，其内壁与座封紧密接触面，经机械加工后精度以轴也紧密配合公差为准。</w:t>
      </w:r>
    </w:p>
    <w:p>
      <w:pPr>
        <w:numPr>
          <w:ilvl w:val="0"/>
          <w:numId w:val="3"/>
        </w:num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导盘活塞：不锈钢（SUS304），须满足承受阀座面全面受压。阀体、阀座、阀盖、导盘活塞及阀轴等应做最佳组合。</w:t>
      </w:r>
    </w:p>
    <w:p>
      <w:pPr>
        <w:numPr>
          <w:ilvl w:val="0"/>
          <w:numId w:val="4"/>
        </w:num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隔膜：尼龙强化橡胶。</w:t>
      </w:r>
    </w:p>
    <w:p>
      <w:pPr>
        <w:numPr>
          <w:ilvl w:val="0"/>
          <w:numId w:val="5"/>
        </w:num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阀轴：不锈钢20Cr13。</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 阀座：不锈钢（CF8），与主阀内缘接触面在完成组合后，各项操作应力、水流冲力下均不会造成松脱现象。</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滤网：不锈钢，可自动冲洗式，须能防止控制管路淤塞。</w:t>
      </w:r>
    </w:p>
    <w:p>
      <w:pPr>
        <w:numPr>
          <w:ilvl w:val="0"/>
          <w:numId w:val="5"/>
        </w:numPr>
        <w:spacing w:line="300" w:lineRule="exact"/>
        <w:ind w:left="0" w:leftChars="0"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针阀：不锈钢（CF8）外壳，不锈钢针并可于外部调整。</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6</w:t>
      </w:r>
      <w:r>
        <w:rPr>
          <w:rFonts w:hint="eastAsia" w:ascii="微软雅黑" w:hAnsi="微软雅黑" w:eastAsia="微软雅黑" w:cs="微软雅黑"/>
          <w:sz w:val="20"/>
          <w:szCs w:val="20"/>
        </w:rPr>
        <w:t>、 浮球先导阀：不锈钢.</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7</w:t>
      </w:r>
      <w:r>
        <w:rPr>
          <w:rFonts w:hint="eastAsia" w:ascii="微软雅黑" w:hAnsi="微软雅黑" w:eastAsia="微软雅黑" w:cs="微软雅黑"/>
          <w:sz w:val="20"/>
          <w:szCs w:val="20"/>
        </w:rPr>
        <w:t>、 水力操作管路：不锈钢.</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eastAsia="zh-CN"/>
        </w:rPr>
        <w:t>三、</w:t>
      </w:r>
      <w:r>
        <w:rPr>
          <w:rFonts w:hint="eastAsia" w:ascii="微软雅黑" w:hAnsi="微软雅黑" w:eastAsia="微软雅黑" w:cs="微软雅黑"/>
          <w:sz w:val="20"/>
          <w:szCs w:val="20"/>
        </w:rPr>
        <w:t>检验</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eastAsia="zh-CN"/>
        </w:rPr>
        <w:t>（一）</w:t>
      </w:r>
      <w:r>
        <w:rPr>
          <w:rFonts w:hint="eastAsia" w:ascii="微软雅黑" w:hAnsi="微软雅黑" w:eastAsia="微软雅黑" w:cs="微软雅黑"/>
          <w:sz w:val="20"/>
          <w:szCs w:val="20"/>
        </w:rPr>
        <w:t>耐静水压试验：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1、两端封闭下阀体耐压：</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试验压力：1.5倍最高使用压力</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试验时间：至少10分钟</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2、单面阀座耐压：</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试验压力：1.1倍最高使用压力</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试验时间：至少5分钟</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（二）功能试验：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供应商须提供测试管路与设备并符合如下要求：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主管线口径为该被检验阀同口径。</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泵容量须满足在各被检验阀之规定最高使用压力时至少0.5Mpa以上,该口径之流速至少需达0.5公尺/秒以上之流量,或至少须达100,000CMD。</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试验步骤：</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①、水位低于浮球关闭后（代表水位池达到满水位时）可自动控制遥控浮球阀关闭停止出水。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②、当水池水位低于浮球开关时（代表水池水位下降）此时浮球开关自动控制遥控浮阀重新开启出水。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③、水泵启动中，可由控制室外的控制管路上的小球阀H1，手动全开或全闭主阀。</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（三）其他：</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涂装</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阀体、阀盖内外须经喷砂除去油锈水份、污物等杂质后，以适合饮用水之环氧树脂漆粉体烤漆涂装，外部颜色采土耳其蓝（色号1-46号），其总厚度0.25mm以上，所有涂料干后不溶解于水，不影响水质且不因空气、温度之变化而发生异状，并有卫生许可批件。</w:t>
      </w:r>
    </w:p>
    <w:p>
      <w:pPr>
        <w:spacing w:line="300" w:lineRule="exact"/>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lang w:eastAsia="zh-CN"/>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rPr>
        <w:t>2</w:t>
      </w:r>
      <w:r>
        <w:rPr>
          <w:rFonts w:hint="eastAsia" w:ascii="微软雅黑" w:hAnsi="微软雅黑" w:eastAsia="微软雅黑" w:cs="微软雅黑"/>
          <w:b/>
          <w:bCs/>
          <w:sz w:val="20"/>
          <w:szCs w:val="20"/>
        </w:rPr>
        <w:t>)减压阀</w:t>
      </w:r>
      <w:r>
        <w:rPr>
          <w:rFonts w:hint="eastAsia" w:ascii="微软雅黑" w:hAnsi="微软雅黑" w:cs="微软雅黑"/>
          <w:b/>
          <w:bCs/>
          <w:sz w:val="20"/>
          <w:szCs w:val="20"/>
          <w:lang w:eastAsia="zh-CN"/>
        </w:rPr>
        <w:t>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一、用途</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1、</w:t>
      </w:r>
      <w:r>
        <w:rPr>
          <w:rFonts w:hint="eastAsia" w:ascii="微软雅黑" w:hAnsi="微软雅黑" w:eastAsia="微软雅黑" w:cs="微软雅黑"/>
          <w:sz w:val="20"/>
          <w:szCs w:val="20"/>
        </w:rPr>
        <w:t>减压阀安装于送配水管网中，恒定阀后端出口压力﹐用以保护主阀下游安全供水压力。</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2、</w:t>
      </w:r>
      <w:r>
        <w:rPr>
          <w:rFonts w:hint="eastAsia" w:ascii="微软雅黑" w:hAnsi="微软雅黑" w:eastAsia="微软雅黑" w:cs="微软雅黑"/>
          <w:sz w:val="20"/>
          <w:szCs w:val="20"/>
        </w:rPr>
        <w:t>减压阀主阀出口压力可任意设定安全压力，并不会因上游压力或下游用水量变化而变化。</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二、技术要求</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1、</w:t>
      </w:r>
      <w:r>
        <w:rPr>
          <w:rFonts w:hint="eastAsia" w:ascii="微软雅黑" w:hAnsi="微软雅黑" w:eastAsia="微软雅黑" w:cs="微软雅黑"/>
          <w:sz w:val="20"/>
          <w:szCs w:val="20"/>
        </w:rPr>
        <w:t>主要技术参数</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①减压阀的公称压力为1.0Mpa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②密封试验压力为1.1Mpa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③强度试验压力为1.5 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④减压阀应适用于介质为原水或清水,介质温度应≤60℃。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⑤压力试验应符合标准GB/T13927的规定。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⑥连接法兰应符合标准GB/T17241.6-2008的规定。</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2、</w:t>
      </w:r>
      <w:r>
        <w:rPr>
          <w:rFonts w:hint="eastAsia" w:ascii="微软雅黑" w:hAnsi="微软雅黑" w:eastAsia="微软雅黑" w:cs="微软雅黑"/>
          <w:sz w:val="20"/>
          <w:szCs w:val="20"/>
        </w:rPr>
        <w:t>性能要求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①减压阀的结构形式应为T型垂直上下动作之水力操作式阀体，介由双导盘活塞与隔膜操作，同时利用控制阀可任意调节所需出口端安全压力。</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②本减压阀装设于管线当中，以水力自动调节，当设定好阀后端压力时，将不受阀前端压力波动而变化，也不因阀后用水量波动而变化，保证阀后端压力在恒定设定值上，以保护阀后端管线的安全。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③该减压阀即可减动压又可减静压，静压时，阀后压力会比动压压力高5米。</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④必要时可以人工手动操作全开或全关。</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★三、材质要求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1.阀体及阀盖：球墨铸铁（QT450-10/QT500-7）。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2.膜片压板：球墨铸铁（QT450-10/QT500-7）。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3.隔      膜：尼龙强化橡胶。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4.阀      轴：20Cr13。</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5.阀座：不锈钢（CF8）。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6.控  制  阀：不锈钢（CF8）。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7.针      阀：不锈钢（CF8）制外壳，不锈钢针。</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8.止 水 胶圈： NBR橡胶。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9.控制管路：不锈钢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四、检验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为保证所提供减压阀符合本工程要求，供货方需于交货前进行规格检验项目如下：</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1.水压试验：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①阀壳强度试验：压力为1.5 Mpa，不得渗水。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②阀座密封试验：压力为1.1 Mpa，不得渗水。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2.操作试验：全套阀组合好后，利用主阀外部水压连续操作全开全闭行程5次，应相当顺利不致卡住或破裂或不当现象产生。</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五、涂装、包装及贮运</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1.阀体阀盖等内外表面要进行喷砂处理，以除去铁锈、水分及油等杂质。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2.阀体外部应采用静电喷涂，卫生级无毒环氧树脂粉体装，防止生锈和流体腐蚀。</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3.涂层应光滑均匀无缺陷，涂料干后不溶解于水，不影响水质，并不因空气温度变化而分解。</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4.涂层厚度应达0.25㎜以上。粉末涂料必须经过检测，符合饮用水卫生要求。</w:t>
      </w:r>
    </w:p>
    <w:p>
      <w:pPr>
        <w:tabs>
          <w:tab w:val="left" w:pos="540"/>
        </w:tabs>
        <w:ind w:firstLine="120" w:firstLineChars="60"/>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rPr>
        <w:t>3</w:t>
      </w:r>
      <w:r>
        <w:rPr>
          <w:rFonts w:hint="eastAsia" w:ascii="微软雅黑" w:hAnsi="微软雅黑" w:eastAsia="微软雅黑" w:cs="微软雅黑"/>
          <w:b/>
          <w:bCs/>
          <w:sz w:val="20"/>
          <w:szCs w:val="20"/>
        </w:rPr>
        <w:t>）偏心法兰式蝶阀技术要求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一、用途</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该法兰式蝶阀应该适用于自来水系统、电厂及工业管路作为双向启闭及调节设备使用，其调节范围为开度0゜到90゜之间。当用于单向流动工况时，阀体上应有标明流动方向的箭头指示，以方便安装。</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eastAsia="zh-CN"/>
        </w:rPr>
        <w:t>二、</w:t>
      </w:r>
      <w:r>
        <w:rPr>
          <w:rFonts w:hint="eastAsia" w:ascii="微软雅黑" w:hAnsi="微软雅黑" w:eastAsia="微软雅黑" w:cs="微软雅黑"/>
          <w:sz w:val="20"/>
          <w:szCs w:val="20"/>
        </w:rPr>
        <w:t>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（一）主要技术参数</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 蝶阀的公称压力为1.0 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 密封试验压力为1.1 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 强度试验压力为1.5MPa。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 蝶阀应适用于介质为清水或污水，介质温度应≤65℃，介质流速≤3m/s的工况。</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 压力试验应符合标准GB/T13927-2008（等效于ISO5208-2008）的规定。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 蝶阀的设计、制造应符合标准GB12238-2008的规定。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7. 连接法兰应符合标准GB/T17241.6-2008的规定。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8. 阀体结构长度执行标准GB12221-2005，DN≤2000采用13系列，DN＞2000以送审图为准。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★（二）性能要求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1.蝶阀的结构形式应为偏心设计，并且能够双向密封。维修时不必从阀门上拆下阀轴、阀瓣即可在线更换密封圈。</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 蝶阀应采用软密封形式，橡胶密封圈直接以锯齿状嵌入阀座，不得使用压圈或螺栓固定。密封圈嵌入阀后要有一定的自由度和供橡胶弹性退让的空间，使其能在一定范围内通过自身调节，在工作压力作用下产生自密封力，进行双向密封。在水流冲击下，不松动、不脱落、不渗漏，并且当有异物卡住时不易损坏，从而延长密封圈的使用寿命。</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 对于DN＞300的蝶阀，阀瓣应为双平板桁架流通式或飞碟式结构，流阻小，刚性好，在反方向工作压力下，不易产生变形，使密封圈不会随着阀瓣变形而脱离阀座最佳密封点，从而保证密封圈的密封效果。</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 为减小水阻，蝶阀的阀轴宜采用二段式结构，且阀轴的轴承应采用自润式轴承，运行中摩擦阻力小，且不需注油。</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瓣与阀轴的连接应采用退拔销结构。退拔销不穿过阀轴的中心，不会削弱轴的强度，且与阀轴的贴合面大大增加，通过拧紧退拔销螺母，使退拔销和阀轴结合面间产生预紧力，使阀瓣阀轴紧密结合在一起无间隙，在开启和关闭阀门时不会产生冲击载荷，使阀瓣转动平稳，密封可靠。</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 对于DN＞300的蝶阀，应具有阀瓣轴向调整及固定装置。通过阀瓣轴向位置的精密调整及固定，使阀瓣在阀座上的位置处于最佳密封状态。对于可能在长期使用过程中引起的阀瓣下垂，也可方便的进一步调整锁定，达到长期使用零泄露。</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★三、材质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1.阀体：球墨铸铁（QT450-10或QT500-7）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2.阀瓣：球墨铸铁（QT450-10或QT500-7）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3.阀瓣密封圈：NR橡胶,密封圈必须整体成形。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4.阀轴：不锈钢（20Cr13）</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5.阀座：OCr18Ni9不锈钢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6.轴承：自润式轴承，采用铝青铜制造</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7.退拔销：不锈钢（1Cr17Ni2）</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8.阀轴填料： V型橡胶密封圈：NBR橡胶， “O”型密封圈（NBR橡胶）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四、检验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为保证所提供蝶阀符合本工程要求，供货方需于交货前进行规定检验，项目如下：</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1.指示器刻度、阀瓣开度旋转数需全程校测，电动操作需在规定时间内完成。</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2.阀瓣全程开启连续操作五次后，进行以下试验：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（1）扭力试验：阀门全关且单边封闭加压至10㎏f/㎝2情况下，以扭力试验机测试阀门开启所需扭矩，应在20㎏f·m以下。</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（2）阀座双面试压：于关闭位置单边封闭试水，0.66MPa（1.1 MPa、1.76MPa）保持5分钟，阀座四周不得有漏水冒汗现象，再解除压力并开启阀门到不触及封板的最大开度后，再开关重复试水两次。一边试水完成后，再换另一边。密封试验应符合国家标准GB13927-2008的规定。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（3）阀体壳体试验应符合国家标准GB13927-2008的规定。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五、涂装、包装及贮运</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1.阀体、阀瓣及操作机构等内外表面要进行喷砂处理，以除去铁锈、水分及油等杂质。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2.蝶阀内外部应采用无毒环氧树脂粉体涂装，防止生锈和流体腐蚀，颜色采用土耳其蓝（色号1-46）。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3.涂层应光滑均匀无缺陷，涂料干后不溶解于水，不影响水质，并不因空气温度变化而分解。</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4.涂层厚度应达0.25㎜以上。粉末涂料必须经过检测，符合饮用水卫生要求。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5.阀门的包装及贮运应符合标准JB/T7928的规定。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六、气动执行机构技术要求（采用气动控制时）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形  式：气缸采用拨叉式，双作用驱动，气缸开关寿命达100万次；</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工作介质：空气</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工作压力：0.2～0.8MPa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气源压力：0.4～0.6MPa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行    程：0～90度，±2%可调</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连接形式：与主阀的连接形式符合ISO5211/DIN3337；与电磁阀、限位开关、定位器的连接形式符合VDI/VDE3845（Namur）标准。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★材  质：壳体、活塞、端盖采用铝合金，轴承、活塞导向采用乙缩醛树脂，密封环采用四氟乙烯加石墨合成材质，其他内部主件为不锈钢。壳体与端盖的连接件为不锈钢。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外壳处理：壳体、端盖采用阳极防腐处理。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润    滑：出厂前所有运动部件都需加润滑油</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选    型：保证各个阀门配套气动执行机构的选型能满足相应阀门的使用要求。</w:t>
      </w:r>
    </w:p>
    <w:p>
      <w:pPr>
        <w:pStyle w:val="2"/>
        <w:ind w:left="0" w:leftChars="0" w:firstLine="0" w:firstLineChars="0"/>
        <w:rPr>
          <w:rFonts w:hint="eastAsia" w:eastAsia="微软雅黑"/>
          <w:lang w:eastAsia="zh-CN"/>
        </w:rPr>
      </w:pPr>
      <w:r>
        <w:rPr>
          <w:rFonts w:hint="eastAsia" w:ascii="微软雅黑" w:hAnsi="微软雅黑" w:eastAsia="微软雅黑" w:cs="微软雅黑"/>
          <w:sz w:val="20"/>
          <w:szCs w:val="20"/>
          <w:lang w:val="en-US" w:eastAsia="zh-CN"/>
        </w:rPr>
        <w:t>1、</w:t>
      </w:r>
      <w:r>
        <w:rPr>
          <w:rFonts w:hint="eastAsia" w:ascii="微软雅黑" w:hAnsi="微软雅黑" w:eastAsia="微软雅黑" w:cs="微软雅黑"/>
          <w:sz w:val="20"/>
          <w:szCs w:val="20"/>
          <w:lang w:eastAsia="zh-CN"/>
        </w:rPr>
        <w:t>开关型</w:t>
      </w:r>
    </w:p>
    <w:p>
      <w:pPr>
        <w:ind w:left="-25" w:leftChars="-57" w:hanging="100" w:hangingChars="50"/>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w:t>
      </w: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气缸</w:t>
      </w:r>
    </w:p>
    <w:p>
      <w:pPr>
        <w:ind w:left="18" w:leftChars="8" w:firstLine="413" w:firstLineChars="207"/>
        <w:rPr>
          <w:rFonts w:hint="eastAsia" w:ascii="微软雅黑" w:hAnsi="微软雅黑" w:eastAsia="微软雅黑" w:cs="微软雅黑"/>
          <w:sz w:val="20"/>
          <w:szCs w:val="20"/>
        </w:rPr>
      </w:pPr>
      <w:r>
        <w:rPr>
          <w:rFonts w:hint="eastAsia" w:ascii="微软雅黑" w:hAnsi="微软雅黑" w:eastAsia="微软雅黑" w:cs="微软雅黑"/>
          <w:sz w:val="20"/>
          <w:szCs w:val="20"/>
        </w:rPr>
        <w:t>缸体采用铝合金挤压成型，其表面为硬化阳极处理；气缸端盖为环氧树脂涂层；可适应于室外及室内环境。传动轴标准材质采用不锈钢，确保机械强度；</w:t>
      </w:r>
    </w:p>
    <w:p>
      <w:pPr>
        <w:ind w:left="-13" w:leftChars="-6" w:firstLine="426" w:firstLineChars="213"/>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气缸内部活塞传动采用拨叉式双作用设计，可灵活的将直线运动转变为旋转运动，并且输出扭矩特性曲线与阀门从开到关过程中的扭矩特性曲线相近。</w:t>
      </w:r>
    </w:p>
    <w:p>
      <w:pPr>
        <w:ind w:left="-29" w:leftChars="-13" w:firstLine="440" w:firstLineChars="22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气缸内部的密封材料采用特殊的复合式密封结构（PTFE+石墨），带有自润功能提高了使用寿命长；另有“O”型密封圈，增强了气密性。</w:t>
      </w:r>
    </w:p>
    <w:p>
      <w:pPr>
        <w:ind w:left="125" w:leftChars="57" w:firstLine="300" w:firstLine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气缸底部与阀门连接面具有泄压槽，可有效避免外部水份内渗。</w:t>
      </w:r>
    </w:p>
    <w:p>
      <w:pPr>
        <w:ind w:left="125" w:leftChars="57" w:firstLine="300" w:firstLine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带有行程调节装置，在一定范围内可对阀体终点位置进行微调.</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气缸正常工作压力0.2-0.84MPa，工作温度-20 - +80</w:t>
      </w:r>
      <w:r>
        <w:rPr>
          <w:rFonts w:hint="eastAsia" w:ascii="微软雅黑" w:hAnsi="微软雅黑" w:eastAsia="微软雅黑" w:cs="微软雅黑"/>
          <w:sz w:val="20"/>
          <w:szCs w:val="20"/>
        </w:rPr>
        <w:sym w:font="Symbol" w:char="F0B0"/>
      </w:r>
      <w:r>
        <w:rPr>
          <w:rFonts w:hint="eastAsia" w:ascii="微软雅黑" w:hAnsi="微软雅黑" w:eastAsia="微软雅黑" w:cs="微软雅黑"/>
          <w:sz w:val="20"/>
          <w:szCs w:val="20"/>
        </w:rPr>
        <w:t>C。</w:t>
      </w:r>
    </w:p>
    <w:p>
      <w:pPr>
        <w:ind w:left="-44" w:leftChars="-20" w:firstLine="454" w:firstLineChars="227"/>
        <w:rPr>
          <w:rFonts w:hint="eastAsia" w:ascii="微软雅黑" w:hAnsi="微软雅黑" w:eastAsia="微软雅黑" w:cs="微软雅黑"/>
          <w:sz w:val="20"/>
          <w:szCs w:val="20"/>
        </w:rPr>
      </w:pPr>
      <w:r>
        <w:rPr>
          <w:rFonts w:hint="eastAsia" w:ascii="微软雅黑" w:hAnsi="微软雅黑" w:eastAsia="微软雅黑" w:cs="微软雅黑"/>
          <w:sz w:val="20"/>
          <w:szCs w:val="20"/>
        </w:rPr>
        <w:t>与阀门连接符合ISO5211/DIN3337标准；与电磁阀、限位开关等附件的连接应该符合VDI/VDE3845（NAMUR）标准。</w:t>
      </w:r>
    </w:p>
    <w:p>
      <w:pPr>
        <w:rPr>
          <w:rFonts w:hint="eastAsia" w:ascii="微软雅黑" w:hAnsi="微软雅黑" w:eastAsia="微软雅黑" w:cs="微软雅黑"/>
          <w:sz w:val="20"/>
          <w:szCs w:val="20"/>
        </w:rPr>
      </w:pP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2</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电磁阀</w:t>
      </w:r>
    </w:p>
    <w:p>
      <w:pPr>
        <w:tabs>
          <w:tab w:val="left" w:pos="540"/>
        </w:tabs>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原装进口2位5通单线圈电磁阀,配带手动操作按钮;阀体为铝合金并经过阳极防蚀处理;聚酰胺接线盒具有一定的防蚀能力,防护等级IP65;电压选用DC24V，F级绝缘等级,允许电压偏差±10%;工作温度：0~+50℃.</w:t>
      </w:r>
    </w:p>
    <w:p>
      <w:pPr>
        <w:rPr>
          <w:rFonts w:hint="eastAsia" w:ascii="微软雅黑" w:hAnsi="微软雅黑" w:eastAsia="微软雅黑" w:cs="微软雅黑"/>
          <w:sz w:val="20"/>
          <w:szCs w:val="20"/>
        </w:rPr>
      </w:pP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3</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限位开关</w:t>
      </w:r>
    </w:p>
    <w:p>
      <w:pPr>
        <w:tabs>
          <w:tab w:val="left" w:pos="540"/>
        </w:tabs>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知名品牌机械式限位开关;本体采用ABS底座及透明聚碳酸脂外罩，具有耐腐蚀，强度高等特点;具有明显的机械开关指示（1/4转）,内置8个接线端子，标准配备2个SPDT开关分别反馈开、关到位信号；可将电磁阀接线直接接在限位开关内;触点容量：250VAC/6A,使用温度：－20~80℃；防护等级：IP68。安装采用VDI/VDE3845（NAMUR）国际标准。</w:t>
      </w:r>
    </w:p>
    <w:p>
      <w:pPr>
        <w:tabs>
          <w:tab w:val="left" w:pos="540"/>
        </w:tabs>
        <w:rPr>
          <w:rFonts w:hint="eastAsia" w:ascii="微软雅黑" w:hAnsi="微软雅黑" w:eastAsia="微软雅黑" w:cs="微软雅黑"/>
          <w:sz w:val="20"/>
          <w:szCs w:val="20"/>
        </w:rPr>
      </w:pP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4</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空气过滤调压器</w:t>
      </w:r>
    </w:p>
    <w:p>
      <w:pPr>
        <w:tabs>
          <w:tab w:val="left" w:pos="540"/>
        </w:tabs>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SMC过滤减压阀AW系列,聚碳酸酯罩杯高强度耐腐蚀；过滤器和减压阀一体化设计,压力表自带限位指示器，可设定压力范围0.05-0.85MPa;过滤精度5µm。</w:t>
      </w:r>
    </w:p>
    <w:p>
      <w:pPr>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2、</w:t>
      </w:r>
      <w:r>
        <w:rPr>
          <w:rFonts w:hint="eastAsia" w:ascii="微软雅黑" w:hAnsi="微软雅黑" w:eastAsia="微软雅黑" w:cs="微软雅黑"/>
          <w:sz w:val="20"/>
          <w:szCs w:val="20"/>
        </w:rPr>
        <w:t>调节型：</w:t>
      </w:r>
    </w:p>
    <w:p>
      <w:pPr>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气动驱动装置用于操作气动蝶阀，额定气源压力6bar。包含气缸、智能型电气定位器和空气过滤调压器等。</w:t>
      </w:r>
    </w:p>
    <w:p>
      <w:pPr>
        <w:rPr>
          <w:rFonts w:hint="eastAsia" w:ascii="微软雅黑" w:hAnsi="微软雅黑" w:eastAsia="微软雅黑" w:cs="微软雅黑"/>
          <w:sz w:val="20"/>
          <w:szCs w:val="20"/>
        </w:rPr>
      </w:pP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气缸</w:t>
      </w:r>
    </w:p>
    <w:p>
      <w:pPr>
        <w:ind w:firstLine="430" w:firstLineChars="215"/>
        <w:rPr>
          <w:rFonts w:hint="eastAsia" w:ascii="微软雅黑" w:hAnsi="微软雅黑" w:eastAsia="微软雅黑" w:cs="微软雅黑"/>
          <w:sz w:val="20"/>
          <w:szCs w:val="20"/>
        </w:rPr>
      </w:pPr>
      <w:r>
        <w:rPr>
          <w:rFonts w:hint="eastAsia" w:ascii="微软雅黑" w:hAnsi="微软雅黑" w:eastAsia="微软雅黑" w:cs="微软雅黑"/>
          <w:sz w:val="20"/>
          <w:szCs w:val="20"/>
        </w:rPr>
        <w:t>缸体采用铝合金挤压成型，其表面为硬化阳极处理；气缸端盖为环氧树脂涂层；可适应于室外及室内环境。传动轴标准材质采用不锈钢，确保机械强度；</w:t>
      </w:r>
    </w:p>
    <w:p>
      <w:pPr>
        <w:ind w:left="13" w:leftChars="6"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气缸内部活塞传动采用拨叉式双作用设计，可灵活的将直线运动转变为旋转运动，并且输出扭矩特性曲线与阀门从开到关过程中的扭矩特性曲线相近。</w:t>
      </w:r>
    </w:p>
    <w:p>
      <w:pPr>
        <w:ind w:left="29" w:leftChars="13" w:firstLine="300" w:firstLine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气缸内部的密封材料采用特殊的复合式密封结构（PTFE+石墨），带有自润功能提高了使用寿命长；另有“O”型密封圈，增强了气密性。</w:t>
      </w:r>
    </w:p>
    <w:p>
      <w:pPr>
        <w:ind w:left="125" w:leftChars="57" w:firstLine="300" w:firstLine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气缸底部与阀门连接面具有泄压槽，能有效避免外部水份内渗。</w:t>
      </w:r>
    </w:p>
    <w:p>
      <w:pPr>
        <w:ind w:left="125" w:leftChars="57" w:firstLine="300" w:firstLine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带有行程调节装置，在一定范围内可对阀体终点位置进行微调。</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气缸正常工作压力0.2-0.84MPa，工作温度-20 - +80</w:t>
      </w:r>
      <w:r>
        <w:rPr>
          <w:rFonts w:hint="eastAsia" w:ascii="微软雅黑" w:hAnsi="微软雅黑" w:eastAsia="微软雅黑" w:cs="微软雅黑"/>
          <w:sz w:val="20"/>
          <w:szCs w:val="20"/>
        </w:rPr>
        <w:sym w:font="Symbol" w:char="F0B0"/>
      </w:r>
      <w:r>
        <w:rPr>
          <w:rFonts w:hint="eastAsia" w:ascii="微软雅黑" w:hAnsi="微软雅黑" w:eastAsia="微软雅黑" w:cs="微软雅黑"/>
          <w:sz w:val="20"/>
          <w:szCs w:val="20"/>
        </w:rPr>
        <w:t>C。</w:t>
      </w:r>
    </w:p>
    <w:p>
      <w:pPr>
        <w:ind w:left="125" w:leftChars="57" w:firstLine="300" w:firstLine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与阀门连接符合ISO5211/DIN3337标准；与电磁阀、限位开关等附件的连接应该符合VDI/VDE3845（NAMUR）标准。</w:t>
      </w:r>
    </w:p>
    <w:p>
      <w:pPr>
        <w:rPr>
          <w:rFonts w:hint="eastAsia" w:ascii="微软雅黑" w:hAnsi="微软雅黑" w:eastAsia="微软雅黑" w:cs="微软雅黑"/>
          <w:sz w:val="20"/>
          <w:szCs w:val="20"/>
        </w:rPr>
      </w:pP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2</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智能型电气定位器</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采用国际知名品牌数字智能型一体化位置检测装置。带有液晶显示面板，调校简单，可以通过简单操作进行初始化设置并修正设备参数;调节气动蝶阀输入4-20mA信号，气动蝶阀对应在0—90度进行调节，并可以提供标准的位置反馈4-20mA信号;调节基本误差≤0.5%,防护等级:IP65.</w:t>
      </w:r>
    </w:p>
    <w:p>
      <w:pPr>
        <w:tabs>
          <w:tab w:val="left" w:pos="540"/>
        </w:tabs>
        <w:rPr>
          <w:rFonts w:hint="eastAsia" w:ascii="微软雅黑" w:hAnsi="微软雅黑" w:eastAsia="微软雅黑" w:cs="微软雅黑"/>
          <w:sz w:val="20"/>
          <w:szCs w:val="20"/>
        </w:rPr>
      </w:pPr>
      <w:r>
        <w:rPr>
          <w:rFonts w:hint="eastAsia" w:ascii="微软雅黑" w:hAnsi="微软雅黑" w:cs="微软雅黑"/>
          <w:sz w:val="20"/>
          <w:szCs w:val="20"/>
          <w:lang w:eastAsia="zh-CN"/>
        </w:rPr>
        <w:t>（</w:t>
      </w:r>
      <w:r>
        <w:rPr>
          <w:rFonts w:hint="eastAsia" w:ascii="微软雅黑" w:hAnsi="微软雅黑" w:cs="微软雅黑"/>
          <w:sz w:val="20"/>
          <w:szCs w:val="20"/>
          <w:lang w:val="en-US" w:eastAsia="zh-CN"/>
        </w:rPr>
        <w:t>3</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空气过滤调压器</w:t>
      </w:r>
    </w:p>
    <w:p>
      <w:pPr>
        <w:tabs>
          <w:tab w:val="left" w:pos="540"/>
        </w:tabs>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SMC过滤减压阀AC系列,聚碳酸酯罩杯,高强度耐腐蚀；过滤器和减压阀一体化设计,压力表自带限位指示器，可设定压力范围0.05-0.85MPa;过滤精度3µm</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七、电动执行机构技术要求（采用电动控制时）</w:t>
      </w:r>
    </w:p>
    <w:p>
      <w:pPr>
        <w:spacing w:line="300" w:lineRule="exact"/>
        <w:ind w:firstLine="200" w:firstLineChars="100"/>
        <w:rPr>
          <w:rFonts w:hint="eastAsia" w:ascii="微软雅黑" w:hAnsi="微软雅黑" w:eastAsia="微软雅黑" w:cs="微软雅黑"/>
          <w:sz w:val="20"/>
          <w:szCs w:val="20"/>
        </w:rPr>
      </w:pPr>
      <w:r>
        <w:rPr>
          <w:rFonts w:hint="eastAsia" w:ascii="微软雅黑" w:hAnsi="微软雅黑" w:eastAsia="微软雅黑" w:cs="微软雅黑"/>
          <w:sz w:val="20"/>
          <w:szCs w:val="20"/>
        </w:rPr>
        <w:t>（1）采用引进国外技术的国內品牌或进口品牌。</w:t>
      </w:r>
    </w:p>
    <w:p>
      <w:pPr>
        <w:spacing w:before="0" w:after="0" w:line="240" w:lineRule="auto"/>
        <w:ind w:firstLine="146" w:firstLineChars="73"/>
        <w:outlineLvl w:val="9"/>
        <w:rPr>
          <w:rFonts w:hint="eastAsia" w:ascii="微软雅黑" w:hAnsi="微软雅黑" w:eastAsia="微软雅黑" w:cs="微软雅黑"/>
          <w:b w:val="0"/>
          <w:bCs w:val="0"/>
          <w:sz w:val="20"/>
          <w:szCs w:val="20"/>
        </w:rPr>
      </w:pPr>
      <w:r>
        <w:rPr>
          <w:rFonts w:hint="eastAsia" w:ascii="微软雅黑" w:hAnsi="微软雅黑" w:eastAsia="微软雅黑" w:cs="微软雅黑"/>
          <w:b w:val="0"/>
          <w:bCs w:val="0"/>
          <w:sz w:val="20"/>
          <w:szCs w:val="20"/>
        </w:rPr>
        <w:t>（2）普通开关型电动执行器</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电动执行器组成部件包含专用电机、减速机构、手轮、行程及转矩检测单元等。</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电动阀门执行器的电源为额定电压380V、额定频率50Hz、三相交流电。</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电动执行机构由三相异步电动机驱动，即具有高的起动转矩倍数，低的起动电流倍数和小的转动惯量，并具有电机过热保护。执行机构输出轴的转动通过增速机构传至齿轮计数装置，以实现阀位和力矩的控制。</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防护等级为：不低于IP67，电机绝缘等级：F，电机工作制为S2-15Min。电动为开/关型操作设计，无须附加位置发送器。电动执行机构在空载下的噪声，用声级计量不大于声压级75dB（A）。</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电动执行机构应具有在负载超出最大控制转矩时，能够自动切断电动阀动力电源并输出开或关行程方向的转矩过载的状态信号，执行机构具有润滑脂润滑的专门机构，以保证齿轮有效的润滑和防止内外泄露。</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电动执行机构配置手轮和手/自动切换机构。手轮要侧装，电动执行机构手轮上有关闭方向指示；手/自动切换机构应灵敏可靠，电动时手轮不得转动；手轮独立设计，易于更换和维保；手动操作力应不大于150N。</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器开关位置各配置一个限位开关。阀门在开和关的极限位置均配置机械式限位开关，当阀门开度到达极限位置时限位开关自动跳脱，关闭执行机构电动机。电动执行器开关位置各配置一个力矩开关，阀门在过扭矩时自动切断控制回路电源并停机同时输出故障报警信号。</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限位开关以及力矩开关容易设定，无须专用工具且能在线设定。限位开关和力矩开关采用机械计数齿轮驱动，不需要电池的支持。限位开关和力矩开关机械寿命不低于百万次。</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执行机构的主要技术要求</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1）电源电压：三相380VAC±10%  </w:t>
      </w:r>
      <w:r>
        <w:rPr>
          <w:rFonts w:hint="eastAsia" w:ascii="微软雅黑" w:hAnsi="微软雅黑" w:eastAsia="微软雅黑" w:cs="微软雅黑"/>
          <w:sz w:val="20"/>
          <w:szCs w:val="20"/>
        </w:rPr>
        <w:tab/>
      </w:r>
      <w:r>
        <w:rPr>
          <w:rFonts w:hint="eastAsia" w:ascii="微软雅黑" w:hAnsi="微软雅黑" w:eastAsia="微软雅黑" w:cs="微软雅黑"/>
          <w:sz w:val="20"/>
          <w:szCs w:val="20"/>
        </w:rPr>
        <w:t>频率：50Hz±5%</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2）起动特性：电源电压降至负极限值时，执行机构能正常起动。</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3）环境条件：使用的环境温度：-30℃~+70℃，使用的环境相对湿度：&lt;95%</w:t>
      </w:r>
    </w:p>
    <w:p>
      <w:pPr>
        <w:spacing w:before="0" w:after="0" w:line="240" w:lineRule="auto"/>
        <w:outlineLvl w:val="9"/>
        <w:rPr>
          <w:rFonts w:hint="eastAsia" w:ascii="微软雅黑" w:hAnsi="微软雅黑" w:eastAsia="微软雅黑" w:cs="微软雅黑"/>
          <w:b w:val="0"/>
          <w:bCs w:val="0"/>
          <w:sz w:val="20"/>
          <w:szCs w:val="20"/>
        </w:rPr>
      </w:pPr>
      <w:r>
        <w:rPr>
          <w:rFonts w:hint="eastAsia" w:ascii="微软雅黑" w:hAnsi="微软雅黑" w:eastAsia="微软雅黑" w:cs="微软雅黑"/>
          <w:b w:val="0"/>
          <w:bCs w:val="0"/>
          <w:sz w:val="20"/>
          <w:szCs w:val="20"/>
        </w:rPr>
        <w:t>（3）整体调节型电动执行器</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电动执行器主要部件应包括电动机、力矩限制机构/行程控制机构、带背景照明的液晶显示窗口、手/电动切换机构、手轮及电气控制单元部分等。</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器带一体化智能型控制单元，LCD液晶显示屏可显示阀门运行状态。主要参数可通过编程设定，具有故障自诊断功能且非侵入式操作设定调试简便，方便现场安装、调试及查看参数。所有数据信息可记忆于内置CPU便于管理。</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电动阀门执行器的电源为额定电压380V、额定频率50Hz、三相交流电。</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机构由三相异步电动机驱动，即具有高的起动转矩倍数，低的起动电流倍数和小的转动惯量，并具有电机过热保护。防护等级为：不低于IP67（适用于室外和潮湿环境），电机绝缘等级：F。电动执行机构在空载下的噪声，用声级计量不大于声压级75dB（A）。</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调节型执行机构调节型执行器应能接受来自远方的DCS系统的4-20mA模拟量信号,并同步反馈4-20mA输出信号至DCS系统。</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机构应具有完全非侵入式设计，三相电源自动进行相序纠正。在负载超出最大控制转矩时，能够自动切断电动阀动力电源并输出开或关行程方向的转矩过载的状态信号；执行机构通过智能液晶显示屏各种符号、数字、文字的人机界面进行参数设置、调试和故障诊断。</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电动执行器与其控制单元与电机部份连接应为模块式组合，互换性良好，降低备品备件成本。</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器应具有现场操作旋钮，用于在现场打开和关闭阀门；以及设置旋钮，用于设定执行器“现场”、“远程”和“停止”三种工作状态。其控制部分接线端子为插拔式连接。其控制部分与执行器部分具有能分体的功能，以便现场安装。其控制部分具有90°旋转功能，以便现场接线。</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阀门的全开和全关位，以及最大保护扭矩，能够在执行器控制板上进行设置，执行器能够存储这些设置并按这些设置来运行。电动执行机构的阀位测量及控制采用多齿轮的绝对编码器技术，能够准确测量阀位和控制阀门行程而无需额外电池支持； 电动阀门执行器的输出扭矩应通过高精度传感器直接测力的方式进行检测，以保证力矩检测的稳定性和精度。</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执行器具有完善的故障保护功能，包括电源缺相保护、电机过热保护、阀门卡塞保护、瞬时逆转保护、电机过流保护等。 </w:t>
      </w:r>
    </w:p>
    <w:p>
      <w:pPr>
        <w:ind w:firstLine="200" w:firstLineChars="100"/>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执行器采用液态油润滑，无论何种安装方位均不出现润滑油渗漏的现象。执行器的现场接线端子采用双密封结构，在打开端子室盖接线时，周围的水汽不会侵入到执行器内部。执行器现场操作旋钮或按钮的轴不能贯穿执行器外壳，以免影响防水。</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电动执行机构配置手轮和手/自动切换机构。手轮要侧装，电动执行机构手轮（柄）上有关闭方向指示。手/自动切换机构应灵敏可靠，电动时手轮不得转动。手轮独立设计，易于更换和维保。</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1、执行机构的主要技术要求</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1）电源电压：三相380VAC±10%  </w:t>
      </w:r>
      <w:r>
        <w:rPr>
          <w:rFonts w:hint="eastAsia" w:ascii="微软雅黑" w:hAnsi="微软雅黑" w:eastAsia="微软雅黑" w:cs="微软雅黑"/>
          <w:sz w:val="20"/>
          <w:szCs w:val="20"/>
        </w:rPr>
        <w:tab/>
      </w:r>
      <w:r>
        <w:rPr>
          <w:rFonts w:hint="eastAsia" w:ascii="微软雅黑" w:hAnsi="微软雅黑" w:eastAsia="微软雅黑" w:cs="微软雅黑"/>
          <w:sz w:val="20"/>
          <w:szCs w:val="20"/>
        </w:rPr>
        <w:t>频率：50Hz±5%</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2）起动特性：电源电压降至负极限值时，执行机构能正常起动。</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3）环境条件：使用的环境温度：-30℃~+70℃，使用的环境相对湿度：&lt;95%</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2、电动装置控制要求（整体调节型）</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1）AI状态信号：阀门控制开度信号（4~20毫安）</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2）AO状态信号：阀门开度信号（4~20毫安）</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3、电动装置至PLC子站的信号：</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1）“现场/远方”操作位置信号               （每台阀门DI×1）</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2）阀门开、关状态信号                     （每台阀门DI×2）</w:t>
      </w:r>
    </w:p>
    <w:p>
      <w:pPr>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3）阀门故障信号                           （每台阀门DI×1）</w:t>
      </w:r>
    </w:p>
    <w:p>
      <w:pPr>
        <w:spacing w:line="300" w:lineRule="exact"/>
        <w:rPr>
          <w:rFonts w:hint="eastAsia" w:ascii="微软雅黑" w:hAnsi="微软雅黑" w:eastAsia="微软雅黑" w:cs="微软雅黑"/>
          <w:sz w:val="20"/>
          <w:szCs w:val="20"/>
        </w:rPr>
      </w:pPr>
    </w:p>
    <w:p>
      <w:pPr>
        <w:spacing w:line="300" w:lineRule="exact"/>
        <w:rPr>
          <w:rFonts w:hint="eastAsia" w:ascii="微软雅黑" w:hAnsi="微软雅黑" w:eastAsia="微软雅黑" w:cs="微软雅黑"/>
          <w:sz w:val="20"/>
          <w:szCs w:val="20"/>
        </w:rPr>
      </w:pPr>
    </w:p>
    <w:p>
      <w:pPr>
        <w:spacing w:line="300" w:lineRule="exact"/>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rPr>
        <w:t>4</w:t>
      </w:r>
      <w:r>
        <w:rPr>
          <w:rFonts w:hint="eastAsia" w:ascii="微软雅黑" w:hAnsi="微软雅黑" w:eastAsia="微软雅黑" w:cs="微软雅黑"/>
          <w:b/>
          <w:bCs/>
          <w:sz w:val="20"/>
          <w:szCs w:val="20"/>
        </w:rPr>
        <w:t>）锁控弹性座封闸阀技术要求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一、标准要求：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阀门的设计要求符合如下相关标准，也可以按照等效于或高于引用标准水平的其他标准的规定：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阀门的设计要求符合如下相关标准：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GB/T17241.6-2008 法兰连接尺寸</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GB/T13927-2008 通用阀门压力试验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GB12220 通用阀门标志</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GB12221 法兰连接金属阀门结构长度</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GB12227 通用阀门球墨铸铁件技术条件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GB12225 通用阀门  铜合金铸件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GB1220 不锈钢棒</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HG/T3091-1988  橡胶密封圈件—给、排水管道用接口密封圈   材料规范</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GB17219-1998  生活饮用水输配水设备及防护材料的安全性评价标准.</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val="en-US" w:eastAsia="zh-CN"/>
        </w:rPr>
        <w:t>2、</w:t>
      </w:r>
      <w:r>
        <w:rPr>
          <w:rFonts w:hint="eastAsia" w:ascii="微软雅黑" w:hAnsi="微软雅黑" w:eastAsia="微软雅黑" w:cs="微软雅黑"/>
          <w:sz w:val="20"/>
          <w:szCs w:val="20"/>
        </w:rPr>
        <w:t>适用工作介质为饮用净水、食品医药行业的水系统，工作温度0~60℃。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★二、阀体、阀盖、阀板</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阀体、阀盖、阀板骨架的材质球墨铸铁（QT450－10/QT500-7），符合GB12227规定的技术条件。阀体、阀盖、闸板进行热处理消除内应力。商标及材质牌号铸在阀体上。</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法兰的材质与阀体一致，均为球墨铸铁（QT450－10/QT500-7），法兰与阀体铸为一体，法兰的连接尺寸按照GB/T17241.6-2008的有关规定执行。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阀体采用全流域直通式设计，即平底式阀座。不易堆积杂物，密封可靠。</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阀体与阀盖之间的连接为自密封结构，利用精铸的密封面和一只O型密封圈即可密封，于许可压力下，压力越高密封越紧。</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阀体的最小壁厚保证在1.5MPa的壳体试验下，所有的部件不发生变形。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以球墨铸铁为骨架的闸板，利用最新的硫化技术内外表面完全包覆三元乙丙橡胶（EPDM），包胶贴合紧密、几何尺寸精确，密封弹性佳，彻底将闸板金属与流体隔离，耐腐蚀。</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三、阀杆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阀杆的材质采用不锈钢20Cr13，符合GB1220规定的技术条件。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杆螺母的材质为青铜，阀杆螺母与闸板的连接为嵌入式，闸板的铜螺母与球墨铸铁骨架采用特种工艺紧密连接为一体，并且表面完全包覆三元乙丙烯聚合橡胶（EPDM），长期水流冲击下和操作时阀杆螺母不松动、阀板不会脱落</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软密封闸阀为暗杆式，即阀杆在开启或关闭的过程中不升降。</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四、轴承</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采用止推轴承，材料采用青铜</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五、密封</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阀体与阀盖的密封：采用丁晴橡胶（NBR）密封圈密封。</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杆与阀盖的密封：采用3道“O”型丁晴橡胶（NBR）密封圈密封。密封紧密，磨擦阻力小。还可使阀门处于任何开度有压力且不断水的情况下，均可轻易更换两道“O”型密封圈，且阀杆有安全锁定功能，确保施工安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阀体与闸板、阀体与阀盖、阀杆与阀盖的密封试验均符合GB/T13927-2008的规定。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六、其他部件的材质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防尘盖采用丁睛橡胶（NBR）；连接螺栓为镀锌材质。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不锈钢护套（锁罩）装置</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锁罩材质要用不锈钢20Cr13，为六角形或其它形状整体无口的锁罩，将所有组件保护在内不能拆卸。防盗状态下锁罩空转，阀门不能被管钳等工具扳撬或被非相关人员随意操作。防盗和保密性能高，抗破坏能力强，防水平防锈防尘防爆，可适用于窨井、地表等各种场合。</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整体六角形或其它形状无口的锁罩采用无接触的柔性控制、采用耐腐蚀较强的材料制造“O”型橡胶密封圈、双重轴封设计，适用于潮湿易锈、灰尘泥砂等到恶劣环境和防火防爆要求高的场合。</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采用稀土永磁组合排列的磁路，无接触控制阀门的操作和锁定。采用磁路柔性控制的可编码技术，特殊的结构，只能使用专用加密的手轮开关控制操作阀门，并可按需要定制不同的安全密码，不得采用电力等额外控制源。</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③阀门的专用密码锁控装置（含密码手轮）需保证在正常操作情况下，开关操作1万次无故障。</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r>
        <w:rPr>
          <w:rFonts w:hint="eastAsia" w:ascii="微软雅黑" w:hAnsi="微软雅黑" w:cs="微软雅黑"/>
          <w:sz w:val="20"/>
          <w:szCs w:val="20"/>
          <w:lang w:eastAsia="zh-CN"/>
        </w:rPr>
        <w:t>、</w:t>
      </w:r>
      <w:r>
        <w:rPr>
          <w:rFonts w:hint="eastAsia" w:ascii="微软雅黑" w:hAnsi="微软雅黑" w:eastAsia="微软雅黑" w:cs="微软雅黑"/>
          <w:sz w:val="20"/>
          <w:szCs w:val="20"/>
        </w:rPr>
        <w:t>阀门传动机构</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阀门开关的操作工具为内置控制密码的手轮，采用铸钢材料制作，套在锁罩上即可轻松操作阀门，取下即可自行安全锁定阀门，操作简单，携带方便。手轮是可卸式的。操作设计成水平方向运转，操作方向顺时针为关闭，逆时针为开启。手轮上需注明开启和关闭方向，并表示出配套操作阀门的口径。手轮的表面需是光滑的，不得有毛刺、凹坑、凸起等表面质量缺陷。</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②在额定压力下人工操作手轮开启或关闭阀门的最大作用力不大于300N。</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③所有传动机构的受力部件要能承受2倍的额定力矩而无任何损伤。</w:t>
      </w:r>
    </w:p>
    <w:p>
      <w:pPr>
        <w:spacing w:line="300" w:lineRule="exact"/>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rPr>
        <w:t>5</w:t>
      </w:r>
      <w:r>
        <w:rPr>
          <w:rFonts w:hint="eastAsia" w:ascii="微软雅黑" w:hAnsi="微软雅黑" w:eastAsia="微软雅黑" w:cs="微软雅黑"/>
          <w:b/>
          <w:bCs/>
          <w:sz w:val="20"/>
          <w:szCs w:val="20"/>
        </w:rPr>
        <w:t>) 暗杆弹性座封闸阀技术要求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一、概述</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本标案所述闸阀应为暗杆软密封弹性座封闸阀，应符合CJ/T216标准要求。弹性座封闸阀安装于管线系统中，作为截流装置使用。要求：全开时，流阻小；全关时，无泄漏。</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1.阀体和阀盖应为整体铸造，材质QT450-10/QT500-7，阀座与阀体整体铸造成形。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2.阀体底部应无凹槽，不易堆积杂物；全开时阀门流道内径不得低于管道公称通径。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★3.闸板应为橡胶全部包覆球铁骨架，骨架材质采用QT450-10/QT500-7。橡胶应采用整体硫化成形，与骨架粘结牢固，橡胶材质应为EPDM。闸板橡胶与铸铁骨架间应全部粘连牢固。</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4.闸板螺母与闸板采用柔性连接，无运动空行程及松脱现象。闸板螺母材质应为铜合金。</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5.阀体与闸板间应设有导轨系统。闸板两侧应设有摩擦系数小的塑料导套，导套与橡胶、铸铁骨架整体硫化为一体。闸板升、降时，塑料导套与阀体导向筋配合，减小橡胶接触磨损和避免橡胶被过度挤压变形。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6.阀杆应采用不锈钢，其梯形螺纹采用滚压加工成形。阀杆上端部设有整体墩粗的台阶,防止阀杆冲出。</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7.阀杆轴端应采用不小于三道O形密封圈密封，且顶部应设有挡尘圈，阻止外部杂质进入轴封内部。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8.阀体、阀盖连接用采用高强度内六角螺钉，且螺钉内藏式结构，并用热熔胶封口。</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9.阀门内外表面均采用卫生级环氧树脂粉末涂装静电涂装，防腐蚀、寿命长，可直接用于生活饮用水、食品医药行业等。</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三、技术参数</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1.产品规格：DN50～DN1200；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2.设计压力： 1.0 ~2.5MPa；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3.介质：水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4.工作温度：0～650C</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5.阀门壳体压力试验：试验压力为1.5倍的公称压力；</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6.阀门密封压力试验：试验压力为1.1倍的公称压力；</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7.压力试验应符合标准GB13927-2008的规定。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8.连接法兰应符合标准GB/T17241.6-2008的规定。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★四、材质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材质性能等级要求不得低于下表所示：</w:t>
      </w:r>
    </w:p>
    <w:p>
      <w:pPr>
        <w:spacing w:line="300" w:lineRule="exact"/>
        <w:rPr>
          <w:rFonts w:hint="eastAsia" w:ascii="微软雅黑" w:hAnsi="微软雅黑" w:eastAsia="微软雅黑" w:cs="微软雅黑"/>
          <w:sz w:val="20"/>
          <w:szCs w:val="20"/>
        </w:rPr>
      </w:pPr>
    </w:p>
    <w:p>
      <w:pPr>
        <w:spacing w:line="300" w:lineRule="exact"/>
        <w:rPr>
          <w:rFonts w:hint="eastAsia" w:ascii="微软雅黑" w:hAnsi="微软雅黑" w:eastAsia="微软雅黑" w:cs="微软雅黑"/>
          <w:sz w:val="20"/>
          <w:szCs w:val="20"/>
        </w:rPr>
      </w:pPr>
    </w:p>
    <w:tbl>
      <w:tblPr>
        <w:tblStyle w:val="17"/>
        <w:tblpPr w:leftFromText="180" w:rightFromText="180" w:vertAnchor="text" w:horzAnchor="page" w:tblpX="1523" w:tblpY="-961"/>
        <w:tblOverlap w:val="never"/>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2835"/>
        <w:gridCol w:w="4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序号</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名称</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材质及牌号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方帽或手轮</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球墨铸铁QT450-10/QT500-7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阀杆</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不锈钢20Cr13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防尘胶圈</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丁腈橡胶NBR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“O”型橡胶圈</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丁腈橡胶NBR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轴压环</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青铜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阀盖</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球墨铸铁QT450-10/QT500-7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7</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止推轴承</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青铜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8</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螺栓</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碳钢镀锌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9</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阀盖密封圈</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丁腈橡胶NBR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10</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阀杆螺母</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青铜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11</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橡胶阀板</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球墨铸铁（QT450-10）外包覆EPDM</w:t>
            </w:r>
          </w:p>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EPDM或NBR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exact"/>
          <w:jc w:val="center"/>
        </w:trPr>
        <w:tc>
          <w:tcPr>
            <w:tcW w:w="910"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12</w:t>
            </w:r>
          </w:p>
        </w:tc>
        <w:tc>
          <w:tcPr>
            <w:tcW w:w="283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阀体</w:t>
            </w:r>
          </w:p>
        </w:tc>
        <w:tc>
          <w:tcPr>
            <w:tcW w:w="4515" w:type="dxa"/>
            <w:noWrap w:val="0"/>
            <w:vAlign w:val="center"/>
          </w:tcPr>
          <w:p>
            <w:pPr>
              <w:spacing w:line="300" w:lineRule="exact"/>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球墨铸铁QT450-10/QT500-7）</w:t>
            </w:r>
          </w:p>
        </w:tc>
      </w:tr>
    </w:tbl>
    <w:p>
      <w:pPr>
        <w:spacing w:line="300" w:lineRule="exact"/>
        <w:rPr>
          <w:rFonts w:hint="eastAsia" w:ascii="微软雅黑" w:hAnsi="微软雅黑" w:eastAsia="微软雅黑" w:cs="微软雅黑"/>
          <w:sz w:val="20"/>
          <w:szCs w:val="20"/>
        </w:rPr>
      </w:pPr>
    </w:p>
    <w:p>
      <w:pPr>
        <w:spacing w:line="300" w:lineRule="exact"/>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rPr>
        <w:t>6</w:t>
      </w:r>
      <w:r>
        <w:rPr>
          <w:rFonts w:hint="eastAsia" w:ascii="微软雅黑" w:hAnsi="微软雅黑" w:eastAsia="微软雅黑" w:cs="微软雅黑"/>
          <w:b/>
          <w:bCs/>
          <w:sz w:val="20"/>
          <w:szCs w:val="20"/>
        </w:rPr>
        <w:t>）橡胶瓣逆止阀技术要求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1.主要技术参数</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①逆止阀的公称压力为1.0MPa。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②密封试验压力为1.1MPa。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③强度试验压力为1.5MPa。</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④压力试验应符合标准GB13927-2008的规定。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⑤连接法兰应符合标准GB/T17241.6-2008的规定。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（1）性能要求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①逆止阀应采用全流面积式设计，水头损失小，不易堆积杂物，维修简便。</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②橡胶瓣应由钢板做承压件，外覆强化尼龙布，最外层采用耐酸碱热硫化</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整体包胶技术制成。在橡胶瓣中加入的尼龙纤维可使钢板与钢棒间形成弹性强化部位，使阀门能经常启闭而不断裂。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③逆止阀的关闭行程小，行程角仅35°即可达到全开启，并且在弹性阀瓣</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及反向水流共同作用下关闭速度较快，减少倒流速度，从而减少阀瓣回座冲击力及水锤。</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④逆止阀阀体上应有标明水流方向的箭头指示。</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★二、材质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1.阀体：球墨铸铁（QT450-10/QT500-7）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2.阀盖：球墨铸铁（QT450-10/QT500-7）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3.阀瓣：碳钢+强化尼龙+NBR橡胶。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三、检验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为保证所提供橡胶瓣逆止阀符合本工程要求，供货方需于交货前进行规定检验，项目如下：</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1.阀体壳体试验应按标准GB13927-2008的规定。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2.密封试验应按标准GB13927-2008的规定。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四、涂装、包装及贮运</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1.阀体内外表面要进行喷砂处理，以除去铁锈、水分及油等杂质。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2.逆止阀内外部应采用无毒环氧树脂粉体涂装，防止生锈和流体腐蚀，然后阀体外表面颜色采用土耳其蓝（色号1-46）。</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3.涂层应光滑均匀无缺陷，涂料干后不溶解于水，不影响水质，并不因空气温度变化而分解。</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4.涂层厚度应达0.25㎜以上。粉末涂料必须经过检测，符合饮用水卫生要求。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5.阀门的包装及贮运应符合标准JB/T7928的规定。</w:t>
      </w:r>
    </w:p>
    <w:p>
      <w:pPr>
        <w:spacing w:line="300" w:lineRule="exact"/>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rPr>
        <w:t>7</w:t>
      </w:r>
      <w:r>
        <w:rPr>
          <w:rFonts w:hint="eastAsia" w:ascii="微软雅黑" w:hAnsi="微软雅黑" w:eastAsia="微软雅黑" w:cs="微软雅黑"/>
          <w:b/>
          <w:bCs/>
          <w:sz w:val="20"/>
          <w:szCs w:val="20"/>
        </w:rPr>
        <w:t>）Y型过滤器技术要求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一、意向供应方提供的产品，在满足下列标准要求的前提下，应满足或高于本技术要求的规定。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《通用阀门  压力试验》GB/T 13927-2008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《工业阀门  标志》GB/T 12220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《不锈钢冷轧钢板和钢带》GB/T 3280-2007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《整体铸铁法兰》GB/T 17241.6-2008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《密封管螺纹》GB/T7306.2-2000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《生活饮用输配水设备及防护材料的安全性能评价标准》GB/T17219</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二、输送介质为温度不超过60℃的饮用水。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三、技术性能及材质要求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1.阀体、阀盖、逆止盖采用球墨铸铁QT450－10/QT500-7），要符合《通用阀门球墨铸铁件技术条件GB12227－2005》的规定，铸件要进行热处理消除内应力。滤网采用0Cr18Ni9，密封橡胶为NBR合成橡胶。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2.滤网由不锈钢板冲制或织网而成，滤网的材料需符合《不锈钢冷扎钢板GB3280-92》的规定，要求滤网均布圆孔，不得有毛刺。</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3.在1.5倍工作压力的壳体试验下，Y型过滤器的所有部件不发生变形。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 防腐处理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Y型过滤器内部的防腐涂层要求厚度均匀、色泽均一，涂层表面光洁，无流痕。Y型过滤器外防腐采用环氧树脂涂料或上述静电喷涂环氧树脂粉末工艺，喷涂防腐涂层前外表面至少喷砂除锈达到Sa2.5级，将铸件加热后再进行静电喷涂环氧树脂粉末工艺，烘干固化后涂层厚度达0.25㎜以上。所有规格均要求表面光洁平整，不得有毛刺、凹坑、凸起等缺陷。外观颜色为蓝色。</w:t>
      </w:r>
    </w:p>
    <w:p>
      <w:pPr>
        <w:spacing w:line="300" w:lineRule="exact"/>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cs="微软雅黑"/>
          <w:b/>
          <w:bCs/>
          <w:sz w:val="20"/>
          <w:szCs w:val="20"/>
          <w:lang w:eastAsia="zh-CN"/>
        </w:rPr>
        <w:t>（</w:t>
      </w:r>
      <w:r>
        <w:rPr>
          <w:rFonts w:hint="default" w:ascii="微软雅黑" w:hAnsi="微软雅黑" w:cs="微软雅黑"/>
          <w:b/>
          <w:bCs/>
          <w:sz w:val="20"/>
          <w:szCs w:val="20"/>
          <w:lang w:val="en-US" w:eastAsia="zh-CN"/>
        </w:rPr>
        <w:t>8</w:t>
      </w:r>
      <w:r>
        <w:rPr>
          <w:rFonts w:hint="eastAsia" w:ascii="微软雅黑" w:hAnsi="微软雅黑" w:eastAsia="微软雅黑" w:cs="微软雅黑"/>
          <w:b/>
          <w:bCs/>
          <w:sz w:val="20"/>
          <w:szCs w:val="20"/>
        </w:rPr>
        <w:t>)复合式排气阀技术要求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一、通用要求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1.供应方提供的产品，在满足下列标准要求的前提下，应满足或高于本招标技术要求的规定。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《铸铁管法兰》GB/T17241.1~7-1998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《通用阀门压力试验》GB/T13927-92</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《通用阀门标志》GB12220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《橡胶密封圈件—给、排水管道用接口密封圈材料规范》HG/T3091-2000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《通用阀门  铜合金铸件》GB12225</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《不锈钢棒》GB1220</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《生活饮用水输配水设备及防护材料的安全性评价标准》GB17219-1998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二、技术性能及结构要求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1.采用复合式排气阀，须具有大、小两个排气口。</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2.工作介质、温度及安装要求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2.1本次采购的所有排气阀安装于原水输送管道上。</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2.2本次招标的阀门要求工作为压力1.0MPa，温度0℃~60℃的河道水。</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 材质要求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3.1阀体、阀盖：材质采用球墨铸铁QT450－10，铸造工艺为树脂沙型，铸件过流表面应保证光滑，要符合GB12227规定的技术条件，铸件要求进行热处理以消除内应力。商标及材质牌号铸在阀体上。</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3.2活塞、浮球：材质为不锈钢（Ocr19Ni9）。</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3.3排气阀内连接浮球的组件材料采用不锈钢材料。</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3.4排气阀内密封(口)活塞架的材质采用铝青铜（ZcuAI10Fe3）。</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3.5阀盖、排气罩：材质采用球墨铸铁QT450－10/QT500-7。</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3.6密封圈：密封圈采用丁晴橡胶(NBR)，其密封试验应按相应的国家标准要求执行。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三、其他技术要求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1.复合式排气阀的结构功能要求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1.1复合式排气阀必须有大量排气、大量吸气和微量排气三大功能，当管内开始注水时，进行大量排气；当供水正常时浮球时，阀体内聚集有少量空气时，可进行微量排气；突然停泵或产生负压时，须大量吸入空气来破坏真空确保管网安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1.2复合式排气空气关闭压力为0.07MPa，保证空气在高流速和压力下仍进行排气。</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1.3复合式排气阀水关闭压力为0.02-1.0MPa，保证阀门在低压和高压的情况下密封良好，不得有泄漏现象。</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2.密封橡胶的性能要求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2.1阀门采用的所有橡胶材料应有良好的耐磨性，抗腐蚀性，抗冲击性、抗嗅氧、抗微生物侵蚀及抗老化等性能，正常使用寿命不少于10年。严禁采用再生橡胶。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2.2橡胶成分中，应不含植物油、植物油衍生物、动物脂和动物油，铜离子含量不应超过百万分之八，并且应含有铜的抑制剂，以防止铜使橡胶材质老化。橡胶成分中，每100个单位烃中含蜡量不应超过1.5%。</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2.3运至现场的密封圈不得有任何损坏现象，并且在阀门安装、使用过程中不得有松动，脱落、渗漏现象。</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3.其它材料要求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上述没有规定材料的零件，如果它是在阀体内与水接触，并且阀门维修时需要拆卸的零部件、紧固件，均应采用性能不低于不锈钢的材料制造。</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4.涂层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防腐前的阀体、阀盖、阀帽表面至少进行喷砂除锈，达到Sa2.5级；之后将铸件加热后才进行静电喷涂环氧树脂粉末工艺，最后烘干固化，涂层厚度不大于1.0mm，但不小于0.25mm。阀门内、外部的防腐必须是上述是喷涂或更好的工艺，不管采用何种工艺，都必须保证涂层厚度均匀、色泽均一，涂层表面要光洁，无流痕。阀门外观颜色均采用蓝色。</w:t>
      </w:r>
    </w:p>
    <w:p>
      <w:pPr>
        <w:spacing w:line="300" w:lineRule="exact"/>
        <w:rPr>
          <w:rFonts w:hint="eastAsia" w:ascii="微软雅黑" w:hAnsi="微软雅黑" w:eastAsia="微软雅黑" w:cs="微软雅黑"/>
          <w:sz w:val="20"/>
          <w:szCs w:val="20"/>
        </w:rPr>
      </w:pPr>
    </w:p>
    <w:p>
      <w:pPr>
        <w:spacing w:line="3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w:t>
      </w:r>
      <w:r>
        <w:rPr>
          <w:rFonts w:hint="default" w:ascii="微软雅黑" w:hAnsi="微软雅黑" w:cs="微软雅黑"/>
          <w:b/>
          <w:bCs/>
          <w:sz w:val="20"/>
          <w:szCs w:val="20"/>
          <w:lang w:val="en-US" w:eastAsia="zh-CN"/>
        </w:rPr>
        <w:t>9</w:t>
      </w:r>
      <w:r>
        <w:rPr>
          <w:rFonts w:hint="eastAsia" w:ascii="微软雅黑" w:hAnsi="微软雅黑" w:eastAsia="微软雅黑" w:cs="微软雅黑"/>
          <w:b/>
          <w:bCs/>
          <w:sz w:val="20"/>
          <w:szCs w:val="20"/>
        </w:rPr>
        <w:t>）倒流防止器技术要求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一、适用范围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本技术规格书适用于减压型倒流防止器的设计、材料、制造、检验和试验的最低要求。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二、供应方提供的产品，在满足下列标准要求的前提下，应满足或高于本招标技术要求的规定。</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GB 12220   通用阀门 标志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GB/T 12221 金属阀门 结构长度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12225 铜合金铸件技术条件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GB/T 12227 通用阀门 球墨铸铁铸件技术条件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12229 通用阀门 碳素钢铸件技术条件</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12252 通用阀门 供货要求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13927 通用阀门 压力试验</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17219 生活饮用水输配设备及防护材料的安全性评价标准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17241.6 整体铸铁管法兰</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20878 不锈钢及耐热钢 牌号及化学成分</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21873 橡胶密封件 给、排水管及污水管道用接口密封圈 材料规范</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GB/T 25178 减压型倒流防止器</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三、供货范围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1. 每台减压型倒流防止器的供货范围应包括但不限于以下部分：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 减压型倒流防止器本体，包括：阀体、阀盖、内件等；</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2)配对法兰、螺栓、螺母及垫片（具体见数据表要求）；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四、 通用条件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1. 工作介质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减压型倒流防止器的工作介质为清水。 </w:t>
      </w:r>
    </w:p>
    <w:p>
      <w:pPr>
        <w:spacing w:line="300" w:lineRule="exact"/>
        <w:rPr>
          <w:rFonts w:hint="eastAsia" w:ascii="微软雅黑" w:hAnsi="微软雅黑" w:eastAsia="微软雅黑" w:cs="微软雅黑"/>
          <w:sz w:val="20"/>
          <w:szCs w:val="20"/>
        </w:rPr>
      </w:pPr>
      <w:r>
        <w:rPr>
          <w:rFonts w:hint="eastAsia" w:ascii="微软雅黑" w:hAnsi="微软雅黑" w:cs="微软雅黑"/>
          <w:sz w:val="20"/>
          <w:szCs w:val="20"/>
          <w:lang w:eastAsia="zh-CN"/>
        </w:rPr>
        <w:t>五</w:t>
      </w:r>
      <w:r>
        <w:rPr>
          <w:rFonts w:hint="eastAsia" w:ascii="微软雅黑" w:hAnsi="微软雅黑" w:eastAsia="微软雅黑" w:cs="微软雅黑"/>
          <w:sz w:val="20"/>
          <w:szCs w:val="20"/>
        </w:rPr>
        <w:t xml:space="preserve">、技术要求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1. 设计要求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1.1阀门的设计与制造应遵循本技术规格书、GB/T25178及相关标准规范的要求。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1.2阀门的设计和制造能满足连续动作，材料的选取应能满足阀门所处工况及工艺性能的要求。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1.3阀门的安装尺寸应满足以下要求：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（1）法兰连接的阀门，制造标准为GB/T25178的阀门结构长度应符合GB/T12221的要求。 </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（2）法兰端密封面形式、尺寸应满足GB/T 17241.6的要求。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1.4阀门的止回阀紧闭性能应符合GB/T25178。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1.5阀门的泄水阀的启闭性能及排水性能应符合GB/T25178。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1.6阀门的防虹吸倒流性能应符合GB/T25178。</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1.7阀门应采用直通式设计，结构型式应便于现场在线检查、维修或更换。</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★2.材料要求</w:t>
      </w:r>
    </w:p>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                  表1  主要零件材料表</w:t>
      </w:r>
    </w:p>
    <w:tbl>
      <w:tblPr>
        <w:tblStyle w:val="18"/>
        <w:tblW w:w="90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4"/>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主要零件</w:t>
            </w:r>
          </w:p>
        </w:tc>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材料名称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阀体、阀盖、阀瓣</w:t>
            </w:r>
          </w:p>
        </w:tc>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球墨铸铁、不锈钢、青铜、黄铜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阀杆、与水接触的紧固件</w:t>
            </w:r>
          </w:p>
        </w:tc>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阀座</w:t>
            </w:r>
          </w:p>
        </w:tc>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不锈钢、青铜、塑料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橡胶密封件</w:t>
            </w:r>
          </w:p>
        </w:tc>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丁腈橡胶、三元乙丙橡胶、氯丁橡胶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弹簧</w:t>
            </w:r>
          </w:p>
        </w:tc>
        <w:tc>
          <w:tcPr>
            <w:tcW w:w="4524" w:type="dxa"/>
            <w:noWrap w:val="0"/>
            <w:vAlign w:val="top"/>
          </w:tcPr>
          <w:p>
            <w:pPr>
              <w:spacing w:line="30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不锈钢、60Si2Mn</w:t>
            </w:r>
          </w:p>
        </w:tc>
      </w:tr>
    </w:tbl>
    <w:p>
      <w:pPr>
        <w:outlineLvl w:val="9"/>
        <w:rPr>
          <w:rFonts w:hint="eastAsia"/>
        </w:rPr>
      </w:pPr>
    </w:p>
    <w:p>
      <w:pPr>
        <w:spacing w:line="360" w:lineRule="auto"/>
        <w:jc w:val="center"/>
        <w:outlineLvl w:val="9"/>
        <w:rPr>
          <w:rFonts w:hint="eastAsia" w:ascii="黑体" w:hAnsi="华文中宋" w:eastAsia="黑体" w:cs="华文中宋"/>
          <w:b/>
          <w:bCs/>
          <w:sz w:val="32"/>
          <w:szCs w:val="32"/>
        </w:rPr>
      </w:pPr>
    </w:p>
    <w:p>
      <w:pPr>
        <w:pStyle w:val="9"/>
        <w:snapToGrid w:val="0"/>
        <w:ind w:firstLine="0" w:firstLineChars="0"/>
        <w:jc w:val="center"/>
        <w:rPr>
          <w:rFonts w:hint="eastAsia" w:ascii="微软雅黑" w:hAnsi="微软雅黑" w:eastAsia="微软雅黑" w:cs="微软雅黑"/>
          <w:b/>
          <w:color w:val="auto"/>
          <w:sz w:val="20"/>
          <w:szCs w:val="20"/>
        </w:rPr>
      </w:pPr>
      <w:r>
        <w:rPr>
          <w:rFonts w:hint="eastAsia" w:ascii="微软雅黑" w:hAnsi="微软雅黑" w:eastAsia="微软雅黑" w:cs="微软雅黑"/>
          <w:b/>
          <w:color w:val="auto"/>
          <w:sz w:val="20"/>
          <w:szCs w:val="20"/>
          <w:lang w:val="en-US" w:eastAsia="zh-CN"/>
        </w:rPr>
        <w:t>（</w:t>
      </w:r>
      <w:r>
        <w:rPr>
          <w:rFonts w:hint="default" w:ascii="微软雅黑" w:hAnsi="微软雅黑" w:eastAsia="微软雅黑" w:cs="微软雅黑"/>
          <w:b/>
          <w:color w:val="auto"/>
          <w:sz w:val="20"/>
          <w:szCs w:val="20"/>
          <w:lang w:val="en-US" w:eastAsia="zh-CN"/>
        </w:rPr>
        <w:t>10</w:t>
      </w:r>
      <w:r>
        <w:rPr>
          <w:rFonts w:hint="eastAsia" w:ascii="微软雅黑" w:hAnsi="微软雅黑" w:eastAsia="微软雅黑" w:cs="微软雅黑"/>
          <w:b/>
          <w:color w:val="auto"/>
          <w:sz w:val="20"/>
          <w:szCs w:val="20"/>
          <w:lang w:val="en-US" w:eastAsia="zh-CN"/>
        </w:rPr>
        <w:t>） 伸缩</w:t>
      </w:r>
      <w:r>
        <w:rPr>
          <w:rFonts w:hint="eastAsia" w:ascii="微软雅黑" w:hAnsi="微软雅黑" w:eastAsia="微软雅黑" w:cs="微软雅黑"/>
          <w:b/>
          <w:color w:val="auto"/>
          <w:sz w:val="20"/>
          <w:szCs w:val="20"/>
        </w:rPr>
        <w:t>过滤器的技术要求</w:t>
      </w:r>
    </w:p>
    <w:p>
      <w:pPr>
        <w:spacing w:line="440" w:lineRule="exact"/>
        <w:ind w:left="0" w:leftChars="0" w:firstLine="0"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一、技术要求</w:t>
      </w:r>
    </w:p>
    <w:p>
      <w:pPr>
        <w:tabs>
          <w:tab w:val="left" w:pos="360"/>
          <w:tab w:val="left" w:pos="540"/>
        </w:tabs>
        <w:spacing w:line="360" w:lineRule="exact"/>
        <w:ind w:left="0" w:leftChars="0" w:firstLine="0"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1、标准要求：</w:t>
      </w:r>
    </w:p>
    <w:p>
      <w:pPr>
        <w:spacing w:line="420" w:lineRule="exact"/>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执行国家标准、行业规范</w:t>
      </w:r>
    </w:p>
    <w:p>
      <w:pPr>
        <w:pStyle w:val="15"/>
        <w:spacing w:line="420" w:lineRule="exact"/>
        <w:ind w:left="0" w:leftChars="0" w:firstLine="0"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供货商提供的产品，在满足下列标准要求的前提下，应满足或高于本招标技术要求的规定。设计符合如下相关标准：</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 xml:space="preserve">1.1 </w:t>
      </w:r>
      <w:r>
        <w:rPr>
          <w:rFonts w:hint="eastAsia" w:ascii="微软雅黑" w:hAnsi="微软雅黑" w:eastAsia="微软雅黑" w:cs="微软雅黑"/>
          <w:b w:val="0"/>
          <w:bCs/>
          <w:sz w:val="20"/>
          <w:szCs w:val="20"/>
        </w:rPr>
        <w:t>GB/T 17241.6</w:t>
      </w:r>
      <w:r>
        <w:rPr>
          <w:rFonts w:hint="eastAsia" w:ascii="微软雅黑" w:hAnsi="微软雅黑" w:eastAsia="微软雅黑" w:cs="微软雅黑"/>
          <w:b w:val="0"/>
          <w:bCs/>
          <w:sz w:val="20"/>
          <w:szCs w:val="20"/>
          <w:lang w:val="en-US" w:eastAsia="zh-CN"/>
        </w:rPr>
        <w:t xml:space="preserve">-2008 </w:t>
      </w:r>
      <w:r>
        <w:rPr>
          <w:rFonts w:hint="eastAsia" w:ascii="微软雅黑" w:hAnsi="微软雅黑" w:eastAsia="微软雅黑" w:cs="微软雅黑"/>
          <w:b w:val="0"/>
          <w:bCs/>
          <w:sz w:val="20"/>
          <w:szCs w:val="20"/>
        </w:rPr>
        <w:t>整体铸铁法兰；</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 xml:space="preserve">1.2 </w:t>
      </w:r>
      <w:r>
        <w:rPr>
          <w:rFonts w:hint="eastAsia" w:ascii="微软雅黑" w:hAnsi="微软雅黑" w:eastAsia="微软雅黑" w:cs="微软雅黑"/>
          <w:b w:val="0"/>
          <w:bCs/>
          <w:sz w:val="20"/>
          <w:szCs w:val="20"/>
        </w:rPr>
        <w:t>GB/T13927-2008   工业阀门 压力试验</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 xml:space="preserve">1.3 </w:t>
      </w:r>
      <w:r>
        <w:rPr>
          <w:rFonts w:hint="eastAsia" w:ascii="微软雅黑" w:hAnsi="微软雅黑" w:eastAsia="微软雅黑" w:cs="微软雅黑"/>
          <w:b w:val="0"/>
          <w:bCs/>
          <w:sz w:val="20"/>
          <w:szCs w:val="20"/>
        </w:rPr>
        <w:t>GB/T12220 -</w:t>
      </w:r>
      <w:r>
        <w:rPr>
          <w:rFonts w:hint="eastAsia" w:ascii="微软雅黑" w:hAnsi="微软雅黑" w:eastAsia="微软雅黑" w:cs="微软雅黑"/>
          <w:b w:val="0"/>
          <w:bCs/>
          <w:sz w:val="20"/>
          <w:szCs w:val="20"/>
          <w:lang w:val="en-US" w:eastAsia="zh-CN"/>
        </w:rPr>
        <w:t>2015</w:t>
      </w:r>
      <w:r>
        <w:rPr>
          <w:rFonts w:hint="eastAsia" w:ascii="微软雅黑" w:hAnsi="微软雅黑" w:eastAsia="微软雅黑" w:cs="微软雅黑"/>
          <w:b w:val="0"/>
          <w:bCs/>
          <w:sz w:val="20"/>
          <w:szCs w:val="20"/>
        </w:rPr>
        <w:t xml:space="preserve"> 通用阀门标志  </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 xml:space="preserve">1.4 </w:t>
      </w:r>
      <w:r>
        <w:rPr>
          <w:rFonts w:hint="eastAsia" w:ascii="微软雅黑" w:hAnsi="微软雅黑" w:eastAsia="微软雅黑" w:cs="微软雅黑"/>
          <w:b w:val="0"/>
          <w:bCs/>
          <w:sz w:val="20"/>
          <w:szCs w:val="20"/>
        </w:rPr>
        <w:t>GB/T12252-1989   通用阀门 供货要求</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 xml:space="preserve">1.5 </w:t>
      </w:r>
      <w:r>
        <w:rPr>
          <w:rFonts w:hint="eastAsia" w:ascii="微软雅黑" w:hAnsi="微软雅黑" w:eastAsia="微软雅黑" w:cs="微软雅黑"/>
          <w:b w:val="0"/>
          <w:bCs/>
          <w:sz w:val="20"/>
          <w:szCs w:val="20"/>
        </w:rPr>
        <w:t xml:space="preserve">GB/T12227-2005   </w:t>
      </w:r>
      <w:r>
        <w:rPr>
          <w:rFonts w:hint="eastAsia" w:ascii="微软雅黑" w:hAnsi="微软雅黑" w:eastAsia="微软雅黑" w:cs="微软雅黑"/>
          <w:b w:val="0"/>
          <w:bCs/>
          <w:color w:val="000000"/>
          <w:sz w:val="20"/>
          <w:szCs w:val="20"/>
        </w:rPr>
        <w:t>通用阀门 球墨铸铁技术条件</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 xml:space="preserve">1.6  </w:t>
      </w:r>
      <w:r>
        <w:rPr>
          <w:rFonts w:hint="eastAsia" w:ascii="微软雅黑" w:hAnsi="微软雅黑" w:eastAsia="微软雅黑" w:cs="微软雅黑"/>
          <w:b w:val="0"/>
          <w:bCs/>
          <w:sz w:val="20"/>
          <w:szCs w:val="20"/>
        </w:rPr>
        <w:t>GB/T 17219-2001生活饮用输配水设备及防护材料的安全性能评价标准；</w:t>
      </w:r>
    </w:p>
    <w:p>
      <w:pPr>
        <w:spacing w:line="360" w:lineRule="auto"/>
        <w:ind w:left="0" w:leftChars="0" w:firstLine="0"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2、</w:t>
      </w:r>
      <w:r>
        <w:rPr>
          <w:rFonts w:hint="eastAsia" w:ascii="微软雅黑" w:hAnsi="微软雅黑" w:eastAsia="微软雅黑" w:cs="微软雅黑"/>
          <w:b w:val="0"/>
          <w:bCs/>
          <w:sz w:val="20"/>
          <w:szCs w:val="20"/>
        </w:rPr>
        <w:t>技术性能及材质要求</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工作介质、温度及结构、安装要求 工作介质为自来水或河水，工作温度0℃~80℃，公称压力</w:t>
      </w:r>
      <w:r>
        <w:rPr>
          <w:rFonts w:hint="eastAsia" w:ascii="微软雅黑" w:hAnsi="微软雅黑" w:eastAsia="微软雅黑" w:cs="微软雅黑"/>
          <w:b w:val="0"/>
          <w:bCs/>
          <w:sz w:val="20"/>
          <w:szCs w:val="20"/>
          <w:lang w:val="en-US" w:eastAsia="zh-CN"/>
        </w:rPr>
        <w:t>1.0MPa或</w:t>
      </w:r>
      <w:r>
        <w:rPr>
          <w:rFonts w:hint="eastAsia" w:ascii="微软雅黑" w:hAnsi="微软雅黑" w:eastAsia="微软雅黑" w:cs="微软雅黑"/>
          <w:b w:val="0"/>
          <w:bCs/>
          <w:sz w:val="20"/>
          <w:szCs w:val="20"/>
        </w:rPr>
        <w:t xml:space="preserve">1.6MPa。 </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sz w:val="20"/>
          <w:szCs w:val="20"/>
        </w:rPr>
        <w:t>★</w:t>
      </w:r>
      <w:r>
        <w:rPr>
          <w:rFonts w:hint="eastAsia" w:ascii="微软雅黑" w:hAnsi="微软雅黑" w:eastAsia="微软雅黑" w:cs="微软雅黑"/>
          <w:b w:val="0"/>
          <w:bCs/>
          <w:sz w:val="20"/>
          <w:szCs w:val="20"/>
          <w:lang w:val="en-US" w:eastAsia="zh-CN"/>
        </w:rPr>
        <w:t>3、</w:t>
      </w:r>
      <w:r>
        <w:rPr>
          <w:rFonts w:hint="eastAsia" w:ascii="微软雅黑" w:hAnsi="微软雅黑" w:eastAsia="微软雅黑" w:cs="微软雅黑"/>
          <w:b w:val="0"/>
          <w:bCs/>
          <w:sz w:val="20"/>
          <w:szCs w:val="20"/>
        </w:rPr>
        <w:t>阀体、阀盖：</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阀体、阀盖、采用球墨铸铁QT450－10或性能更高的材料，铸造工艺为树脂砂型，阀门铸件过流表面要求光滑，并符合相关材料标准的规定，铸件要进行热处理消除内应力。商标及材质牌号铸在阀体上。</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法兰材质与阀体一致，并与阀体铸为一体，法兰要符合GB/T 17241.6的规定。</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阀体采用直通式阀体。阀体与阀盖之间的连接采用法兰式连接。在1.5倍工作压力的壳体试验下，阀体所有部件不发生变形。</w:t>
      </w:r>
    </w:p>
    <w:p>
      <w:pPr>
        <w:numPr>
          <w:ilvl w:val="0"/>
          <w:numId w:val="6"/>
        </w:num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过滤网须采用304不锈钢，其过流面积不低于同规格管道内腔截面的过流面积。</w:t>
      </w:r>
    </w:p>
    <w:p>
      <w:pPr>
        <w:pStyle w:val="10"/>
        <w:numPr>
          <w:ilvl w:val="0"/>
          <w:numId w:val="6"/>
        </w:numPr>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过滤器自带伸缩功能，方便现场安装。</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6、</w:t>
      </w:r>
      <w:r>
        <w:rPr>
          <w:rFonts w:hint="eastAsia" w:ascii="微软雅黑" w:hAnsi="微软雅黑" w:eastAsia="微软雅黑" w:cs="微软雅黑"/>
          <w:b w:val="0"/>
          <w:bCs/>
          <w:sz w:val="20"/>
          <w:szCs w:val="20"/>
        </w:rPr>
        <w:t>密封：</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阀体与阀盖的密封：采用丁晴橡胶密封圈密封。</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阀体与阀盖密封试验均要符合《工业阀门  压力试验GB/T 13927-2008》的规定。</w:t>
      </w:r>
    </w:p>
    <w:p>
      <w:pPr>
        <w:spacing w:line="360" w:lineRule="auto"/>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lang w:val="en-US" w:eastAsia="zh-CN"/>
        </w:rPr>
        <w:t>7、</w:t>
      </w:r>
      <w:r>
        <w:rPr>
          <w:rFonts w:hint="eastAsia" w:ascii="微软雅黑" w:hAnsi="微软雅黑" w:eastAsia="微软雅黑" w:cs="微软雅黑"/>
          <w:b w:val="0"/>
          <w:bCs/>
          <w:sz w:val="20"/>
          <w:szCs w:val="20"/>
        </w:rPr>
        <w:t>防腐涂层：</w:t>
      </w:r>
    </w:p>
    <w:p>
      <w:pPr>
        <w:spacing w:line="360" w:lineRule="auto"/>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过滤器内部的防腐涂层要求厚度均匀、色泽均一，涂层表面光洁，无流痕。喷涂防腐涂层前阀体、阀</w:t>
      </w:r>
      <w:r>
        <w:rPr>
          <w:rFonts w:hint="eastAsia" w:ascii="微软雅黑" w:hAnsi="微软雅黑" w:eastAsia="微软雅黑" w:cs="微软雅黑"/>
          <w:b w:val="0"/>
          <w:bCs/>
          <w:sz w:val="20"/>
          <w:szCs w:val="20"/>
          <w:lang w:eastAsia="zh-CN"/>
        </w:rPr>
        <w:t>盖</w:t>
      </w:r>
      <w:r>
        <w:rPr>
          <w:rFonts w:hint="eastAsia" w:ascii="微软雅黑" w:hAnsi="微软雅黑" w:eastAsia="微软雅黑" w:cs="微软雅黑"/>
          <w:b w:val="0"/>
          <w:bCs/>
          <w:sz w:val="20"/>
          <w:szCs w:val="20"/>
        </w:rPr>
        <w:t>表面至少喷砂除锈达到Sa2.5级，将铸件加热后再进行静电喷涂环氧树脂粉末工艺，烘干固化后涂层厚度在0.3mm～</w:t>
      </w:r>
      <w:r>
        <w:rPr>
          <w:rFonts w:hint="eastAsia" w:ascii="微软雅黑" w:hAnsi="微软雅黑" w:eastAsia="微软雅黑" w:cs="微软雅黑"/>
          <w:b w:val="0"/>
          <w:bCs/>
          <w:sz w:val="20"/>
          <w:szCs w:val="20"/>
          <w:lang w:val="en-US" w:eastAsia="zh-CN"/>
        </w:rPr>
        <w:t>0.5</w:t>
      </w:r>
      <w:r>
        <w:rPr>
          <w:rFonts w:hint="eastAsia" w:ascii="微软雅黑" w:hAnsi="微软雅黑" w:eastAsia="微软雅黑" w:cs="微软雅黑"/>
          <w:b w:val="0"/>
          <w:bCs/>
          <w:sz w:val="20"/>
          <w:szCs w:val="20"/>
        </w:rPr>
        <w:t>mm之间。阀门外防腐采用环氧树脂涂料或上述静电喷涂环氧树脂粉末工艺，阀门外观颜色为蓝色。粉末应提供材料原产地证明</w:t>
      </w:r>
      <w:r>
        <w:rPr>
          <w:rFonts w:hint="eastAsia" w:ascii="微软雅黑" w:hAnsi="微软雅黑" w:eastAsia="微软雅黑" w:cs="微软雅黑"/>
          <w:b w:val="0"/>
          <w:bCs/>
          <w:sz w:val="20"/>
          <w:szCs w:val="20"/>
          <w:lang w:eastAsia="zh-CN"/>
        </w:rPr>
        <w:t>，</w:t>
      </w:r>
      <w:r>
        <w:rPr>
          <w:rFonts w:hint="eastAsia" w:ascii="微软雅黑" w:hAnsi="微软雅黑" w:eastAsia="微软雅黑" w:cs="微软雅黑"/>
          <w:b w:val="0"/>
          <w:bCs/>
          <w:sz w:val="20"/>
          <w:szCs w:val="20"/>
        </w:rPr>
        <w:t>喷涂应采用自动流水线生产。</w:t>
      </w:r>
    </w:p>
    <w:p>
      <w:pPr>
        <w:pStyle w:val="9"/>
        <w:ind w:left="0" w:leftChars="0" w:firstLine="0" w:firstLineChars="0"/>
        <w:rPr>
          <w:rFonts w:hint="eastAsia" w:ascii="微软雅黑" w:hAnsi="微软雅黑" w:eastAsia="微软雅黑" w:cs="微软雅黑"/>
          <w:b w:val="0"/>
          <w:bCs/>
          <w:color w:val="auto"/>
          <w:sz w:val="20"/>
          <w:szCs w:val="20"/>
        </w:rPr>
      </w:pPr>
      <w:r>
        <w:rPr>
          <w:rFonts w:hint="eastAsia" w:ascii="微软雅黑" w:hAnsi="微软雅黑" w:eastAsia="微软雅黑" w:cs="微软雅黑"/>
          <w:b w:val="0"/>
          <w:bCs/>
          <w:color w:val="auto"/>
          <w:sz w:val="20"/>
          <w:szCs w:val="20"/>
        </w:rPr>
        <w:t>二、铭牌与标志</w:t>
      </w:r>
    </w:p>
    <w:p>
      <w:pPr>
        <w:pStyle w:val="9"/>
        <w:ind w:left="0" w:leftChars="0" w:firstLine="0" w:firstLineChars="0"/>
        <w:rPr>
          <w:rFonts w:hint="eastAsia" w:ascii="微软雅黑" w:hAnsi="微软雅黑" w:eastAsia="微软雅黑" w:cs="微软雅黑"/>
          <w:b w:val="0"/>
          <w:bCs/>
          <w:color w:val="auto"/>
          <w:sz w:val="20"/>
          <w:szCs w:val="20"/>
        </w:rPr>
      </w:pPr>
      <w:r>
        <w:rPr>
          <w:rFonts w:hint="eastAsia" w:ascii="微软雅黑" w:hAnsi="微软雅黑" w:eastAsia="微软雅黑" w:cs="微软雅黑"/>
          <w:b w:val="0"/>
          <w:bCs/>
          <w:color w:val="auto"/>
          <w:sz w:val="20"/>
          <w:szCs w:val="20"/>
        </w:rPr>
        <w:t>1 设备铭牌</w:t>
      </w:r>
    </w:p>
    <w:p>
      <w:pPr>
        <w:spacing w:line="440" w:lineRule="exact"/>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铭牌应固定在明显的位置。铭牌内容如下：</w:t>
      </w:r>
    </w:p>
    <w:p>
      <w:pPr>
        <w:numPr>
          <w:ilvl w:val="0"/>
          <w:numId w:val="7"/>
        </w:numPr>
        <w:tabs>
          <w:tab w:val="left" w:pos="420"/>
          <w:tab w:val="clear" w:pos="958"/>
        </w:tabs>
        <w:spacing w:line="440" w:lineRule="exact"/>
        <w:ind w:left="958" w:leftChars="0" w:hanging="958"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型号及规格、工作压力</w:t>
      </w:r>
    </w:p>
    <w:p>
      <w:pPr>
        <w:numPr>
          <w:ilvl w:val="0"/>
          <w:numId w:val="7"/>
        </w:numPr>
        <w:tabs>
          <w:tab w:val="left" w:pos="420"/>
          <w:tab w:val="clear" w:pos="958"/>
        </w:tabs>
        <w:spacing w:line="440" w:lineRule="exact"/>
        <w:ind w:left="958" w:leftChars="0" w:hanging="958"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制造年月，出厂编号</w:t>
      </w:r>
    </w:p>
    <w:p>
      <w:pPr>
        <w:numPr>
          <w:ilvl w:val="0"/>
          <w:numId w:val="7"/>
        </w:numPr>
        <w:tabs>
          <w:tab w:val="left" w:pos="420"/>
          <w:tab w:val="clear" w:pos="958"/>
        </w:tabs>
        <w:spacing w:line="440" w:lineRule="exact"/>
        <w:ind w:left="958" w:leftChars="0" w:hanging="958" w:firstLineChars="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制造厂家名称或厂标</w:t>
      </w:r>
    </w:p>
    <w:p>
      <w:pPr>
        <w:spacing w:line="440" w:lineRule="exact"/>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2 标志</w:t>
      </w:r>
    </w:p>
    <w:p>
      <w:pPr>
        <w:spacing w:line="440" w:lineRule="exact"/>
        <w:ind w:firstLine="400" w:firstLineChars="20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 xml:space="preserve">符合《通用阀门标志GB </w:t>
      </w:r>
      <w:r>
        <w:rPr>
          <w:rFonts w:hint="eastAsia" w:ascii="微软雅黑" w:hAnsi="微软雅黑" w:eastAsia="微软雅黑" w:cs="微软雅黑"/>
          <w:b w:val="0"/>
          <w:bCs/>
          <w:sz w:val="20"/>
          <w:szCs w:val="20"/>
          <w:lang w:val="en-US" w:eastAsia="zh-CN"/>
        </w:rPr>
        <w:t>/T</w:t>
      </w:r>
      <w:r>
        <w:rPr>
          <w:rFonts w:hint="eastAsia" w:ascii="微软雅黑" w:hAnsi="微软雅黑" w:eastAsia="微软雅黑" w:cs="微软雅黑"/>
          <w:b w:val="0"/>
          <w:bCs/>
          <w:sz w:val="20"/>
          <w:szCs w:val="20"/>
        </w:rPr>
        <w:t>12220－</w:t>
      </w:r>
      <w:r>
        <w:rPr>
          <w:rFonts w:hint="eastAsia" w:ascii="微软雅黑" w:hAnsi="微软雅黑" w:eastAsia="微软雅黑" w:cs="微软雅黑"/>
          <w:b w:val="0"/>
          <w:bCs/>
          <w:sz w:val="20"/>
          <w:szCs w:val="20"/>
          <w:lang w:val="en-US" w:eastAsia="zh-CN"/>
        </w:rPr>
        <w:t>2015</w:t>
      </w:r>
      <w:r>
        <w:rPr>
          <w:rFonts w:hint="eastAsia" w:ascii="微软雅黑" w:hAnsi="微软雅黑" w:eastAsia="微软雅黑" w:cs="微软雅黑"/>
          <w:b w:val="0"/>
          <w:bCs/>
          <w:sz w:val="20"/>
          <w:szCs w:val="20"/>
        </w:rPr>
        <w:t>》规定，介质流向箭头标向要正确。</w:t>
      </w:r>
    </w:p>
    <w:p>
      <w:pPr>
        <w:rPr>
          <w:rFonts w:hint="eastAsia" w:ascii="黑体" w:hAnsi="华文中宋" w:eastAsia="黑体" w:cs="华文中宋"/>
          <w:b/>
          <w:bCs/>
          <w:sz w:val="32"/>
          <w:szCs w:val="32"/>
        </w:rPr>
      </w:pPr>
      <w:r>
        <w:br w:type="page"/>
      </w:r>
    </w:p>
    <w:p>
      <w:pPr>
        <w:spacing w:line="360" w:lineRule="auto"/>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t>第四章  评分体系与标准</w:t>
      </w:r>
    </w:p>
    <w:p>
      <w:pPr>
        <w:widowControl w:val="0"/>
        <w:numPr>
          <w:ilvl w:val="0"/>
          <w:numId w:val="8"/>
        </w:numPr>
        <w:tabs>
          <w:tab w:val="left" w:pos="630"/>
        </w:tabs>
        <w:autoSpaceDE w:val="0"/>
        <w:autoSpaceDN w:val="0"/>
        <w:snapToGrid/>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本评标办法采用综合评分法，</w:t>
      </w:r>
      <w:r>
        <w:rPr>
          <w:rFonts w:hint="eastAsia" w:ascii="微软雅黑" w:hAnsi="微软雅黑" w:eastAsia="微软雅黑" w:cs="微软雅黑"/>
          <w:b/>
          <w:sz w:val="20"/>
          <w:szCs w:val="20"/>
        </w:rPr>
        <w:t>技术分值</w:t>
      </w:r>
      <w:r>
        <w:rPr>
          <w:rFonts w:hint="eastAsia" w:ascii="微软雅黑" w:hAnsi="微软雅黑" w:cs="微软雅黑"/>
          <w:b/>
          <w:sz w:val="20"/>
          <w:szCs w:val="20"/>
          <w:lang w:val="en-US" w:eastAsia="zh-CN"/>
        </w:rPr>
        <w:t>30</w:t>
      </w:r>
      <w:r>
        <w:rPr>
          <w:rFonts w:hint="eastAsia" w:ascii="微软雅黑" w:hAnsi="微软雅黑" w:eastAsia="微软雅黑" w:cs="微软雅黑"/>
          <w:b/>
          <w:sz w:val="20"/>
          <w:szCs w:val="20"/>
        </w:rPr>
        <w:t>%，商务分值</w:t>
      </w:r>
      <w:r>
        <w:rPr>
          <w:rFonts w:hint="eastAsia" w:ascii="微软雅黑" w:hAnsi="微软雅黑" w:cs="微软雅黑"/>
          <w:b/>
          <w:sz w:val="20"/>
          <w:szCs w:val="20"/>
          <w:lang w:val="en-US" w:eastAsia="zh-CN"/>
        </w:rPr>
        <w:t>20</w:t>
      </w:r>
      <w:r>
        <w:rPr>
          <w:rFonts w:hint="eastAsia" w:ascii="微软雅黑" w:hAnsi="微软雅黑" w:eastAsia="微软雅黑" w:cs="微软雅黑"/>
          <w:b/>
          <w:sz w:val="20"/>
          <w:szCs w:val="20"/>
        </w:rPr>
        <w:t>%，价格分值</w:t>
      </w:r>
      <w:r>
        <w:rPr>
          <w:rFonts w:hint="eastAsia" w:ascii="微软雅黑" w:hAnsi="微软雅黑" w:cs="微软雅黑"/>
          <w:b/>
          <w:sz w:val="20"/>
          <w:szCs w:val="20"/>
          <w:lang w:val="en-US" w:eastAsia="zh-CN"/>
        </w:rPr>
        <w:t>50</w:t>
      </w:r>
      <w:r>
        <w:rPr>
          <w:rFonts w:hint="eastAsia" w:ascii="微软雅黑" w:hAnsi="微软雅黑" w:eastAsia="微软雅黑" w:cs="微软雅黑"/>
          <w:b/>
          <w:sz w:val="20"/>
          <w:szCs w:val="20"/>
        </w:rPr>
        <w:t>%。</w:t>
      </w:r>
    </w:p>
    <w:p>
      <w:pPr>
        <w:widowControl w:val="0"/>
        <w:numPr>
          <w:ilvl w:val="0"/>
          <w:numId w:val="8"/>
        </w:numPr>
        <w:tabs>
          <w:tab w:val="left" w:pos="630"/>
        </w:tabs>
        <w:autoSpaceDE w:val="0"/>
        <w:autoSpaceDN w:val="0"/>
        <w:snapToGrid/>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评标步骤：评标委员会先进行投标文件初审，对通过初审的投标文件进行技术、商务及价格的详细评审最后评标委员会出具评标报告。</w:t>
      </w:r>
    </w:p>
    <w:p>
      <w:pPr>
        <w:widowControl w:val="0"/>
        <w:numPr>
          <w:ilvl w:val="0"/>
          <w:numId w:val="8"/>
        </w:numPr>
        <w:tabs>
          <w:tab w:val="left" w:pos="630"/>
        </w:tabs>
        <w:autoSpaceDE w:val="0"/>
        <w:autoSpaceDN w:val="0"/>
        <w:snapToGrid/>
        <w:spacing w:after="0" w:line="360" w:lineRule="auto"/>
        <w:jc w:val="both"/>
        <w:rPr>
          <w:rFonts w:hint="eastAsia" w:ascii="微软雅黑" w:hAnsi="微软雅黑" w:eastAsia="微软雅黑" w:cs="微软雅黑"/>
          <w:color w:val="000000"/>
          <w:sz w:val="20"/>
          <w:szCs w:val="20"/>
        </w:rPr>
      </w:pPr>
      <w:r>
        <w:rPr>
          <w:rFonts w:hint="eastAsia" w:ascii="微软雅黑" w:hAnsi="微软雅黑" w:eastAsia="微软雅黑" w:cs="微软雅黑"/>
          <w:sz w:val="20"/>
          <w:szCs w:val="20"/>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spacing w:before="120" w:beforeLines="50" w:after="120" w:afterLines="50" w:line="360" w:lineRule="auto"/>
        <w:jc w:val="center"/>
        <w:rPr>
          <w:rFonts w:hint="eastAsia" w:ascii="微软雅黑" w:hAnsi="微软雅黑" w:eastAsia="微软雅黑" w:cs="宋体"/>
          <w:b/>
          <w:sz w:val="24"/>
          <w:szCs w:val="24"/>
          <w:lang w:eastAsia="zh-CN"/>
        </w:rPr>
      </w:pPr>
      <w:r>
        <w:rPr>
          <w:rFonts w:hint="eastAsia" w:ascii="微软雅黑" w:hAnsi="微软雅黑" w:cs="宋体"/>
          <w:b/>
          <w:color w:val="000000"/>
          <w:sz w:val="24"/>
          <w:szCs w:val="24"/>
        </w:rPr>
        <w:t>资格性</w:t>
      </w:r>
      <w:r>
        <w:rPr>
          <w:rFonts w:hint="eastAsia" w:ascii="微软雅黑" w:hAnsi="微软雅黑" w:cs="宋体"/>
          <w:b/>
          <w:color w:val="000000"/>
          <w:sz w:val="24"/>
          <w:szCs w:val="24"/>
          <w:lang w:eastAsia="zh-CN"/>
        </w:rPr>
        <w:t>审查</w:t>
      </w:r>
    </w:p>
    <w:p>
      <w:pPr>
        <w:spacing w:line="360" w:lineRule="auto"/>
        <w:jc w:val="center"/>
        <w:rPr>
          <w:rFonts w:hint="eastAsia" w:eastAsia="微软雅黑"/>
          <w:snapToGrid w:val="0"/>
          <w:color w:val="000000"/>
          <w:spacing w:val="8"/>
          <w:sz w:val="21"/>
          <w:szCs w:val="21"/>
          <w:lang w:eastAsia="zh-CN"/>
        </w:rPr>
      </w:pPr>
      <w:r>
        <w:rPr>
          <w:rFonts w:hint="eastAsia" w:ascii="宋体" w:hAnsi="宋体" w:cs="宋体"/>
          <w:sz w:val="21"/>
          <w:szCs w:val="21"/>
        </w:rPr>
        <w:t>项目名称：</w:t>
      </w:r>
      <w:r>
        <w:rPr>
          <w:rFonts w:hint="eastAsia" w:ascii="微软雅黑" w:hAnsi="微软雅黑" w:cs="微软雅黑"/>
          <w:bCs/>
          <w:sz w:val="21"/>
          <w:szCs w:val="21"/>
          <w:lang w:eastAsia="zh-CN"/>
        </w:rPr>
        <w:t>广州市增城自来水安装工程有限公司2021~2022年度阀门(大口径)采购项目</w:t>
      </w:r>
    </w:p>
    <w:tbl>
      <w:tblPr>
        <w:tblStyle w:val="17"/>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noWrap w:val="0"/>
            <w:vAlign w:val="center"/>
          </w:tcPr>
          <w:p>
            <w:pPr>
              <w:spacing w:line="360" w:lineRule="auto"/>
              <w:ind w:left="-125" w:leftChars="-57"/>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序号</w:t>
            </w:r>
          </w:p>
        </w:tc>
        <w:tc>
          <w:tcPr>
            <w:tcW w:w="9001" w:type="dxa"/>
            <w:noWrap w:val="0"/>
            <w:vAlign w:val="center"/>
          </w:tcPr>
          <w:p>
            <w:pPr>
              <w:spacing w:line="360" w:lineRule="auto"/>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9001" w:type="dxa"/>
            <w:noWrap w:val="0"/>
            <w:vAlign w:val="center"/>
          </w:tcPr>
          <w:p>
            <w:pPr>
              <w:spacing w:line="360" w:lineRule="auto"/>
              <w:rPr>
                <w:rFonts w:hint="eastAsia" w:ascii="微软雅黑" w:hAnsi="微软雅黑" w:eastAsia="微软雅黑" w:cs="微软雅黑"/>
                <w:bCs/>
                <w:sz w:val="20"/>
                <w:szCs w:val="20"/>
                <w:lang w:eastAsia="zh-CN"/>
              </w:rPr>
            </w:pPr>
            <w:r>
              <w:rPr>
                <w:rFonts w:hint="eastAsia" w:ascii="微软雅黑" w:hAnsi="微软雅黑" w:eastAsia="微软雅黑" w:cs="微软雅黑"/>
                <w:sz w:val="20"/>
                <w:szCs w:val="20"/>
              </w:rPr>
              <w:t>具备招标文件中规定资格要求的及资格证明文件齐全</w:t>
            </w:r>
            <w:r>
              <w:rPr>
                <w:rFonts w:hint="eastAsia" w:ascii="微软雅黑" w:hAnsi="微软雅黑" w:cs="微软雅黑"/>
                <w:sz w:val="20"/>
                <w:szCs w:val="20"/>
                <w:lang w:eastAsia="zh-CN"/>
              </w:rPr>
              <w:t>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9001" w:type="dxa"/>
            <w:noWrap w:val="0"/>
            <w:vAlign w:val="center"/>
          </w:tcPr>
          <w:p>
            <w:pPr>
              <w:spacing w:line="360" w:lineRule="auto"/>
              <w:rPr>
                <w:rFonts w:hint="eastAsia" w:ascii="微软雅黑" w:hAnsi="微软雅黑" w:eastAsia="微软雅黑" w:cs="微软雅黑"/>
                <w:bCs/>
                <w:sz w:val="20"/>
                <w:szCs w:val="20"/>
              </w:rPr>
            </w:pPr>
            <w:r>
              <w:rPr>
                <w:rFonts w:hint="eastAsia" w:ascii="微软雅黑" w:hAnsi="微软雅黑" w:eastAsia="微软雅黑" w:cs="微软雅黑"/>
                <w:sz w:val="20"/>
                <w:szCs w:val="20"/>
              </w:rPr>
              <w:t>投标人按招标文件要求缴纳投标保证金的</w:t>
            </w:r>
          </w:p>
        </w:tc>
      </w:tr>
    </w:tbl>
    <w:p>
      <w:pPr>
        <w:spacing w:line="360" w:lineRule="auto"/>
        <w:jc w:val="both"/>
        <w:rPr>
          <w:rFonts w:ascii="宋体" w:hAnsi="宋体"/>
          <w:b/>
          <w:sz w:val="24"/>
        </w:rPr>
      </w:pPr>
    </w:p>
    <w:p>
      <w:pPr>
        <w:spacing w:line="360" w:lineRule="auto"/>
        <w:jc w:val="center"/>
        <w:rPr>
          <w:rFonts w:hint="eastAsia" w:ascii="宋体" w:hAnsi="宋体" w:eastAsia="微软雅黑"/>
          <w:b/>
          <w:sz w:val="24"/>
          <w:lang w:eastAsia="zh-CN"/>
        </w:rPr>
      </w:pPr>
      <w:r>
        <w:rPr>
          <w:rFonts w:hint="eastAsia" w:ascii="宋体" w:hAnsi="宋体"/>
          <w:b/>
          <w:sz w:val="24"/>
        </w:rPr>
        <w:t>符合性</w:t>
      </w:r>
      <w:r>
        <w:rPr>
          <w:rFonts w:hint="eastAsia" w:ascii="宋体" w:hAnsi="宋体"/>
          <w:b/>
          <w:sz w:val="24"/>
          <w:lang w:eastAsia="zh-CN"/>
        </w:rPr>
        <w:t>审查</w:t>
      </w:r>
    </w:p>
    <w:tbl>
      <w:tblPr>
        <w:tblStyle w:val="17"/>
        <w:tblW w:w="996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1"/>
        <w:gridCol w:w="917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top w:val="single" w:color="auto" w:sz="12" w:space="0"/>
              <w:bottom w:val="single" w:color="auto" w:sz="4" w:space="0"/>
            </w:tcBorders>
            <w:noWrap w:val="0"/>
            <w:vAlign w:val="center"/>
          </w:tcPr>
          <w:p>
            <w:pPr>
              <w:spacing w:line="360" w:lineRule="auto"/>
              <w:ind w:left="-125" w:leftChars="-57"/>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序号</w:t>
            </w:r>
          </w:p>
        </w:tc>
        <w:tc>
          <w:tcPr>
            <w:tcW w:w="9171" w:type="dxa"/>
            <w:tcBorders>
              <w:top w:val="single" w:color="auto" w:sz="12" w:space="0"/>
            </w:tcBorders>
            <w:noWrap w:val="0"/>
            <w:vAlign w:val="center"/>
          </w:tcPr>
          <w:p>
            <w:pPr>
              <w:spacing w:line="360" w:lineRule="auto"/>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投标文件按照招标文件规定要求签署或盖章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3" w:hRule="atLeast"/>
          <w:jc w:val="center"/>
        </w:trPr>
        <w:tc>
          <w:tcPr>
            <w:tcW w:w="791" w:type="dxa"/>
            <w:tcBorders>
              <w:top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投标人按招标文件要求缴纳投标保证金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3" w:hRule="atLeast"/>
          <w:jc w:val="center"/>
        </w:trPr>
        <w:tc>
          <w:tcPr>
            <w:tcW w:w="791" w:type="dxa"/>
            <w:tcBorders>
              <w:top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p>
        </w:tc>
        <w:tc>
          <w:tcPr>
            <w:tcW w:w="9171" w:type="dxa"/>
            <w:noWrap w:val="0"/>
            <w:vAlign w:val="center"/>
          </w:tcPr>
          <w:p>
            <w:pPr>
              <w:spacing w:line="360" w:lineRule="auto"/>
              <w:rPr>
                <w:rFonts w:hint="eastAsia" w:ascii="微软雅黑" w:hAnsi="微软雅黑" w:eastAsia="微软雅黑" w:cs="微软雅黑"/>
                <w:color w:val="FF0000"/>
                <w:sz w:val="20"/>
                <w:szCs w:val="20"/>
                <w:lang w:eastAsia="zh-CN"/>
              </w:rPr>
            </w:pPr>
            <w:r>
              <w:rPr>
                <w:rFonts w:hint="eastAsia" w:ascii="微软雅黑" w:hAnsi="微软雅黑" w:eastAsia="微软雅黑" w:cs="微软雅黑"/>
                <w:color w:val="000000"/>
                <w:sz w:val="20"/>
                <w:szCs w:val="20"/>
              </w:rPr>
              <w:t>能满足用户需求的主要参数（带“★”号条款）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6" w:hRule="atLeast"/>
          <w:jc w:val="center"/>
        </w:trPr>
        <w:tc>
          <w:tcPr>
            <w:tcW w:w="791" w:type="dxa"/>
            <w:tcBorders>
              <w:top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w:t>
            </w:r>
          </w:p>
        </w:tc>
        <w:tc>
          <w:tcPr>
            <w:tcW w:w="9171" w:type="dxa"/>
            <w:noWrap w:val="0"/>
            <w:vAlign w:val="center"/>
          </w:tcPr>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有提供开标一览表及项目</w:t>
            </w:r>
            <w:r>
              <w:rPr>
                <w:rFonts w:hint="eastAsia" w:ascii="微软雅黑" w:hAnsi="微软雅黑" w:cs="微软雅黑"/>
                <w:sz w:val="20"/>
                <w:szCs w:val="20"/>
                <w:lang w:eastAsia="zh-CN"/>
              </w:rPr>
              <w:t>报价</w:t>
            </w:r>
            <w:r>
              <w:rPr>
                <w:rFonts w:hint="eastAsia" w:ascii="微软雅黑" w:hAnsi="微软雅黑" w:eastAsia="微软雅黑" w:cs="微软雅黑"/>
                <w:sz w:val="20"/>
                <w:szCs w:val="20"/>
              </w:rPr>
              <w:t>明细表的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未出现法律、法规、规章规定属于投标无效的其他情形</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top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7</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无招标文件中规定的被视为无效投标的其他条款的</w:t>
            </w:r>
          </w:p>
        </w:tc>
      </w:tr>
    </w:tbl>
    <w:p>
      <w:pPr>
        <w:pStyle w:val="16"/>
        <w:ind w:left="0" w:leftChars="0" w:firstLine="0" w:firstLineChars="0"/>
        <w:rPr>
          <w:rFonts w:hint="eastAsia"/>
          <w:b/>
          <w:sz w:val="28"/>
          <w:szCs w:val="28"/>
        </w:rPr>
      </w:pPr>
    </w:p>
    <w:p>
      <w:pPr>
        <w:jc w:val="center"/>
        <w:rPr>
          <w:rFonts w:hint="eastAsia"/>
          <w:b/>
          <w:sz w:val="28"/>
          <w:szCs w:val="28"/>
          <w:lang w:eastAsia="zh-CN"/>
        </w:rPr>
      </w:pPr>
      <w:r>
        <w:rPr>
          <w:rFonts w:hint="eastAsia"/>
          <w:b/>
          <w:sz w:val="28"/>
          <w:szCs w:val="28"/>
        </w:rPr>
        <w:t>商务、技术</w:t>
      </w:r>
      <w:r>
        <w:rPr>
          <w:rFonts w:hint="eastAsia"/>
          <w:b/>
          <w:sz w:val="28"/>
          <w:szCs w:val="28"/>
          <w:lang w:eastAsia="zh-CN"/>
        </w:rPr>
        <w:t>评分</w:t>
      </w:r>
    </w:p>
    <w:tbl>
      <w:tblPr>
        <w:tblStyle w:val="17"/>
        <w:tblW w:w="10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512"/>
        <w:gridCol w:w="8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blHeader/>
          <w:jc w:val="center"/>
        </w:trPr>
        <w:tc>
          <w:tcPr>
            <w:tcW w:w="722" w:type="dxa"/>
            <w:shd w:val="clear" w:color="auto" w:fill="auto"/>
            <w:vAlign w:val="center"/>
          </w:tcPr>
          <w:p>
            <w:pPr>
              <w:ind w:left="372" w:leftChars="-22" w:right="-108" w:hanging="420"/>
              <w:jc w:val="center"/>
              <w:rPr>
                <w:rFonts w:ascii="微软雅黑" w:hAnsi="微软雅黑" w:cs="微软雅黑"/>
                <w:b/>
                <w:bCs/>
                <w:sz w:val="21"/>
                <w:szCs w:val="21"/>
                <w:lang w:val="en-GB"/>
              </w:rPr>
            </w:pPr>
            <w:r>
              <w:rPr>
                <w:rFonts w:hint="eastAsia" w:ascii="微软雅黑" w:hAnsi="微软雅黑" w:cs="微软雅黑"/>
                <w:b/>
                <w:bCs/>
                <w:sz w:val="21"/>
                <w:szCs w:val="21"/>
                <w:lang w:val="en-GB"/>
              </w:rPr>
              <w:t>评审</w:t>
            </w:r>
          </w:p>
          <w:p>
            <w:pPr>
              <w:ind w:left="372" w:leftChars="-22" w:right="-108" w:hanging="420"/>
              <w:jc w:val="center"/>
              <w:rPr>
                <w:rFonts w:ascii="微软雅黑" w:hAnsi="微软雅黑" w:cs="微软雅黑"/>
                <w:b/>
                <w:bCs/>
                <w:sz w:val="21"/>
                <w:szCs w:val="21"/>
                <w:lang w:val="en-GB"/>
              </w:rPr>
            </w:pPr>
            <w:r>
              <w:rPr>
                <w:rFonts w:hint="eastAsia" w:ascii="微软雅黑" w:hAnsi="微软雅黑" w:cs="微软雅黑"/>
                <w:b/>
                <w:bCs/>
                <w:sz w:val="21"/>
                <w:szCs w:val="21"/>
                <w:lang w:val="en-GB"/>
              </w:rPr>
              <w:t>内容</w:t>
            </w:r>
          </w:p>
        </w:tc>
        <w:tc>
          <w:tcPr>
            <w:tcW w:w="10012" w:type="dxa"/>
            <w:gridSpan w:val="2"/>
            <w:shd w:val="clear" w:color="auto" w:fill="auto"/>
            <w:vAlign w:val="center"/>
          </w:tcPr>
          <w:p>
            <w:pPr>
              <w:ind w:left="372" w:leftChars="-22" w:right="-108" w:hanging="420"/>
              <w:jc w:val="center"/>
              <w:rPr>
                <w:rFonts w:ascii="微软雅黑" w:hAnsi="微软雅黑" w:cs="微软雅黑"/>
                <w:b/>
                <w:bCs/>
                <w:sz w:val="21"/>
                <w:szCs w:val="21"/>
                <w:lang w:val="en-GB"/>
              </w:rPr>
            </w:pPr>
            <w:r>
              <w:rPr>
                <w:rFonts w:hint="eastAsia" w:ascii="微软雅黑" w:hAnsi="微软雅黑" w:cs="微软雅黑"/>
                <w:b/>
                <w:bCs/>
                <w:sz w:val="21"/>
                <w:szCs w:val="21"/>
                <w:lang w:val="en-GB"/>
              </w:rPr>
              <w:t>评审细则及分值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jc w:val="center"/>
        </w:trPr>
        <w:tc>
          <w:tcPr>
            <w:tcW w:w="722" w:type="dxa"/>
            <w:vMerge w:val="restart"/>
            <w:shd w:val="clear" w:color="auto" w:fill="auto"/>
            <w:vAlign w:val="center"/>
          </w:tcPr>
          <w:p>
            <w:pPr>
              <w:ind w:right="25"/>
              <w:jc w:val="center"/>
              <w:rPr>
                <w:rFonts w:ascii="微软雅黑" w:hAnsi="微软雅黑" w:cs="微软雅黑"/>
                <w:sz w:val="21"/>
                <w:szCs w:val="21"/>
              </w:rPr>
            </w:pPr>
            <w:r>
              <w:rPr>
                <w:rFonts w:hint="eastAsia" w:ascii="微软雅黑" w:hAnsi="微软雅黑" w:cs="微软雅黑"/>
                <w:sz w:val="21"/>
                <w:szCs w:val="21"/>
              </w:rPr>
              <w:t>商务</w:t>
            </w:r>
          </w:p>
          <w:p>
            <w:pPr>
              <w:ind w:right="25"/>
              <w:jc w:val="center"/>
              <w:rPr>
                <w:rFonts w:ascii="微软雅黑" w:hAnsi="微软雅黑" w:cs="微软雅黑"/>
                <w:sz w:val="21"/>
                <w:szCs w:val="21"/>
              </w:rPr>
            </w:pPr>
            <w:r>
              <w:rPr>
                <w:rFonts w:hint="eastAsia" w:ascii="微软雅黑" w:hAnsi="微软雅黑" w:cs="微软雅黑"/>
                <w:sz w:val="21"/>
                <w:szCs w:val="21"/>
              </w:rPr>
              <w:t>评分</w:t>
            </w:r>
          </w:p>
          <w:p>
            <w:pPr>
              <w:tabs>
                <w:tab w:val="left" w:pos="972"/>
              </w:tabs>
              <w:jc w:val="center"/>
              <w:rPr>
                <w:rFonts w:ascii="微软雅黑" w:hAnsi="微软雅黑" w:cs="微软雅黑"/>
                <w:sz w:val="21"/>
                <w:szCs w:val="21"/>
              </w:rPr>
            </w:pPr>
            <w:r>
              <w:rPr>
                <w:rFonts w:hint="eastAsia" w:ascii="微软雅黑" w:hAnsi="微软雅黑" w:cs="微软雅黑"/>
                <w:sz w:val="21"/>
                <w:szCs w:val="21"/>
              </w:rPr>
              <w:t>(20分)</w:t>
            </w:r>
          </w:p>
        </w:tc>
        <w:tc>
          <w:tcPr>
            <w:tcW w:w="1512" w:type="dxa"/>
            <w:shd w:val="clear" w:color="auto" w:fill="auto"/>
            <w:vAlign w:val="center"/>
          </w:tcPr>
          <w:p>
            <w:pPr>
              <w:jc w:val="center"/>
              <w:rPr>
                <w:rFonts w:ascii="微软雅黑" w:hAnsi="微软雅黑" w:cs="微软雅黑"/>
                <w:sz w:val="21"/>
                <w:szCs w:val="21"/>
              </w:rPr>
            </w:pPr>
          </w:p>
          <w:p>
            <w:pPr>
              <w:jc w:val="center"/>
              <w:rPr>
                <w:rFonts w:ascii="微软雅黑" w:hAnsi="微软雅黑" w:cs="微软雅黑"/>
                <w:sz w:val="21"/>
                <w:szCs w:val="21"/>
              </w:rPr>
            </w:pPr>
            <w:r>
              <w:rPr>
                <w:rFonts w:hint="eastAsia" w:ascii="微软雅黑" w:hAnsi="微软雅黑" w:cs="微软雅黑"/>
                <w:sz w:val="21"/>
                <w:szCs w:val="21"/>
              </w:rPr>
              <w:t>管理体系</w:t>
            </w:r>
          </w:p>
          <w:p>
            <w:pPr>
              <w:jc w:val="center"/>
              <w:rPr>
                <w:rFonts w:ascii="微软雅黑" w:hAnsi="微软雅黑" w:cs="微软雅黑"/>
                <w:sz w:val="21"/>
                <w:szCs w:val="21"/>
              </w:rPr>
            </w:pPr>
            <w:r>
              <w:rPr>
                <w:rFonts w:hint="eastAsia" w:ascii="微软雅黑" w:hAnsi="微软雅黑" w:cs="微软雅黑"/>
                <w:sz w:val="21"/>
                <w:szCs w:val="21"/>
              </w:rPr>
              <w:t>（2分）</w:t>
            </w:r>
          </w:p>
        </w:tc>
        <w:tc>
          <w:tcPr>
            <w:tcW w:w="8500" w:type="dxa"/>
            <w:shd w:val="clear" w:color="auto" w:fill="auto"/>
            <w:vAlign w:val="center"/>
          </w:tcPr>
          <w:p>
            <w:pPr>
              <w:adjustRightInd/>
              <w:spacing w:after="0"/>
              <w:rPr>
                <w:rFonts w:ascii="微软雅黑" w:hAnsi="微软雅黑" w:cs="微软雅黑"/>
                <w:kern w:val="2"/>
                <w:sz w:val="21"/>
                <w:szCs w:val="21"/>
              </w:rPr>
            </w:pPr>
          </w:p>
          <w:p>
            <w:pPr>
              <w:adjustRightInd/>
              <w:spacing w:after="0"/>
              <w:rPr>
                <w:rFonts w:ascii="微软雅黑" w:hAnsi="微软雅黑" w:cs="微软雅黑"/>
                <w:kern w:val="2"/>
                <w:sz w:val="21"/>
                <w:szCs w:val="21"/>
              </w:rPr>
            </w:pPr>
            <w:r>
              <w:rPr>
                <w:rFonts w:hint="eastAsia" w:ascii="微软雅黑" w:hAnsi="微软雅黑" w:cs="微软雅黑"/>
                <w:kern w:val="2"/>
                <w:sz w:val="21"/>
                <w:szCs w:val="21"/>
              </w:rPr>
              <w:t>投标人同时具有质量管理体系、职业健康安全管理认证体系及环境管理认证体系认证,完全满足得2分，不满足不得分。</w:t>
            </w:r>
          </w:p>
          <w:p>
            <w:pPr>
              <w:adjustRightInd/>
              <w:spacing w:after="0"/>
              <w:rPr>
                <w:rFonts w:ascii="微软雅黑" w:hAnsi="微软雅黑" w:cs="微软雅黑"/>
                <w:kern w:val="2"/>
                <w:sz w:val="21"/>
                <w:szCs w:val="21"/>
              </w:rPr>
            </w:pPr>
            <w:r>
              <w:rPr>
                <w:rFonts w:hint="eastAsia" w:ascii="微软雅黑" w:hAnsi="微软雅黑" w:cs="微软雅黑"/>
                <w:kern w:val="2"/>
                <w:sz w:val="21"/>
                <w:szCs w:val="21"/>
              </w:rPr>
              <w:t>（须提供相关证书的复印件，并加盖投标人的公章。）</w:t>
            </w:r>
          </w:p>
          <w:p>
            <w:pPr>
              <w:adjustRightInd/>
              <w:spacing w:after="0"/>
              <w:rPr>
                <w:rFonts w:ascii="微软雅黑" w:hAnsi="微软雅黑" w:cs="微软雅黑"/>
                <w:kern w:val="2"/>
                <w:sz w:val="21"/>
                <w:szCs w:val="21"/>
              </w:rPr>
            </w:pPr>
            <w:r>
              <w:rPr>
                <w:rFonts w:hint="eastAsia" w:ascii="微软雅黑" w:hAnsi="微软雅黑" w:cs="微软雅黑"/>
                <w:kern w:val="2"/>
                <w:sz w:val="21"/>
                <w:szCs w:val="21"/>
              </w:rPr>
              <w:t>注：</w:t>
            </w:r>
            <w:r>
              <w:rPr>
                <w:rFonts w:hint="eastAsia" w:ascii="微软雅黑" w:hAnsi="微软雅黑" w:cs="微软雅黑"/>
                <w:sz w:val="21"/>
                <w:szCs w:val="21"/>
              </w:rPr>
              <w:t>提供认证证书复印件并加盖投标人公章。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2"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制造资质</w:t>
            </w:r>
          </w:p>
          <w:p>
            <w:pPr>
              <w:jc w:val="center"/>
              <w:rPr>
                <w:rFonts w:ascii="微软雅黑" w:hAnsi="微软雅黑" w:cs="微软雅黑"/>
                <w:sz w:val="21"/>
                <w:szCs w:val="21"/>
              </w:rPr>
            </w:pPr>
            <w:r>
              <w:rPr>
                <w:rFonts w:hint="eastAsia" w:ascii="微软雅黑" w:hAnsi="微软雅黑" w:cs="微软雅黑"/>
                <w:sz w:val="21"/>
                <w:szCs w:val="21"/>
              </w:rPr>
              <w:t>（2分）</w:t>
            </w:r>
          </w:p>
        </w:tc>
        <w:tc>
          <w:tcPr>
            <w:tcW w:w="8500" w:type="dxa"/>
            <w:shd w:val="clear" w:color="auto" w:fill="auto"/>
            <w:vAlign w:val="center"/>
          </w:tcPr>
          <w:p>
            <w:pPr>
              <w:ind w:left="55" w:hanging="54" w:hangingChars="26"/>
              <w:jc w:val="both"/>
              <w:rPr>
                <w:rFonts w:ascii="微软雅黑" w:hAnsi="微软雅黑" w:cs="微软雅黑"/>
                <w:spacing w:val="-10"/>
                <w:sz w:val="21"/>
                <w:szCs w:val="21"/>
              </w:rPr>
            </w:pPr>
            <w:r>
              <w:rPr>
                <w:rFonts w:hint="eastAsia" w:ascii="微软雅黑" w:hAnsi="微软雅黑" w:cs="微软雅黑"/>
                <w:kern w:val="2"/>
                <w:sz w:val="21"/>
                <w:szCs w:val="21"/>
              </w:rPr>
              <w:t>(1)</w:t>
            </w:r>
            <w:r>
              <w:rPr>
                <w:rFonts w:hint="eastAsia" w:ascii="微软雅黑" w:hAnsi="微软雅黑" w:cs="微软雅黑"/>
                <w:spacing w:val="-10"/>
                <w:sz w:val="21"/>
                <w:szCs w:val="21"/>
              </w:rPr>
              <w:t>投标人具有有效的含蝶阀(口径含有3000 mm以上)、闸阀(口径含有400mm以上)的《中华人民共和国特种设备生产许可证》资质的得2分；</w:t>
            </w:r>
          </w:p>
          <w:p>
            <w:pPr>
              <w:ind w:left="55" w:hanging="54" w:hangingChars="26"/>
              <w:jc w:val="both"/>
              <w:rPr>
                <w:rFonts w:ascii="微软雅黑" w:hAnsi="微软雅黑" w:cs="微软雅黑"/>
                <w:spacing w:val="-10"/>
                <w:sz w:val="21"/>
                <w:szCs w:val="21"/>
              </w:rPr>
            </w:pPr>
            <w:r>
              <w:rPr>
                <w:rFonts w:hint="eastAsia" w:ascii="微软雅黑" w:hAnsi="微软雅黑" w:cs="微软雅黑"/>
                <w:kern w:val="2"/>
                <w:sz w:val="21"/>
                <w:szCs w:val="21"/>
              </w:rPr>
              <w:t>(2)</w:t>
            </w:r>
            <w:r>
              <w:rPr>
                <w:rFonts w:hint="eastAsia" w:ascii="微软雅黑" w:hAnsi="微软雅黑" w:cs="微软雅黑"/>
                <w:spacing w:val="-10"/>
                <w:sz w:val="21"/>
                <w:szCs w:val="21"/>
              </w:rPr>
              <w:t>投标人具有有效的含蝶阀(口径含有2800 mm以上)、闸阀(口径含有300mm以上)的《中华人民共和国特种设备生产许可证》资质的得1分；</w:t>
            </w:r>
          </w:p>
          <w:p>
            <w:pPr>
              <w:jc w:val="both"/>
              <w:rPr>
                <w:rFonts w:ascii="微软雅黑" w:hAnsi="微软雅黑" w:cs="微软雅黑"/>
                <w:sz w:val="21"/>
                <w:szCs w:val="21"/>
              </w:rPr>
            </w:pPr>
            <w:r>
              <w:rPr>
                <w:rFonts w:hint="eastAsia" w:ascii="微软雅黑" w:hAnsi="微软雅黑" w:cs="微软雅黑"/>
                <w:sz w:val="21"/>
                <w:szCs w:val="21"/>
              </w:rPr>
              <w:t xml:space="preserve">    注：</w:t>
            </w:r>
            <w:r>
              <w:rPr>
                <w:rFonts w:hint="eastAsia" w:ascii="微软雅黑" w:hAnsi="微软雅黑" w:cs="微软雅黑"/>
                <w:spacing w:val="-10"/>
                <w:sz w:val="21"/>
                <w:szCs w:val="21"/>
              </w:rPr>
              <w:t>以上许可证须有标明生产口径，如无标明生产口径，须提供2017年至今有由国家泵阀产品质量监督检验中心颁发CMA产品中的蝶阀、闸阀及止回阀检验报告，检验报告须清楚注明检验报告编号及标明制造最大口径的相对应阀门种类口径及公称压力≥1.0Mpa。制造许可证中不标明生产口径、压力或未能提供相关检测报告达不到相关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项目业绩</w:t>
            </w:r>
          </w:p>
          <w:p>
            <w:pPr>
              <w:jc w:val="center"/>
              <w:rPr>
                <w:rFonts w:ascii="微软雅黑" w:hAnsi="微软雅黑" w:cs="微软雅黑"/>
                <w:sz w:val="21"/>
                <w:szCs w:val="21"/>
              </w:rPr>
            </w:pPr>
            <w:r>
              <w:rPr>
                <w:rFonts w:hint="eastAsia" w:ascii="微软雅黑" w:hAnsi="微软雅黑" w:cs="微软雅黑"/>
                <w:sz w:val="21"/>
                <w:szCs w:val="21"/>
              </w:rPr>
              <w:t>（16分）</w:t>
            </w:r>
          </w:p>
        </w:tc>
        <w:tc>
          <w:tcPr>
            <w:tcW w:w="8500" w:type="dxa"/>
            <w:shd w:val="clear" w:color="auto" w:fill="auto"/>
            <w:vAlign w:val="center"/>
          </w:tcPr>
          <w:p>
            <w:pPr>
              <w:rPr>
                <w:rFonts w:ascii="微软雅黑" w:hAnsi="微软雅黑" w:cs="微软雅黑"/>
                <w:spacing w:val="-10"/>
                <w:sz w:val="21"/>
                <w:szCs w:val="21"/>
                <w:highlight w:val="none"/>
              </w:rPr>
            </w:pPr>
            <w:r>
              <w:rPr>
                <w:rFonts w:hint="eastAsia" w:ascii="微软雅黑" w:hAnsi="微软雅黑" w:cs="微软雅黑"/>
                <w:kern w:val="2"/>
                <w:sz w:val="21"/>
                <w:szCs w:val="21"/>
                <w:highlight w:val="none"/>
              </w:rPr>
              <w:t>(1)</w:t>
            </w:r>
            <w:r>
              <w:rPr>
                <w:rFonts w:hint="eastAsia" w:ascii="微软雅黑" w:hAnsi="微软雅黑" w:cs="微软雅黑"/>
                <w:spacing w:val="-10"/>
                <w:sz w:val="21"/>
                <w:szCs w:val="21"/>
                <w:highlight w:val="none"/>
              </w:rPr>
              <w:t>提供近5年（自2017年1月1日至今）与国内供水行业（含引水、水厂建设、水处理、管网、泵站工程）项目内完成的供货业绩须含有蝶阀口径≥ 2</w:t>
            </w:r>
            <w:r>
              <w:rPr>
                <w:rFonts w:hint="eastAsia" w:ascii="微软雅黑" w:hAnsi="微软雅黑" w:cs="微软雅黑"/>
                <w:spacing w:val="-10"/>
                <w:sz w:val="21"/>
                <w:szCs w:val="21"/>
                <w:highlight w:val="none"/>
                <w:lang w:val="en-US" w:eastAsia="zh-CN"/>
              </w:rPr>
              <w:t>0</w:t>
            </w:r>
            <w:r>
              <w:rPr>
                <w:rFonts w:hint="eastAsia" w:ascii="微软雅黑" w:hAnsi="微软雅黑" w:cs="微软雅黑"/>
                <w:spacing w:val="-10"/>
                <w:sz w:val="21"/>
                <w:szCs w:val="21"/>
                <w:highlight w:val="none"/>
              </w:rPr>
              <w:t xml:space="preserve">00mm，公称压力≥1.0Mpa的供货业绩且单份合同金额在人民币 </w:t>
            </w:r>
            <w:r>
              <w:rPr>
                <w:rFonts w:hint="eastAsia" w:ascii="微软雅黑" w:hAnsi="微软雅黑" w:cs="微软雅黑"/>
                <w:spacing w:val="-10"/>
                <w:sz w:val="21"/>
                <w:szCs w:val="21"/>
                <w:highlight w:val="none"/>
                <w:lang w:val="en-US" w:eastAsia="zh-CN"/>
              </w:rPr>
              <w:t>5</w:t>
            </w:r>
            <w:r>
              <w:rPr>
                <w:rFonts w:hint="eastAsia" w:ascii="微软雅黑" w:hAnsi="微软雅黑" w:cs="微软雅黑"/>
                <w:spacing w:val="-10"/>
                <w:sz w:val="21"/>
                <w:szCs w:val="21"/>
                <w:highlight w:val="none"/>
              </w:rPr>
              <w:t>00万元（含）以上，每提供一份得1分，最高得12 分。</w:t>
            </w:r>
          </w:p>
          <w:p>
            <w:pPr>
              <w:rPr>
                <w:rFonts w:ascii="微软雅黑" w:hAnsi="微软雅黑" w:cs="微软雅黑"/>
                <w:spacing w:val="-10"/>
                <w:sz w:val="21"/>
                <w:szCs w:val="21"/>
                <w:highlight w:val="none"/>
              </w:rPr>
            </w:pPr>
            <w:r>
              <w:rPr>
                <w:rFonts w:hint="eastAsia" w:ascii="微软雅黑" w:hAnsi="微软雅黑" w:cs="微软雅黑"/>
                <w:kern w:val="2"/>
                <w:sz w:val="21"/>
                <w:szCs w:val="21"/>
                <w:highlight w:val="none"/>
              </w:rPr>
              <w:t>(2)</w:t>
            </w:r>
            <w:r>
              <w:rPr>
                <w:rFonts w:hint="eastAsia" w:ascii="微软雅黑" w:hAnsi="微软雅黑" w:cs="微软雅黑"/>
                <w:spacing w:val="-10"/>
                <w:sz w:val="21"/>
                <w:szCs w:val="21"/>
                <w:highlight w:val="none"/>
              </w:rPr>
              <w:t>提供近5年（自2017年1月1日至今）与国内供水行业（含引水、水厂建设、水处理、泵站工程）项目内完成的供货业绩须含有闸阀口径≥400mm，公称压力≥1.0Mpa的供货业绩且单份合同金额在人民币</w:t>
            </w:r>
            <w:r>
              <w:rPr>
                <w:rFonts w:hint="eastAsia" w:ascii="微软雅黑" w:hAnsi="微软雅黑" w:cs="微软雅黑"/>
                <w:spacing w:val="-10"/>
                <w:sz w:val="21"/>
                <w:szCs w:val="21"/>
                <w:highlight w:val="none"/>
                <w:lang w:val="en-US" w:eastAsia="zh-CN"/>
              </w:rPr>
              <w:t>3</w:t>
            </w:r>
            <w:r>
              <w:rPr>
                <w:rFonts w:hint="eastAsia" w:ascii="微软雅黑" w:hAnsi="微软雅黑" w:cs="微软雅黑"/>
                <w:spacing w:val="-10"/>
                <w:sz w:val="21"/>
                <w:szCs w:val="21"/>
                <w:highlight w:val="none"/>
              </w:rPr>
              <w:t>00万元（含）以上，每提供一份得1分，最高得 4分。</w:t>
            </w:r>
          </w:p>
          <w:p>
            <w:pPr>
              <w:ind w:firstLine="420" w:firstLineChars="200"/>
              <w:rPr>
                <w:rFonts w:ascii="微软雅黑" w:hAnsi="微软雅黑" w:cs="微软雅黑"/>
                <w:sz w:val="21"/>
                <w:szCs w:val="21"/>
                <w:shd w:val="clear" w:color="auto" w:fill="FFFF00"/>
              </w:rPr>
            </w:pPr>
            <w:r>
              <w:rPr>
                <w:rFonts w:hint="eastAsia" w:ascii="微软雅黑" w:hAnsi="微软雅黑" w:cs="微软雅黑"/>
                <w:sz w:val="21"/>
                <w:szCs w:val="21"/>
                <w:highlight w:val="none"/>
              </w:rPr>
              <w:t>注：</w:t>
            </w:r>
            <w:r>
              <w:rPr>
                <w:rFonts w:hint="eastAsia" w:ascii="微软雅黑" w:hAnsi="微软雅黑" w:cs="微软雅黑"/>
                <w:color w:val="FF0000"/>
                <w:spacing w:val="-10"/>
                <w:sz w:val="21"/>
                <w:szCs w:val="21"/>
                <w:highlight w:val="none"/>
              </w:rPr>
              <w:t>提供合同及要求相对应口径阀门的发票复印件</w:t>
            </w:r>
            <w:r>
              <w:rPr>
                <w:rFonts w:hint="eastAsia" w:ascii="微软雅黑" w:hAnsi="微软雅黑" w:cs="微软雅黑"/>
                <w:spacing w:val="-10"/>
                <w:sz w:val="21"/>
                <w:szCs w:val="21"/>
                <w:highlight w:val="none"/>
              </w:rPr>
              <w:t>，并加盖投标人公章，文件提交不全，视为无效业绩，原件备查。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2" w:type="dxa"/>
            <w:vMerge w:val="restart"/>
            <w:shd w:val="clear" w:color="auto" w:fill="auto"/>
            <w:vAlign w:val="center"/>
          </w:tcPr>
          <w:p>
            <w:pPr>
              <w:tabs>
                <w:tab w:val="left" w:pos="972"/>
              </w:tabs>
              <w:jc w:val="center"/>
              <w:rPr>
                <w:rFonts w:ascii="微软雅黑" w:hAnsi="微软雅黑" w:cs="微软雅黑"/>
                <w:sz w:val="21"/>
                <w:szCs w:val="21"/>
              </w:rPr>
            </w:pPr>
            <w:r>
              <w:rPr>
                <w:rFonts w:hint="eastAsia" w:ascii="微软雅黑" w:hAnsi="微软雅黑" w:cs="微软雅黑"/>
                <w:sz w:val="21"/>
                <w:szCs w:val="21"/>
              </w:rPr>
              <w:t>技术</w:t>
            </w:r>
          </w:p>
          <w:p>
            <w:pPr>
              <w:tabs>
                <w:tab w:val="left" w:pos="972"/>
              </w:tabs>
              <w:jc w:val="center"/>
              <w:rPr>
                <w:rFonts w:ascii="微软雅黑" w:hAnsi="微软雅黑" w:cs="微软雅黑"/>
                <w:sz w:val="21"/>
                <w:szCs w:val="21"/>
              </w:rPr>
            </w:pPr>
            <w:r>
              <w:rPr>
                <w:rFonts w:hint="eastAsia" w:ascii="微软雅黑" w:hAnsi="微软雅黑" w:cs="微软雅黑"/>
                <w:sz w:val="21"/>
                <w:szCs w:val="21"/>
              </w:rPr>
              <w:t>评分</w:t>
            </w:r>
          </w:p>
          <w:p>
            <w:pPr>
              <w:tabs>
                <w:tab w:val="left" w:pos="972"/>
              </w:tabs>
              <w:jc w:val="center"/>
              <w:rPr>
                <w:rFonts w:ascii="微软雅黑" w:hAnsi="微软雅黑" w:cs="微软雅黑"/>
                <w:sz w:val="21"/>
                <w:szCs w:val="21"/>
              </w:rPr>
            </w:pPr>
            <w:r>
              <w:rPr>
                <w:rFonts w:hint="eastAsia" w:ascii="微软雅黑" w:hAnsi="微软雅黑" w:cs="微软雅黑"/>
                <w:sz w:val="21"/>
                <w:szCs w:val="21"/>
              </w:rPr>
              <w:t>(30分)</w:t>
            </w: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售后服务方案（</w:t>
            </w:r>
            <w:r>
              <w:rPr>
                <w:rFonts w:hint="eastAsia" w:ascii="微软雅黑" w:hAnsi="微软雅黑" w:cs="微软雅黑"/>
                <w:sz w:val="21"/>
                <w:szCs w:val="21"/>
                <w:lang w:val="en-US" w:eastAsia="zh-CN"/>
              </w:rPr>
              <w:t>10</w:t>
            </w:r>
            <w:r>
              <w:rPr>
                <w:rFonts w:hint="eastAsia" w:ascii="微软雅黑" w:hAnsi="微软雅黑" w:cs="微软雅黑"/>
                <w:sz w:val="21"/>
                <w:szCs w:val="21"/>
              </w:rPr>
              <w:t>分）</w:t>
            </w:r>
          </w:p>
        </w:tc>
        <w:tc>
          <w:tcPr>
            <w:tcW w:w="8500" w:type="dxa"/>
            <w:shd w:val="clear" w:color="auto" w:fill="auto"/>
            <w:vAlign w:val="center"/>
          </w:tcPr>
          <w:p>
            <w:pPr>
              <w:pStyle w:val="22"/>
              <w:numPr>
                <w:ilvl w:val="255"/>
                <w:numId w:val="0"/>
              </w:numPr>
              <w:snapToGrid w:val="0"/>
              <w:rPr>
                <w:rFonts w:ascii="微软雅黑" w:hAnsi="微软雅黑" w:eastAsia="微软雅黑" w:cs="微软雅黑"/>
                <w:sz w:val="21"/>
                <w:szCs w:val="21"/>
                <w:lang w:eastAsia="zh-CN"/>
              </w:rPr>
            </w:pPr>
            <w:r>
              <w:rPr>
                <w:rFonts w:hint="eastAsia" w:ascii="微软雅黑" w:hAnsi="微软雅黑" w:eastAsia="微软雅黑" w:cs="微软雅黑"/>
                <w:kern w:val="2"/>
                <w:sz w:val="21"/>
                <w:szCs w:val="21"/>
                <w:lang w:eastAsia="zh-CN"/>
              </w:rPr>
              <w:t>(1)</w:t>
            </w:r>
            <w:r>
              <w:rPr>
                <w:rFonts w:hint="eastAsia" w:ascii="微软雅黑" w:hAnsi="微软雅黑" w:eastAsia="微软雅黑" w:cs="微软雅黑"/>
                <w:sz w:val="21"/>
                <w:szCs w:val="21"/>
                <w:lang w:eastAsia="zh-CN"/>
              </w:rPr>
              <w:t>按服务措施、服务承诺（处理问题响应时间、零部件提供时间等）、违约承诺、设备巡检与人员培训等方面对投标人提供的售后服务方案进行综合对比：</w:t>
            </w:r>
          </w:p>
          <w:p>
            <w:pPr>
              <w:pStyle w:val="22"/>
              <w:numPr>
                <w:ilvl w:val="0"/>
                <w:numId w:val="9"/>
              </w:numPr>
              <w:snapToGrid w:val="0"/>
              <w:ind w:left="840" w:firstLineChars="0"/>
              <w:rPr>
                <w:rFonts w:ascii="微软雅黑" w:hAnsi="微软雅黑" w:eastAsia="微软雅黑" w:cs="微软雅黑"/>
                <w:sz w:val="21"/>
                <w:szCs w:val="21"/>
              </w:rPr>
            </w:pPr>
            <w:r>
              <w:rPr>
                <w:rFonts w:hint="eastAsia" w:ascii="微软雅黑" w:hAnsi="微软雅黑" w:eastAsia="微软雅黑" w:cs="微软雅黑"/>
                <w:sz w:val="21"/>
                <w:szCs w:val="21"/>
              </w:rPr>
              <w:t>方案对比最优得</w:t>
            </w: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lang w:eastAsia="zh-CN"/>
              </w:rPr>
              <w:t xml:space="preserve"> </w:t>
            </w:r>
            <w:r>
              <w:rPr>
                <w:rFonts w:hint="eastAsia" w:ascii="微软雅黑" w:hAnsi="微软雅黑" w:eastAsia="微软雅黑" w:cs="微软雅黑"/>
                <w:sz w:val="21"/>
                <w:szCs w:val="21"/>
              </w:rPr>
              <w:t>分；</w:t>
            </w:r>
          </w:p>
          <w:p>
            <w:pPr>
              <w:pStyle w:val="22"/>
              <w:numPr>
                <w:ilvl w:val="0"/>
                <w:numId w:val="9"/>
              </w:numPr>
              <w:snapToGrid w:val="0"/>
              <w:ind w:left="840" w:firstLineChars="0"/>
              <w:rPr>
                <w:rFonts w:ascii="微软雅黑" w:hAnsi="微软雅黑" w:eastAsia="微软雅黑" w:cs="微软雅黑"/>
                <w:sz w:val="21"/>
                <w:szCs w:val="21"/>
              </w:rPr>
            </w:pPr>
            <w:r>
              <w:rPr>
                <w:rFonts w:hint="eastAsia" w:ascii="微软雅黑" w:hAnsi="微软雅黑" w:eastAsia="微软雅黑" w:cs="微软雅黑"/>
                <w:sz w:val="21"/>
                <w:szCs w:val="21"/>
              </w:rPr>
              <w:t>方案对比良好得</w:t>
            </w:r>
            <w:r>
              <w:rPr>
                <w:rFonts w:hint="eastAsia" w:ascii="微软雅黑" w:hAnsi="微软雅黑" w:eastAsia="微软雅黑" w:cs="微软雅黑"/>
                <w:sz w:val="21"/>
                <w:szCs w:val="21"/>
                <w:lang w:val="en-US" w:eastAsia="zh-CN"/>
              </w:rPr>
              <w:t>4</w:t>
            </w:r>
            <w:r>
              <w:rPr>
                <w:rFonts w:hint="eastAsia" w:ascii="微软雅黑" w:hAnsi="微软雅黑" w:eastAsia="微软雅黑" w:cs="微软雅黑"/>
                <w:sz w:val="21"/>
                <w:szCs w:val="21"/>
                <w:lang w:eastAsia="zh-CN"/>
              </w:rPr>
              <w:t xml:space="preserve"> </w:t>
            </w:r>
            <w:r>
              <w:rPr>
                <w:rFonts w:hint="eastAsia" w:ascii="微软雅黑" w:hAnsi="微软雅黑" w:eastAsia="微软雅黑" w:cs="微软雅黑"/>
                <w:sz w:val="21"/>
                <w:szCs w:val="21"/>
              </w:rPr>
              <w:t>分；</w:t>
            </w:r>
          </w:p>
          <w:p>
            <w:pPr>
              <w:pStyle w:val="22"/>
              <w:numPr>
                <w:ilvl w:val="0"/>
                <w:numId w:val="9"/>
              </w:numPr>
              <w:snapToGrid w:val="0"/>
              <w:ind w:left="840" w:firstLineChars="0"/>
              <w:rPr>
                <w:rFonts w:ascii="微软雅黑" w:hAnsi="微软雅黑" w:eastAsia="微软雅黑" w:cs="微软雅黑"/>
                <w:sz w:val="21"/>
                <w:szCs w:val="21"/>
              </w:rPr>
            </w:pPr>
            <w:r>
              <w:rPr>
                <w:rFonts w:hint="eastAsia" w:ascii="微软雅黑" w:hAnsi="微软雅黑" w:eastAsia="微软雅黑" w:cs="微软雅黑"/>
                <w:sz w:val="21"/>
                <w:szCs w:val="21"/>
              </w:rPr>
              <w:t>方案对比一般得</w:t>
            </w:r>
            <w:r>
              <w:rPr>
                <w:rFonts w:hint="eastAsia" w:ascii="微软雅黑" w:hAnsi="微软雅黑" w:eastAsia="微软雅黑" w:cs="微软雅黑"/>
                <w:sz w:val="21"/>
                <w:szCs w:val="21"/>
                <w:lang w:eastAsia="zh-CN"/>
              </w:rPr>
              <w:t xml:space="preserve">1 </w:t>
            </w:r>
            <w:r>
              <w:rPr>
                <w:rFonts w:hint="eastAsia" w:ascii="微软雅黑" w:hAnsi="微软雅黑" w:eastAsia="微软雅黑" w:cs="微软雅黑"/>
                <w:sz w:val="21"/>
                <w:szCs w:val="21"/>
              </w:rPr>
              <w:t>分。</w:t>
            </w:r>
          </w:p>
          <w:p>
            <w:pPr>
              <w:ind w:left="50" w:hanging="50" w:hangingChars="24"/>
              <w:rPr>
                <w:rFonts w:ascii="微软雅黑" w:hAnsi="微软雅黑" w:cs="微软雅黑"/>
                <w:sz w:val="21"/>
                <w:szCs w:val="21"/>
              </w:rPr>
            </w:pPr>
            <w:r>
              <w:rPr>
                <w:rFonts w:hint="eastAsia" w:ascii="微软雅黑" w:hAnsi="微软雅黑" w:cs="微软雅黑"/>
                <w:kern w:val="2"/>
                <w:sz w:val="21"/>
                <w:szCs w:val="21"/>
              </w:rPr>
              <w:t>(2)</w:t>
            </w:r>
            <w:r>
              <w:rPr>
                <w:rFonts w:hint="eastAsia" w:ascii="微软雅黑" w:hAnsi="微软雅黑" w:cs="微软雅黑"/>
                <w:sz w:val="21"/>
                <w:szCs w:val="21"/>
              </w:rPr>
              <w:t>投标人在</w:t>
            </w:r>
            <w:r>
              <w:rPr>
                <w:rFonts w:hint="eastAsia" w:ascii="微软雅黑" w:hAnsi="微软雅黑" w:cs="微软雅黑"/>
                <w:sz w:val="21"/>
                <w:szCs w:val="21"/>
                <w:u w:val="single"/>
              </w:rPr>
              <w:t>广东省内设</w:t>
            </w:r>
            <w:r>
              <w:rPr>
                <w:rFonts w:hint="eastAsia" w:ascii="微软雅黑" w:hAnsi="微软雅黑" w:cs="微软雅黑"/>
                <w:sz w:val="21"/>
                <w:szCs w:val="21"/>
              </w:rPr>
              <w:t>有固定办事机构及拥有储备仓库的得1分，其他或不能提供得0分(见注①)；</w:t>
            </w:r>
          </w:p>
          <w:p>
            <w:pPr>
              <w:ind w:left="50" w:hanging="50" w:hangingChars="24"/>
              <w:rPr>
                <w:rFonts w:ascii="微软雅黑" w:hAnsi="微软雅黑" w:cs="微软雅黑"/>
                <w:sz w:val="21"/>
                <w:szCs w:val="21"/>
              </w:rPr>
            </w:pPr>
            <w:r>
              <w:rPr>
                <w:rFonts w:hint="eastAsia" w:ascii="微软雅黑" w:hAnsi="微软雅黑" w:cs="微软雅黑"/>
                <w:kern w:val="2"/>
                <w:sz w:val="21"/>
                <w:szCs w:val="21"/>
              </w:rPr>
              <w:t>(3)</w:t>
            </w:r>
            <w:r>
              <w:rPr>
                <w:rFonts w:hint="eastAsia" w:ascii="微软雅黑" w:hAnsi="微软雅黑" w:cs="微软雅黑"/>
                <w:sz w:val="21"/>
                <w:szCs w:val="21"/>
              </w:rPr>
              <w:t>投标人在广东省办事机构的具有专业售后技术服务人员队伍情况的，得1分，其他或不能提供得0分（见注②）。</w:t>
            </w:r>
          </w:p>
          <w:p>
            <w:pPr>
              <w:ind w:left="20" w:leftChars="9" w:firstLine="348" w:firstLineChars="166"/>
              <w:rPr>
                <w:rFonts w:ascii="微软雅黑" w:hAnsi="微软雅黑" w:cs="微软雅黑"/>
                <w:sz w:val="21"/>
                <w:szCs w:val="21"/>
              </w:rPr>
            </w:pPr>
            <w:r>
              <w:rPr>
                <w:rFonts w:hint="eastAsia" w:ascii="微软雅黑" w:hAnsi="微软雅黑" w:cs="微软雅黑"/>
                <w:sz w:val="21"/>
                <w:szCs w:val="21"/>
              </w:rPr>
              <w:t>注①：同时提供办事机构及仓库的租赁证明、租赁发票或产权证明；</w:t>
            </w:r>
          </w:p>
          <w:p>
            <w:pPr>
              <w:ind w:left="20" w:leftChars="9" w:firstLine="348" w:firstLineChars="166"/>
              <w:rPr>
                <w:rFonts w:ascii="微软雅黑" w:hAnsi="微软雅黑" w:cs="微软雅黑"/>
                <w:sz w:val="21"/>
                <w:szCs w:val="21"/>
              </w:rPr>
            </w:pPr>
            <w:r>
              <w:rPr>
                <w:rFonts w:hint="eastAsia" w:ascii="微软雅黑" w:hAnsi="微软雅黑" w:cs="微软雅黑"/>
                <w:sz w:val="21"/>
                <w:szCs w:val="21"/>
              </w:rPr>
              <w:t>注②：技术服务人员证明：需加盖固定办事机构当地政府有关部门印章的打印日期在本项目报名截止日之前3个月以内的《投保单》或《社会保险参保人员证明》，或单位代缴个人所得税税单等。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4"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主要零部件原材料质量控制</w:t>
            </w:r>
          </w:p>
          <w:p>
            <w:pPr>
              <w:jc w:val="center"/>
              <w:rPr>
                <w:rFonts w:ascii="微软雅黑" w:hAnsi="微软雅黑" w:cs="微软雅黑"/>
                <w:sz w:val="21"/>
                <w:szCs w:val="21"/>
              </w:rPr>
            </w:pPr>
            <w:r>
              <w:rPr>
                <w:rFonts w:hint="eastAsia" w:ascii="微软雅黑" w:hAnsi="微软雅黑" w:cs="微软雅黑"/>
                <w:sz w:val="21"/>
                <w:szCs w:val="21"/>
              </w:rPr>
              <w:t>（</w:t>
            </w:r>
            <w:r>
              <w:rPr>
                <w:rFonts w:hint="eastAsia" w:ascii="微软雅黑" w:hAnsi="微软雅黑" w:cs="微软雅黑"/>
                <w:sz w:val="21"/>
                <w:szCs w:val="21"/>
                <w:lang w:val="en-US" w:eastAsia="zh-CN"/>
              </w:rPr>
              <w:t>2</w:t>
            </w:r>
            <w:r>
              <w:rPr>
                <w:rFonts w:hint="eastAsia" w:ascii="微软雅黑" w:hAnsi="微软雅黑" w:cs="微软雅黑"/>
                <w:sz w:val="21"/>
                <w:szCs w:val="21"/>
              </w:rPr>
              <w:t>分）</w:t>
            </w:r>
          </w:p>
        </w:tc>
        <w:tc>
          <w:tcPr>
            <w:tcW w:w="8500" w:type="dxa"/>
            <w:shd w:val="clear" w:color="auto" w:fill="auto"/>
            <w:vAlign w:val="center"/>
          </w:tcPr>
          <w:p>
            <w:pPr>
              <w:adjustRightInd/>
              <w:spacing w:after="0"/>
              <w:ind w:left="-59"/>
              <w:rPr>
                <w:rFonts w:ascii="微软雅黑" w:hAnsi="微软雅黑" w:cs="微软雅黑"/>
                <w:sz w:val="21"/>
                <w:szCs w:val="21"/>
              </w:rPr>
            </w:pPr>
            <w:r>
              <w:rPr>
                <w:rFonts w:hint="eastAsia" w:ascii="微软雅黑" w:hAnsi="微软雅黑" w:cs="微软雅黑"/>
                <w:kern w:val="2"/>
                <w:sz w:val="21"/>
                <w:szCs w:val="21"/>
              </w:rPr>
              <w:t>(1)</w:t>
            </w:r>
            <w:r>
              <w:rPr>
                <w:rFonts w:hint="eastAsia" w:ascii="微软雅黑" w:hAnsi="微软雅黑" w:cs="微软雅黑"/>
                <w:sz w:val="21"/>
                <w:szCs w:val="21"/>
              </w:rPr>
              <w:t>投标人产品的主要零部件材质必须符合采购文件《项目需求》的规定，同时提供投标人产品的主要零部件材质符合采购文件《项目需求》的规定的承诺书；</w:t>
            </w:r>
          </w:p>
          <w:p>
            <w:pPr>
              <w:adjustRightInd/>
              <w:spacing w:after="0"/>
              <w:ind w:left="-59"/>
              <w:rPr>
                <w:rFonts w:ascii="微软雅黑" w:hAnsi="微软雅黑" w:cs="微软雅黑"/>
                <w:sz w:val="21"/>
                <w:szCs w:val="21"/>
              </w:rPr>
            </w:pPr>
            <w:r>
              <w:rPr>
                <w:rFonts w:hint="eastAsia" w:ascii="微软雅黑" w:hAnsi="微软雅黑" w:cs="微软雅黑"/>
                <w:kern w:val="2"/>
                <w:sz w:val="21"/>
                <w:szCs w:val="21"/>
              </w:rPr>
              <w:t>(2)</w:t>
            </w:r>
            <w:r>
              <w:rPr>
                <w:rFonts w:hint="eastAsia" w:ascii="微软雅黑" w:hAnsi="微软雅黑" w:cs="微软雅黑"/>
                <w:sz w:val="21"/>
                <w:szCs w:val="21"/>
              </w:rPr>
              <w:t>投标人提供所投产品近5年（2017年</w:t>
            </w:r>
            <w:r>
              <w:rPr>
                <w:rFonts w:hint="eastAsia" w:ascii="微软雅黑" w:hAnsi="微软雅黑" w:cs="微软雅黑"/>
                <w:spacing w:val="-10"/>
                <w:sz w:val="21"/>
                <w:szCs w:val="21"/>
              </w:rPr>
              <w:t>1月1日</w:t>
            </w:r>
            <w:r>
              <w:rPr>
                <w:rFonts w:hint="eastAsia" w:ascii="微软雅黑" w:hAnsi="微软雅黑" w:cs="微软雅黑"/>
                <w:sz w:val="21"/>
                <w:szCs w:val="21"/>
              </w:rPr>
              <w:t>至今）有通过CMA资质认证的检验机构出具的所投产品主要零部件（主要零部件须包括但不限于：阀体、阀盖、阀瓣等）原材料质量符合采购文件《项目需求》规定的检验报告复印件作证明。</w:t>
            </w:r>
          </w:p>
          <w:p>
            <w:pPr>
              <w:ind w:left="-12" w:leftChars="-28" w:hanging="50" w:hangingChars="24"/>
              <w:rPr>
                <w:rFonts w:ascii="微软雅黑" w:hAnsi="微软雅黑" w:cs="微软雅黑"/>
                <w:sz w:val="21"/>
                <w:szCs w:val="21"/>
              </w:rPr>
            </w:pPr>
            <w:r>
              <w:rPr>
                <w:rFonts w:hint="eastAsia" w:ascii="微软雅黑" w:hAnsi="微软雅黑" w:cs="微软雅黑"/>
                <w:sz w:val="21"/>
                <w:szCs w:val="21"/>
              </w:rPr>
              <w:t>上述两项目同时满足得</w:t>
            </w:r>
            <w:r>
              <w:rPr>
                <w:rFonts w:hint="eastAsia" w:ascii="微软雅黑" w:hAnsi="微软雅黑" w:cs="微软雅黑"/>
                <w:sz w:val="21"/>
                <w:szCs w:val="21"/>
                <w:lang w:val="en-US" w:eastAsia="zh-CN"/>
              </w:rPr>
              <w:t>2</w:t>
            </w:r>
            <w:r>
              <w:rPr>
                <w:rFonts w:hint="eastAsia" w:ascii="微软雅黑" w:hAnsi="微软雅黑" w:cs="微软雅黑"/>
                <w:sz w:val="21"/>
                <w:szCs w:val="21"/>
              </w:rPr>
              <w:t>分，只满足其中一项得</w:t>
            </w:r>
            <w:r>
              <w:rPr>
                <w:rFonts w:hint="eastAsia" w:ascii="微软雅黑" w:hAnsi="微软雅黑" w:cs="微软雅黑"/>
                <w:sz w:val="21"/>
                <w:szCs w:val="21"/>
                <w:lang w:val="en-US" w:eastAsia="zh-CN"/>
              </w:rPr>
              <w:t>1</w:t>
            </w:r>
            <w:r>
              <w:rPr>
                <w:rFonts w:hint="eastAsia" w:ascii="微软雅黑" w:hAnsi="微软雅黑" w:cs="微软雅黑"/>
                <w:sz w:val="21"/>
                <w:szCs w:val="21"/>
              </w:rPr>
              <w:t>分，两项都不满足得0分。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密封性能的要求</w:t>
            </w:r>
          </w:p>
          <w:p>
            <w:pPr>
              <w:jc w:val="center"/>
              <w:rPr>
                <w:rFonts w:ascii="微软雅黑" w:hAnsi="微软雅黑" w:cs="微软雅黑"/>
                <w:sz w:val="21"/>
                <w:szCs w:val="21"/>
              </w:rPr>
            </w:pPr>
            <w:r>
              <w:rPr>
                <w:rFonts w:hint="eastAsia" w:ascii="微软雅黑" w:hAnsi="微软雅黑" w:cs="微软雅黑"/>
                <w:sz w:val="21"/>
                <w:szCs w:val="21"/>
              </w:rPr>
              <w:t>（4分）</w:t>
            </w:r>
          </w:p>
        </w:tc>
        <w:tc>
          <w:tcPr>
            <w:tcW w:w="8500" w:type="dxa"/>
            <w:shd w:val="clear" w:color="auto" w:fill="auto"/>
            <w:vAlign w:val="center"/>
          </w:tcPr>
          <w:p>
            <w:pPr>
              <w:adjustRightInd/>
              <w:spacing w:after="0"/>
              <w:rPr>
                <w:rFonts w:ascii="微软雅黑" w:hAnsi="微软雅黑" w:cs="微软雅黑"/>
                <w:sz w:val="21"/>
                <w:szCs w:val="21"/>
              </w:rPr>
            </w:pPr>
            <w:r>
              <w:rPr>
                <w:rFonts w:hint="eastAsia" w:ascii="微软雅黑" w:hAnsi="微软雅黑" w:cs="微软雅黑"/>
                <w:sz w:val="21"/>
                <w:szCs w:val="21"/>
              </w:rPr>
              <w:t>（1）投标人产品的密封性能必须符合采购文件《项目需求》的规定，同时提供投标人产品的密封性能符合采购文件《项目需求》的规定的承诺书；</w:t>
            </w:r>
          </w:p>
          <w:p>
            <w:pPr>
              <w:adjustRightInd/>
              <w:spacing w:after="0"/>
              <w:rPr>
                <w:rFonts w:ascii="微软雅黑" w:hAnsi="微软雅黑" w:cs="微软雅黑"/>
                <w:sz w:val="21"/>
                <w:szCs w:val="21"/>
              </w:rPr>
            </w:pPr>
            <w:r>
              <w:rPr>
                <w:rFonts w:hint="eastAsia" w:ascii="微软雅黑" w:hAnsi="微软雅黑" w:cs="微软雅黑"/>
                <w:sz w:val="21"/>
                <w:szCs w:val="21"/>
              </w:rPr>
              <w:t>（2）投标人提供所投产品2017年1月1日至今有通过CMA资质认证的检验机构出具的产品密封性能符合采购文件《项目需求》规定的检验报告复印件作证明。</w:t>
            </w:r>
          </w:p>
          <w:p>
            <w:pPr>
              <w:rPr>
                <w:rFonts w:ascii="微软雅黑" w:hAnsi="微软雅黑" w:cs="微软雅黑"/>
                <w:sz w:val="21"/>
                <w:szCs w:val="21"/>
              </w:rPr>
            </w:pPr>
            <w:r>
              <w:rPr>
                <w:rFonts w:hint="eastAsia" w:ascii="微软雅黑" w:hAnsi="微软雅黑" w:cs="微软雅黑"/>
                <w:sz w:val="21"/>
                <w:szCs w:val="21"/>
              </w:rPr>
              <w:t>上述两项目同时满足得4分，只满足其中一项得2分，两项都不满足得0分。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防腐保护的要求</w:t>
            </w:r>
          </w:p>
          <w:p>
            <w:pPr>
              <w:jc w:val="center"/>
              <w:rPr>
                <w:rFonts w:ascii="微软雅黑" w:hAnsi="微软雅黑" w:cs="微软雅黑"/>
                <w:sz w:val="21"/>
                <w:szCs w:val="21"/>
              </w:rPr>
            </w:pPr>
            <w:r>
              <w:rPr>
                <w:rFonts w:hint="eastAsia" w:ascii="微软雅黑" w:hAnsi="微软雅黑" w:cs="微软雅黑"/>
                <w:sz w:val="21"/>
                <w:szCs w:val="21"/>
              </w:rPr>
              <w:t>（4分）</w:t>
            </w:r>
          </w:p>
        </w:tc>
        <w:tc>
          <w:tcPr>
            <w:tcW w:w="8500" w:type="dxa"/>
            <w:shd w:val="clear" w:color="auto" w:fill="auto"/>
            <w:vAlign w:val="center"/>
          </w:tcPr>
          <w:p>
            <w:pPr>
              <w:adjustRightInd/>
              <w:spacing w:after="0"/>
              <w:rPr>
                <w:rFonts w:ascii="微软雅黑" w:hAnsi="微软雅黑" w:cs="微软雅黑"/>
                <w:sz w:val="21"/>
                <w:szCs w:val="21"/>
              </w:rPr>
            </w:pPr>
            <w:r>
              <w:rPr>
                <w:rFonts w:hint="eastAsia" w:ascii="微软雅黑" w:hAnsi="微软雅黑" w:cs="微软雅黑"/>
                <w:sz w:val="21"/>
                <w:szCs w:val="21"/>
              </w:rPr>
              <w:t>（1）投标人产品的防腐要求必须符合采购文件《项目需求》的规定，同时提供投标人产品的防腐要求符合采购文件《项目需求》的规定的承诺书；</w:t>
            </w:r>
          </w:p>
          <w:p>
            <w:pPr>
              <w:adjustRightInd/>
              <w:spacing w:after="0"/>
              <w:rPr>
                <w:rFonts w:ascii="微软雅黑" w:hAnsi="微软雅黑" w:cs="微软雅黑"/>
                <w:sz w:val="21"/>
                <w:szCs w:val="21"/>
              </w:rPr>
            </w:pPr>
            <w:r>
              <w:rPr>
                <w:rFonts w:hint="eastAsia" w:ascii="微软雅黑" w:hAnsi="微软雅黑" w:cs="微软雅黑"/>
                <w:sz w:val="21"/>
                <w:szCs w:val="21"/>
              </w:rPr>
              <w:t>（2）投标人提供所投产品2017年1月1日至今有通过CMA资质认证的检验机构出具的产品涂层厚度、附着性检测的检验报告复印件作证明。</w:t>
            </w:r>
          </w:p>
          <w:p>
            <w:pPr>
              <w:rPr>
                <w:rFonts w:ascii="微软雅黑" w:hAnsi="微软雅黑" w:cs="微软雅黑"/>
                <w:sz w:val="21"/>
                <w:szCs w:val="21"/>
              </w:rPr>
            </w:pPr>
            <w:r>
              <w:rPr>
                <w:rFonts w:hint="eastAsia" w:ascii="微软雅黑" w:hAnsi="微软雅黑" w:cs="微软雅黑"/>
                <w:sz w:val="21"/>
                <w:szCs w:val="21"/>
              </w:rPr>
              <w:t xml:space="preserve">上述两项目同时满足得4分，只满足其中一项得2分，两项都不满足得0分。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传动机构的要求（4分）</w:t>
            </w:r>
          </w:p>
        </w:tc>
        <w:tc>
          <w:tcPr>
            <w:tcW w:w="8500" w:type="dxa"/>
            <w:shd w:val="clear" w:color="auto" w:fill="auto"/>
            <w:vAlign w:val="center"/>
          </w:tcPr>
          <w:p>
            <w:pPr>
              <w:rPr>
                <w:rFonts w:ascii="微软雅黑" w:hAnsi="微软雅黑" w:cs="微软雅黑"/>
                <w:sz w:val="21"/>
                <w:szCs w:val="21"/>
              </w:rPr>
            </w:pPr>
            <w:r>
              <w:rPr>
                <w:rFonts w:hint="eastAsia" w:ascii="微软雅黑" w:hAnsi="微软雅黑" w:cs="微软雅黑"/>
                <w:sz w:val="21"/>
                <w:szCs w:val="21"/>
              </w:rPr>
              <w:t>（1）承诺所投产品的传动机构符合评审文件《技术要求》的规定，评审时提供有CMA资质认证的检验机构出具的，过往产品传动机构符合评审文件《技术要求》的规定的检验报告复印件证明（原件备查），需提交产品的传动箱防护等级不低于IP68的证明材料；</w:t>
            </w:r>
          </w:p>
          <w:p>
            <w:pPr>
              <w:rPr>
                <w:rFonts w:ascii="微软雅黑" w:hAnsi="微软雅黑" w:cs="微软雅黑"/>
                <w:sz w:val="21"/>
                <w:szCs w:val="21"/>
              </w:rPr>
            </w:pPr>
            <w:r>
              <w:rPr>
                <w:rFonts w:hint="eastAsia" w:ascii="微软雅黑" w:hAnsi="微软雅黑" w:cs="微软雅黑"/>
                <w:sz w:val="21"/>
                <w:szCs w:val="21"/>
              </w:rPr>
              <w:t>（2）提供由传动机构生产商盖章的对上述要求的承诺书。</w:t>
            </w:r>
          </w:p>
          <w:p>
            <w:pPr>
              <w:rPr>
                <w:rFonts w:ascii="微软雅黑" w:hAnsi="微软雅黑" w:cs="微软雅黑"/>
                <w:sz w:val="21"/>
                <w:szCs w:val="21"/>
              </w:rPr>
            </w:pPr>
            <w:r>
              <w:rPr>
                <w:rFonts w:hint="eastAsia" w:ascii="微软雅黑" w:hAnsi="微软雅黑" w:cs="微软雅黑"/>
                <w:sz w:val="21"/>
                <w:szCs w:val="21"/>
              </w:rPr>
              <w:t>上述两项目同时满足得4分，只满足其中一项得2分，两项都不满足得0分。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2"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jc w:val="center"/>
              <w:rPr>
                <w:rFonts w:ascii="微软雅黑" w:hAnsi="微软雅黑" w:cs="微软雅黑"/>
                <w:sz w:val="21"/>
                <w:szCs w:val="21"/>
              </w:rPr>
            </w:pPr>
            <w:r>
              <w:rPr>
                <w:rFonts w:hint="eastAsia" w:ascii="微软雅黑" w:hAnsi="微软雅黑" w:cs="微软雅黑"/>
                <w:sz w:val="21"/>
                <w:szCs w:val="21"/>
              </w:rPr>
              <w:t>产品卫生性能的要求（4分）</w:t>
            </w:r>
          </w:p>
        </w:tc>
        <w:tc>
          <w:tcPr>
            <w:tcW w:w="8500" w:type="dxa"/>
            <w:shd w:val="clear" w:color="auto" w:fill="auto"/>
            <w:vAlign w:val="center"/>
          </w:tcPr>
          <w:p>
            <w:pPr>
              <w:adjustRightInd/>
              <w:spacing w:after="0"/>
              <w:rPr>
                <w:rFonts w:ascii="微软雅黑" w:hAnsi="微软雅黑" w:cs="微软雅黑"/>
                <w:sz w:val="21"/>
                <w:szCs w:val="21"/>
              </w:rPr>
            </w:pPr>
            <w:r>
              <w:rPr>
                <w:rFonts w:hint="eastAsia" w:ascii="微软雅黑" w:hAnsi="微软雅黑" w:cs="微软雅黑"/>
                <w:sz w:val="21"/>
                <w:szCs w:val="21"/>
              </w:rPr>
              <w:t>（1）投标人所供阀门的防腐涂料等所选用材料均必须符合GB17219《生活饮用水输配水设备及防护材料的安全性评价标准》要求，同时提供阀门的防腐涂料等所选用材料均符合GB17219《生活饮用水输配水设备及防护材料的安全性评价标准》要求的承诺书；</w:t>
            </w:r>
          </w:p>
          <w:p>
            <w:pPr>
              <w:adjustRightInd/>
              <w:spacing w:after="0"/>
              <w:rPr>
                <w:rFonts w:ascii="微软雅黑" w:hAnsi="微软雅黑" w:cs="微软雅黑"/>
                <w:sz w:val="21"/>
                <w:szCs w:val="21"/>
              </w:rPr>
            </w:pPr>
            <w:r>
              <w:rPr>
                <w:rFonts w:hint="eastAsia" w:ascii="微软雅黑" w:hAnsi="微软雅黑" w:cs="微软雅黑"/>
                <w:sz w:val="21"/>
                <w:szCs w:val="21"/>
              </w:rPr>
              <w:t>（2）投标人提供省级或以上卫生部门出具的阀门对饮用水无毒害影响的卫生检验证明材料复印件作证明（原件备查）。</w:t>
            </w:r>
          </w:p>
          <w:p>
            <w:pPr>
              <w:rPr>
                <w:rFonts w:ascii="微软雅黑" w:hAnsi="微软雅黑" w:cs="微软雅黑"/>
                <w:sz w:val="21"/>
                <w:szCs w:val="21"/>
              </w:rPr>
            </w:pPr>
            <w:r>
              <w:rPr>
                <w:rFonts w:hint="eastAsia" w:ascii="微软雅黑" w:hAnsi="微软雅黑" w:cs="微软雅黑"/>
                <w:sz w:val="21"/>
                <w:szCs w:val="21"/>
              </w:rPr>
              <w:t>上述两项目同时满足得4分，只满足其中一项得2分，两项都不满足得0分。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3"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rPr>
                <w:rFonts w:ascii="微软雅黑" w:hAnsi="微软雅黑" w:cs="微软雅黑"/>
                <w:sz w:val="21"/>
                <w:szCs w:val="21"/>
              </w:rPr>
            </w:pPr>
            <w:r>
              <w:rPr>
                <w:rFonts w:hint="eastAsia" w:ascii="微软雅黑" w:hAnsi="微软雅黑" w:cs="微软雅黑"/>
                <w:sz w:val="21"/>
                <w:szCs w:val="21"/>
              </w:rPr>
              <w:t>复合式排气阀技术性能要求（1分）</w:t>
            </w:r>
          </w:p>
        </w:tc>
        <w:tc>
          <w:tcPr>
            <w:tcW w:w="8500" w:type="dxa"/>
            <w:shd w:val="clear" w:color="auto" w:fill="auto"/>
            <w:vAlign w:val="center"/>
          </w:tcPr>
          <w:p>
            <w:pPr>
              <w:adjustRightInd/>
              <w:rPr>
                <w:rFonts w:ascii="微软雅黑" w:hAnsi="微软雅黑" w:cs="微软雅黑"/>
                <w:sz w:val="21"/>
                <w:szCs w:val="21"/>
              </w:rPr>
            </w:pPr>
            <w:r>
              <w:rPr>
                <w:rFonts w:hint="eastAsia" w:ascii="微软雅黑" w:hAnsi="微软雅黑" w:cs="微软雅黑"/>
                <w:sz w:val="21"/>
                <w:szCs w:val="21"/>
              </w:rPr>
              <w:t>能提供第三方出具的复合式排气阀性能试验报告的，得1分；不能提供的，得0分。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722" w:type="dxa"/>
            <w:vMerge w:val="continue"/>
            <w:shd w:val="clear" w:color="auto" w:fill="auto"/>
            <w:vAlign w:val="center"/>
          </w:tcPr>
          <w:p>
            <w:pPr>
              <w:tabs>
                <w:tab w:val="left" w:pos="972"/>
              </w:tabs>
              <w:jc w:val="center"/>
              <w:rPr>
                <w:rFonts w:ascii="微软雅黑" w:hAnsi="微软雅黑" w:cs="微软雅黑"/>
                <w:sz w:val="21"/>
                <w:szCs w:val="21"/>
              </w:rPr>
            </w:pPr>
          </w:p>
        </w:tc>
        <w:tc>
          <w:tcPr>
            <w:tcW w:w="1512" w:type="dxa"/>
            <w:shd w:val="clear" w:color="auto" w:fill="auto"/>
            <w:vAlign w:val="center"/>
          </w:tcPr>
          <w:p>
            <w:pPr>
              <w:rPr>
                <w:rFonts w:ascii="微软雅黑" w:hAnsi="微软雅黑" w:cs="微软雅黑"/>
                <w:sz w:val="21"/>
                <w:szCs w:val="21"/>
              </w:rPr>
            </w:pPr>
            <w:r>
              <w:rPr>
                <w:rFonts w:hint="eastAsia" w:ascii="微软雅黑" w:hAnsi="微软雅黑" w:cs="微软雅黑"/>
                <w:sz w:val="21"/>
                <w:szCs w:val="21"/>
              </w:rPr>
              <w:t>法兰式蝶阀技术性能要求（</w:t>
            </w:r>
            <w:r>
              <w:rPr>
                <w:rFonts w:hint="eastAsia" w:ascii="微软雅黑" w:hAnsi="微软雅黑" w:cs="微软雅黑"/>
                <w:sz w:val="21"/>
                <w:szCs w:val="21"/>
                <w:lang w:val="en-US" w:eastAsia="zh-CN"/>
              </w:rPr>
              <w:t>1</w:t>
            </w:r>
            <w:r>
              <w:rPr>
                <w:rFonts w:hint="eastAsia" w:ascii="微软雅黑" w:hAnsi="微软雅黑" w:cs="微软雅黑"/>
                <w:sz w:val="21"/>
                <w:szCs w:val="21"/>
              </w:rPr>
              <w:t>分）</w:t>
            </w:r>
          </w:p>
        </w:tc>
        <w:tc>
          <w:tcPr>
            <w:tcW w:w="8500" w:type="dxa"/>
            <w:shd w:val="clear" w:color="auto" w:fill="auto"/>
            <w:vAlign w:val="center"/>
          </w:tcPr>
          <w:p>
            <w:pPr>
              <w:adjustRightInd/>
              <w:spacing w:after="0"/>
              <w:rPr>
                <w:rFonts w:ascii="微软雅黑" w:hAnsi="微软雅黑" w:cs="微软雅黑"/>
                <w:sz w:val="21"/>
                <w:szCs w:val="21"/>
              </w:rPr>
            </w:pPr>
            <w:r>
              <w:rPr>
                <w:rFonts w:hint="eastAsia" w:ascii="微软雅黑" w:hAnsi="微软雅黑" w:cs="微软雅黑"/>
                <w:sz w:val="21"/>
                <w:szCs w:val="21"/>
              </w:rPr>
              <w:t>（1）阀板采用双平板桁架流通式结构或更优的结构方式得</w:t>
            </w:r>
            <w:r>
              <w:rPr>
                <w:rFonts w:hint="eastAsia" w:ascii="微软雅黑" w:hAnsi="微软雅黑" w:cs="微软雅黑"/>
                <w:sz w:val="21"/>
                <w:szCs w:val="21"/>
                <w:lang w:val="en-US" w:eastAsia="zh-CN"/>
              </w:rPr>
              <w:t>1</w:t>
            </w:r>
            <w:r>
              <w:rPr>
                <w:rFonts w:hint="eastAsia" w:ascii="微软雅黑" w:hAnsi="微软雅黑" w:cs="微软雅黑"/>
                <w:sz w:val="21"/>
                <w:szCs w:val="21"/>
              </w:rPr>
              <w:t>分；</w:t>
            </w:r>
          </w:p>
          <w:p>
            <w:pPr>
              <w:adjustRightInd/>
              <w:spacing w:after="0"/>
              <w:rPr>
                <w:rFonts w:ascii="微软雅黑" w:hAnsi="微软雅黑" w:cs="微软雅黑"/>
                <w:sz w:val="21"/>
                <w:szCs w:val="21"/>
              </w:rPr>
            </w:pPr>
            <w:r>
              <w:rPr>
                <w:rFonts w:hint="eastAsia" w:ascii="微软雅黑" w:hAnsi="微软雅黑" w:cs="微软雅黑"/>
                <w:sz w:val="21"/>
                <w:szCs w:val="21"/>
              </w:rPr>
              <w:t>（2）其他结构的得</w:t>
            </w:r>
            <w:r>
              <w:rPr>
                <w:rFonts w:hint="eastAsia" w:ascii="微软雅黑" w:hAnsi="微软雅黑" w:cs="微软雅黑"/>
                <w:sz w:val="21"/>
                <w:szCs w:val="21"/>
                <w:lang w:val="en-US" w:eastAsia="zh-CN"/>
              </w:rPr>
              <w:t>0.5</w:t>
            </w:r>
            <w:r>
              <w:rPr>
                <w:rFonts w:hint="eastAsia" w:ascii="微软雅黑" w:hAnsi="微软雅黑" w:cs="微软雅黑"/>
                <w:sz w:val="21"/>
                <w:szCs w:val="21"/>
              </w:rPr>
              <w:t>分。</w:t>
            </w:r>
          </w:p>
        </w:tc>
      </w:tr>
    </w:tbl>
    <w:p/>
    <w:p>
      <w:pPr>
        <w:rPr>
          <w:rFonts w:ascii="微软雅黑" w:hAnsi="微软雅黑" w:cs="微软雅黑"/>
          <w:color w:val="000000"/>
          <w:sz w:val="21"/>
          <w:szCs w:val="21"/>
        </w:rPr>
      </w:pPr>
      <w:r>
        <w:rPr>
          <w:rFonts w:hint="eastAsia" w:ascii="微软雅黑" w:hAnsi="微软雅黑" w:cs="微软雅黑"/>
          <w:color w:val="000000"/>
          <w:sz w:val="21"/>
          <w:szCs w:val="21"/>
        </w:rPr>
        <w:t>备注：</w:t>
      </w:r>
    </w:p>
    <w:p>
      <w:pPr>
        <w:rPr>
          <w:rFonts w:ascii="微软雅黑" w:hAnsi="微软雅黑" w:cs="微软雅黑"/>
          <w:color w:val="000000"/>
          <w:sz w:val="21"/>
          <w:szCs w:val="21"/>
        </w:rPr>
      </w:pPr>
      <w:r>
        <w:rPr>
          <w:rFonts w:hint="eastAsia" w:ascii="微软雅黑" w:hAnsi="微软雅黑" w:cs="微软雅黑"/>
          <w:color w:val="000000"/>
          <w:sz w:val="21"/>
          <w:szCs w:val="21"/>
        </w:rPr>
        <w:t>招标文件要求提交的与评价指标体系相关的各类有效资料，投标人如未按要求提交的，该项评分为零分。</w:t>
      </w:r>
    </w:p>
    <w:p>
      <w:pPr>
        <w:rPr>
          <w:rFonts w:hint="eastAsia" w:ascii="宋体" w:hAnsi="宋体" w:eastAsia="微软雅黑"/>
          <w:sz w:val="21"/>
          <w:szCs w:val="21"/>
          <w:lang w:eastAsia="zh-CN"/>
        </w:rPr>
      </w:pPr>
      <w:r>
        <w:rPr>
          <w:rFonts w:hint="eastAsia" w:ascii="微软雅黑" w:hAnsi="微软雅黑" w:cs="微软雅黑"/>
          <w:color w:val="000000"/>
          <w:sz w:val="21"/>
          <w:szCs w:val="21"/>
        </w:rPr>
        <w:t>技术、商务评分</w:t>
      </w:r>
      <w:r>
        <w:rPr>
          <w:rFonts w:hint="eastAsia" w:ascii="微软雅黑" w:hAnsi="微软雅黑" w:cs="微软雅黑"/>
          <w:color w:val="000000"/>
          <w:sz w:val="21"/>
          <w:szCs w:val="21"/>
          <w:lang w:eastAsia="zh-CN"/>
        </w:rPr>
        <w:t>为</w:t>
      </w:r>
      <w:r>
        <w:rPr>
          <w:rFonts w:hint="eastAsia" w:ascii="微软雅黑" w:hAnsi="微软雅黑" w:cs="微软雅黑"/>
          <w:color w:val="000000"/>
          <w:sz w:val="21"/>
          <w:szCs w:val="21"/>
        </w:rPr>
        <w:t>评委评分分值的算术平均值（四舍五入后，小数点后保留两位有效数）</w:t>
      </w:r>
      <w:r>
        <w:rPr>
          <w:rFonts w:hint="eastAsia" w:ascii="微软雅黑" w:hAnsi="微软雅黑" w:cs="微软雅黑"/>
          <w:color w:val="000000"/>
          <w:sz w:val="21"/>
          <w:szCs w:val="21"/>
          <w:lang w:eastAsia="zh-CN"/>
        </w:rPr>
        <w:t>。</w:t>
      </w:r>
    </w:p>
    <w:p>
      <w:pPr>
        <w:jc w:val="both"/>
        <w:rPr>
          <w:sz w:val="24"/>
          <w:szCs w:val="24"/>
        </w:rPr>
      </w:pPr>
    </w:p>
    <w:p>
      <w:pPr>
        <w:jc w:val="center"/>
        <w:rPr>
          <w:rFonts w:hint="eastAsia"/>
          <w:b/>
          <w:sz w:val="28"/>
          <w:szCs w:val="28"/>
          <w:lang w:val="en-US" w:eastAsia="zh-CN"/>
        </w:rPr>
      </w:pPr>
      <w:r>
        <w:rPr>
          <w:rFonts w:hint="eastAsia"/>
          <w:b/>
          <w:sz w:val="28"/>
          <w:szCs w:val="28"/>
          <w:lang w:val="en-US" w:eastAsia="zh-CN"/>
        </w:rPr>
        <w:t>价格评分</w:t>
      </w:r>
    </w:p>
    <w:p>
      <w:pPr>
        <w:outlineLvl w:val="9"/>
        <w:rPr>
          <w:rFonts w:hint="eastAsia"/>
          <w:b/>
          <w:sz w:val="28"/>
          <w:szCs w:val="28"/>
          <w:lang w:val="en-US" w:eastAsia="zh-CN"/>
        </w:rPr>
      </w:pPr>
    </w:p>
    <w:tbl>
      <w:tblPr>
        <w:tblStyle w:val="17"/>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0" w:type="dxa"/>
            <w:noWrap w:val="0"/>
            <w:vAlign w:val="center"/>
          </w:tcPr>
          <w:p>
            <w:pPr>
              <w:tabs>
                <w:tab w:val="left" w:pos="972"/>
              </w:tabs>
              <w:jc w:val="center"/>
              <w:rPr>
                <w:rFonts w:hint="eastAsia" w:ascii="微软雅黑" w:hAnsi="微软雅黑" w:cs="微软雅黑"/>
                <w:sz w:val="21"/>
                <w:szCs w:val="21"/>
              </w:rPr>
            </w:pPr>
          </w:p>
          <w:p>
            <w:pPr>
              <w:tabs>
                <w:tab w:val="left" w:pos="972"/>
              </w:tabs>
              <w:jc w:val="center"/>
              <w:rPr>
                <w:rFonts w:hint="eastAsia" w:ascii="微软雅黑" w:hAnsi="微软雅黑" w:cs="微软雅黑"/>
                <w:sz w:val="21"/>
                <w:szCs w:val="21"/>
              </w:rPr>
            </w:pPr>
          </w:p>
          <w:p>
            <w:pPr>
              <w:tabs>
                <w:tab w:val="left" w:pos="972"/>
              </w:tabs>
              <w:jc w:val="center"/>
              <w:rPr>
                <w:rFonts w:hint="eastAsia" w:ascii="微软雅黑" w:hAnsi="微软雅黑" w:cs="微软雅黑"/>
                <w:sz w:val="21"/>
                <w:szCs w:val="21"/>
              </w:rPr>
            </w:pPr>
          </w:p>
          <w:p>
            <w:pPr>
              <w:tabs>
                <w:tab w:val="left" w:pos="972"/>
              </w:tabs>
              <w:jc w:val="center"/>
              <w:rPr>
                <w:rFonts w:hint="eastAsia" w:ascii="微软雅黑" w:hAnsi="微软雅黑" w:cs="微软雅黑"/>
                <w:sz w:val="21"/>
                <w:szCs w:val="21"/>
              </w:rPr>
            </w:pPr>
          </w:p>
          <w:p>
            <w:pPr>
              <w:tabs>
                <w:tab w:val="left" w:pos="972"/>
              </w:tabs>
              <w:jc w:val="center"/>
              <w:rPr>
                <w:rFonts w:hint="eastAsia" w:ascii="微软雅黑" w:hAnsi="微软雅黑" w:cs="微软雅黑"/>
                <w:sz w:val="21"/>
                <w:szCs w:val="21"/>
              </w:rPr>
            </w:pPr>
          </w:p>
          <w:p>
            <w:pPr>
              <w:tabs>
                <w:tab w:val="left" w:pos="972"/>
              </w:tabs>
              <w:jc w:val="center"/>
              <w:rPr>
                <w:rFonts w:ascii="微软雅黑" w:hAnsi="微软雅黑" w:cs="微软雅黑"/>
                <w:sz w:val="21"/>
                <w:szCs w:val="21"/>
              </w:rPr>
            </w:pPr>
            <w:r>
              <w:rPr>
                <w:rFonts w:hint="eastAsia" w:ascii="微软雅黑" w:hAnsi="微软雅黑" w:cs="微软雅黑"/>
                <w:sz w:val="21"/>
                <w:szCs w:val="21"/>
              </w:rPr>
              <w:t>价格评分</w:t>
            </w:r>
          </w:p>
          <w:p>
            <w:pPr>
              <w:tabs>
                <w:tab w:val="left" w:pos="972"/>
              </w:tabs>
              <w:jc w:val="center"/>
              <w:rPr>
                <w:rFonts w:hint="eastAsia" w:ascii="微软雅黑" w:hAnsi="微软雅黑" w:eastAsia="微软雅黑" w:cs="微软雅黑"/>
                <w:color w:val="auto"/>
                <w:sz w:val="21"/>
                <w:szCs w:val="21"/>
              </w:rPr>
            </w:pPr>
            <w:r>
              <w:rPr>
                <w:rFonts w:hint="eastAsia" w:ascii="微软雅黑" w:hAnsi="微软雅黑" w:cs="微软雅黑"/>
                <w:sz w:val="21"/>
                <w:szCs w:val="21"/>
              </w:rPr>
              <w:t>(50分)</w:t>
            </w:r>
          </w:p>
        </w:tc>
        <w:tc>
          <w:tcPr>
            <w:tcW w:w="8640" w:type="dxa"/>
            <w:noWrap w:val="0"/>
            <w:vAlign w:val="center"/>
          </w:tcPr>
          <w:p>
            <w:pPr>
              <w:rPr>
                <w:rFonts w:hint="eastAsia" w:ascii="微软雅黑" w:hAnsi="微软雅黑" w:eastAsia="微软雅黑" w:cs="微软雅黑"/>
                <w:color w:val="auto"/>
                <w:sz w:val="21"/>
                <w:szCs w:val="21"/>
              </w:rPr>
            </w:pPr>
            <w:r>
              <w:rPr>
                <w:rFonts w:hint="eastAsia" w:ascii="微软雅黑" w:hAnsi="微软雅黑" w:cs="微软雅黑"/>
                <w:sz w:val="21"/>
                <w:szCs w:val="21"/>
              </w:rPr>
              <w:t>1.本项目的评审参考价计算设置有效报价区间，区间范围为最高限价的90%至最高限价之间。</w:t>
            </w:r>
            <w:r>
              <w:rPr>
                <w:rFonts w:hint="eastAsia" w:ascii="微软雅黑" w:hAnsi="微软雅黑" w:cs="微软雅黑"/>
                <w:sz w:val="21"/>
                <w:szCs w:val="21"/>
              </w:rPr>
              <w:br w:type="textWrapping"/>
            </w:r>
            <w:r>
              <w:rPr>
                <w:rFonts w:hint="eastAsia" w:ascii="微软雅黑" w:hAnsi="微软雅黑" w:cs="微软雅黑"/>
                <w:sz w:val="21"/>
                <w:szCs w:val="21"/>
              </w:rPr>
              <w:t>2.在有效报价区间内，如有效报价的投标人人数大于5名时，去掉一个有效报价的最高价和一个有效报价的最低价后，取在有效报价区间中余下的有效项目报价的算术平均值作为评审参考价。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3.在有效报价区间内，如有效报价的投标人人数2-5名时，取在有效报价区间中的有效项目报价的算术平均值作为评审参考价。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4.在有效报价区间内，如有效报价的投标人人数等于1名时，其报价将作为评审参考价，其价格分得分为50分。</w:t>
            </w:r>
            <w:r>
              <w:rPr>
                <w:rFonts w:hint="eastAsia" w:ascii="微软雅黑" w:hAnsi="微软雅黑" w:cs="微软雅黑"/>
                <w:sz w:val="21"/>
                <w:szCs w:val="21"/>
              </w:rPr>
              <w:br w:type="textWrapping"/>
            </w:r>
            <w:r>
              <w:rPr>
                <w:rFonts w:hint="eastAsia" w:ascii="微软雅黑" w:hAnsi="微软雅黑" w:cs="微软雅黑"/>
                <w:sz w:val="21"/>
                <w:szCs w:val="21"/>
              </w:rPr>
              <w:t>5.若所有投标人的项目报价均低于最高限价90%的，则按以下方式计算评审参考价：</w:t>
            </w:r>
            <w:r>
              <w:rPr>
                <w:rFonts w:hint="eastAsia" w:ascii="微软雅黑" w:hAnsi="微软雅黑" w:cs="微软雅黑"/>
                <w:sz w:val="21"/>
                <w:szCs w:val="21"/>
              </w:rPr>
              <w:br w:type="textWrapping"/>
            </w:r>
            <w:r>
              <w:rPr>
                <w:rFonts w:hint="eastAsia" w:ascii="微软雅黑" w:hAnsi="微软雅黑" w:cs="微软雅黑"/>
                <w:sz w:val="21"/>
                <w:szCs w:val="21"/>
              </w:rPr>
              <w:t>①　如报价的投标人人数大于5名时，去掉一个最高价和一个最低价后，取余下的报价的算术平均值作为评审参考价；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②　如报价的投标人人数小于或等于5名时，取所有报价的算术平均值作为评审参考价。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6.当项目报价等于评审参考价时得50分，项目报价每高于评审参考价1%（不足1%部分按比例进行扣分），扣</w:t>
            </w:r>
            <w:r>
              <w:rPr>
                <w:rFonts w:hint="default" w:ascii="微软雅黑" w:hAnsi="微软雅黑" w:cs="微软雅黑"/>
                <w:sz w:val="21"/>
                <w:szCs w:val="21"/>
                <w:highlight w:val="none"/>
                <w:lang w:val="en-US"/>
              </w:rPr>
              <w:t>1.5</w:t>
            </w:r>
            <w:r>
              <w:rPr>
                <w:rFonts w:hint="eastAsia" w:ascii="微软雅黑" w:hAnsi="微软雅黑" w:cs="微软雅黑"/>
                <w:sz w:val="21"/>
                <w:szCs w:val="21"/>
                <w:highlight w:val="none"/>
              </w:rPr>
              <w:t>分</w:t>
            </w:r>
            <w:r>
              <w:rPr>
                <w:rFonts w:hint="eastAsia" w:ascii="微软雅黑" w:hAnsi="微软雅黑" w:cs="微软雅黑"/>
                <w:sz w:val="21"/>
                <w:szCs w:val="21"/>
              </w:rPr>
              <w:t>，每低于评审参考价1%（不足1%部分按比例进行扣分），扣1分，扣至0分为止，得分精确到小数点后两位。</w:t>
            </w:r>
          </w:p>
        </w:tc>
      </w:tr>
    </w:tbl>
    <w:p>
      <w:pPr>
        <w:pStyle w:val="5"/>
        <w:rPr>
          <w:rFonts w:hint="eastAsia"/>
          <w:lang w:val="en-US" w:eastAsia="zh-CN"/>
        </w:rPr>
        <w:sectPr>
          <w:headerReference r:id="rId5" w:type="default"/>
          <w:footerReference r:id="rId6" w:type="default"/>
          <w:pgSz w:w="11906" w:h="16838"/>
          <w:pgMar w:top="1440" w:right="1080" w:bottom="1440" w:left="1080" w:header="657" w:footer="481" w:gutter="0"/>
          <w:cols w:space="720" w:num="1"/>
        </w:sectPr>
      </w:pPr>
    </w:p>
    <w:p>
      <w:pPr>
        <w:spacing w:line="360" w:lineRule="auto"/>
        <w:jc w:val="center"/>
        <w:outlineLvl w:val="0"/>
        <w:rPr>
          <w:rFonts w:ascii="黑体" w:hAnsi="华文中宋" w:eastAsia="黑体" w:cs="华文中宋"/>
          <w:b/>
          <w:bCs/>
          <w:sz w:val="32"/>
          <w:szCs w:val="32"/>
        </w:rPr>
      </w:pPr>
      <w:bookmarkStart w:id="1133" w:name="_Toc453957425"/>
      <w:bookmarkStart w:id="1134" w:name="_Toc453956666"/>
      <w:r>
        <w:rPr>
          <w:rFonts w:hint="eastAsia" w:ascii="黑体" w:hAnsi="华文中宋" w:eastAsia="黑体" w:cs="华文中宋"/>
          <w:b/>
          <w:bCs/>
          <w:sz w:val="32"/>
          <w:szCs w:val="32"/>
        </w:rPr>
        <w:t>第五章  投标文件格式</w:t>
      </w:r>
      <w:bookmarkEnd w:id="1133"/>
      <w:bookmarkEnd w:id="1134"/>
    </w:p>
    <w:p>
      <w:pPr>
        <w:pStyle w:val="5"/>
        <w:spacing w:line="440" w:lineRule="exact"/>
        <w:jc w:val="center"/>
        <w:rPr>
          <w:b w:val="0"/>
        </w:rPr>
      </w:pPr>
      <w:bookmarkStart w:id="1135" w:name="_Toc453957426"/>
      <w:bookmarkStart w:id="1136" w:name="_Toc275865604"/>
      <w:r>
        <w:rPr>
          <w:rFonts w:hint="eastAsia"/>
          <w:b w:val="0"/>
        </w:rPr>
        <w:t>投标文件包装封面参考</w:t>
      </w:r>
      <w:bookmarkEnd w:id="1135"/>
    </w:p>
    <w:tbl>
      <w:tblPr>
        <w:tblStyle w:val="17"/>
        <w:tblW w:w="96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6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27" w:hRule="atLeast"/>
        </w:trPr>
        <w:tc>
          <w:tcPr>
            <w:tcW w:w="9657" w:type="dxa"/>
            <w:tcBorders>
              <w:top w:val="single" w:color="auto" w:sz="12" w:space="0"/>
              <w:left w:val="single" w:color="auto" w:sz="12" w:space="0"/>
              <w:bottom w:val="single" w:color="auto" w:sz="12" w:space="0"/>
              <w:right w:val="single" w:color="auto" w:sz="12" w:space="0"/>
            </w:tcBorders>
            <w:noWrap w:val="0"/>
            <w:vAlign w:val="top"/>
          </w:tcPr>
          <w:p>
            <w:pPr>
              <w:pStyle w:val="3"/>
              <w:spacing w:line="360" w:lineRule="auto"/>
              <w:ind w:firstLine="482" w:firstLineChars="150"/>
              <w:rPr>
                <w:rFonts w:ascii="仿宋_GB2312" w:eastAsia="仿宋_GB2312"/>
                <w:b/>
                <w:sz w:val="32"/>
              </w:rPr>
            </w:pPr>
          </w:p>
          <w:p>
            <w:pPr>
              <w:pStyle w:val="3"/>
              <w:spacing w:line="360" w:lineRule="auto"/>
              <w:ind w:firstLine="482" w:firstLineChars="150"/>
              <w:rPr>
                <w:rFonts w:ascii="仿宋_GB2312" w:eastAsia="仿宋_GB2312"/>
                <w:b/>
                <w:sz w:val="32"/>
              </w:rPr>
            </w:pPr>
          </w:p>
          <w:p>
            <w:pPr>
              <w:pStyle w:val="3"/>
              <w:spacing w:line="360" w:lineRule="auto"/>
              <w:jc w:val="center"/>
              <w:rPr>
                <w:rFonts w:ascii="黑体" w:eastAsia="黑体"/>
                <w:b/>
                <w:sz w:val="72"/>
                <w:szCs w:val="72"/>
              </w:rPr>
            </w:pPr>
            <w:r>
              <w:rPr>
                <w:rFonts w:hint="eastAsia" w:ascii="黑体" w:eastAsia="黑体"/>
                <w:b/>
                <w:sz w:val="72"/>
                <w:szCs w:val="72"/>
              </w:rPr>
              <w:t>投 标 文 件</w:t>
            </w:r>
          </w:p>
          <w:p>
            <w:pPr>
              <w:pStyle w:val="3"/>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开标信封</w:t>
            </w:r>
          </w:p>
          <w:p>
            <w:pPr>
              <w:pStyle w:val="3"/>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pPr>
              <w:pStyle w:val="3"/>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pPr>
              <w:pStyle w:val="3"/>
              <w:spacing w:line="360" w:lineRule="auto"/>
              <w:ind w:firstLine="1968" w:firstLineChars="700"/>
              <w:rPr>
                <w:rFonts w:ascii="黑体" w:eastAsia="黑体"/>
                <w:b/>
                <w:sz w:val="28"/>
                <w:szCs w:val="22"/>
              </w:rPr>
            </w:pPr>
          </w:p>
          <w:p>
            <w:pPr>
              <w:pStyle w:val="3"/>
              <w:spacing w:line="360" w:lineRule="auto"/>
              <w:ind w:left="859" w:leftChars="390" w:hanging="1"/>
              <w:rPr>
                <w:rFonts w:hint="eastAsia" w:ascii="黑体" w:hAnsi="仿宋_GB2312" w:eastAsia="黑体"/>
                <w:b/>
                <w:bCs/>
                <w:sz w:val="28"/>
                <w:szCs w:val="28"/>
                <w:lang w:eastAsia="zh-CN"/>
              </w:rPr>
            </w:pPr>
            <w:r>
              <w:rPr>
                <w:rFonts w:hint="eastAsia" w:ascii="黑体" w:hAnsi="仿宋_GB2312" w:eastAsia="黑体"/>
                <w:b/>
                <w:bCs/>
                <w:sz w:val="28"/>
                <w:szCs w:val="28"/>
              </w:rPr>
              <w:t>项目编号：</w:t>
            </w:r>
            <w:r>
              <w:rPr>
                <w:rFonts w:hint="eastAsia" w:ascii="黑体" w:hAnsi="仿宋_GB2312" w:eastAsia="黑体"/>
                <w:b/>
                <w:bCs/>
                <w:sz w:val="28"/>
                <w:szCs w:val="28"/>
                <w:lang w:eastAsia="zh-CN"/>
              </w:rPr>
              <w:t>GZBC21HG08004</w:t>
            </w:r>
          </w:p>
          <w:p>
            <w:pPr>
              <w:pStyle w:val="3"/>
              <w:ind w:left="880" w:leftChars="400"/>
              <w:rPr>
                <w:rFonts w:hint="eastAsia" w:ascii="黑体" w:hAnsi="仿宋_GB2312" w:eastAsia="黑体"/>
                <w:b/>
                <w:bCs/>
                <w:sz w:val="28"/>
                <w:szCs w:val="28"/>
                <w:lang w:eastAsia="zh-CN"/>
              </w:rPr>
            </w:pPr>
            <w:r>
              <w:rPr>
                <w:rFonts w:hint="eastAsia" w:ascii="黑体" w:hAnsi="仿宋_GB2312" w:eastAsia="黑体"/>
                <w:b/>
                <w:bCs/>
                <w:sz w:val="28"/>
                <w:szCs w:val="28"/>
              </w:rPr>
              <w:t>项目名称：</w:t>
            </w:r>
            <w:r>
              <w:rPr>
                <w:rFonts w:hint="eastAsia" w:ascii="黑体" w:hAnsi="仿宋_GB2312" w:eastAsia="黑体"/>
                <w:b/>
                <w:bCs/>
                <w:sz w:val="28"/>
                <w:szCs w:val="28"/>
                <w:lang w:eastAsia="zh-CN"/>
              </w:rPr>
              <w:t>广州市增城自来水安装工程有限公司2021~2022年度阀门(大口径)采购项目</w:t>
            </w:r>
          </w:p>
          <w:p>
            <w:pPr>
              <w:pStyle w:val="3"/>
              <w:ind w:left="880" w:leftChars="400"/>
              <w:rPr>
                <w:rFonts w:ascii="黑体" w:hAnsi="仿宋_GB2312" w:eastAsia="黑体"/>
                <w:b/>
                <w:bCs/>
                <w:sz w:val="28"/>
                <w:szCs w:val="28"/>
              </w:rPr>
            </w:pPr>
            <w:r>
              <w:rPr>
                <w:rFonts w:hint="eastAsia" w:ascii="黑体" w:hAnsi="仿宋_GB2312" w:eastAsia="黑体"/>
                <w:b/>
                <w:bCs/>
                <w:sz w:val="28"/>
                <w:szCs w:val="28"/>
              </w:rPr>
              <w:t>项目投标人名称：</w:t>
            </w:r>
          </w:p>
          <w:p>
            <w:pPr>
              <w:pStyle w:val="3"/>
              <w:ind w:left="880" w:leftChars="400"/>
              <w:rPr>
                <w:rFonts w:ascii="黑体" w:eastAsia="黑体"/>
                <w:b/>
                <w:color w:val="000000"/>
                <w:sz w:val="28"/>
                <w:szCs w:val="28"/>
              </w:rPr>
            </w:pPr>
            <w:r>
              <w:rPr>
                <w:rFonts w:hint="eastAsia" w:ascii="黑体" w:eastAsia="黑体"/>
                <w:b/>
                <w:color w:val="000000"/>
                <w:sz w:val="28"/>
                <w:szCs w:val="28"/>
              </w:rPr>
              <w:t>投标人地址：</w:t>
            </w:r>
          </w:p>
          <w:p>
            <w:pPr>
              <w:tabs>
                <w:tab w:val="left" w:pos="851"/>
              </w:tabs>
              <w:spacing w:line="420" w:lineRule="auto"/>
              <w:rPr>
                <w:rFonts w:ascii="仿宋_GB2312" w:eastAsia="仿宋_GB2312"/>
                <w:b/>
                <w:sz w:val="32"/>
              </w:rPr>
            </w:pPr>
            <w:r>
              <w:rPr>
                <w:rFonts w:hint="eastAsia" w:ascii="黑体" w:eastAsia="黑体"/>
                <w:b/>
                <w:color w:val="000000"/>
                <w:sz w:val="28"/>
                <w:szCs w:val="28"/>
              </w:rPr>
              <w:t xml:space="preserve">     (</w:t>
            </w:r>
            <w:r>
              <w:rPr>
                <w:rFonts w:hint="eastAsia" w:ascii="黑体" w:eastAsia="黑体"/>
                <w:b/>
                <w:color w:val="000000"/>
                <w:sz w:val="28"/>
                <w:szCs w:val="28"/>
                <w:u w:val="single"/>
              </w:rPr>
              <w:t xml:space="preserve">    </w:t>
            </w:r>
            <w:r>
              <w:rPr>
                <w:rFonts w:hint="eastAsia" w:ascii="黑体" w:eastAsia="黑体"/>
                <w:b/>
                <w:color w:val="000000"/>
                <w:sz w:val="28"/>
                <w:szCs w:val="28"/>
              </w:rPr>
              <w:t>年</w:t>
            </w:r>
            <w:r>
              <w:rPr>
                <w:rFonts w:hint="eastAsia" w:ascii="黑体" w:eastAsia="黑体"/>
                <w:b/>
                <w:color w:val="000000"/>
                <w:sz w:val="28"/>
                <w:szCs w:val="28"/>
                <w:u w:val="single"/>
              </w:rPr>
              <w:t xml:space="preserve">    </w:t>
            </w:r>
            <w:r>
              <w:rPr>
                <w:rFonts w:hint="eastAsia" w:ascii="黑体" w:eastAsia="黑体"/>
                <w:b/>
                <w:color w:val="000000"/>
                <w:sz w:val="28"/>
                <w:szCs w:val="28"/>
              </w:rPr>
              <w:t>月</w:t>
            </w:r>
            <w:r>
              <w:rPr>
                <w:rFonts w:hint="eastAsia" w:ascii="黑体" w:eastAsia="黑体"/>
                <w:b/>
                <w:color w:val="000000"/>
                <w:sz w:val="28"/>
                <w:szCs w:val="28"/>
                <w:u w:val="single"/>
              </w:rPr>
              <w:t xml:space="preserve">    </w:t>
            </w:r>
            <w:r>
              <w:rPr>
                <w:rFonts w:hint="eastAsia" w:ascii="黑体" w:eastAsia="黑体"/>
                <w:b/>
                <w:color w:val="000000"/>
                <w:sz w:val="28"/>
                <w:szCs w:val="28"/>
              </w:rPr>
              <w:t>日</w:t>
            </w:r>
            <w:r>
              <w:rPr>
                <w:rFonts w:hint="eastAsia" w:ascii="黑体" w:eastAsia="黑体"/>
                <w:b/>
                <w:color w:val="000000"/>
                <w:sz w:val="28"/>
                <w:szCs w:val="28"/>
                <w:u w:val="single"/>
              </w:rPr>
              <w:t xml:space="preserve">    </w:t>
            </w:r>
            <w:r>
              <w:rPr>
                <w:rFonts w:hint="eastAsia" w:ascii="黑体" w:eastAsia="黑体"/>
                <w:b/>
                <w:color w:val="000000"/>
                <w:sz w:val="28"/>
                <w:szCs w:val="28"/>
              </w:rPr>
              <w:t>时</w:t>
            </w:r>
            <w:r>
              <w:rPr>
                <w:rFonts w:hint="eastAsia" w:ascii="黑体" w:eastAsia="黑体"/>
                <w:b/>
                <w:color w:val="000000"/>
                <w:sz w:val="28"/>
                <w:szCs w:val="28"/>
                <w:u w:val="single"/>
              </w:rPr>
              <w:t xml:space="preserve">    </w:t>
            </w:r>
            <w:r>
              <w:rPr>
                <w:rFonts w:hint="eastAsia" w:ascii="黑体" w:eastAsia="黑体"/>
                <w:b/>
                <w:color w:val="000000"/>
                <w:sz w:val="28"/>
                <w:szCs w:val="28"/>
              </w:rPr>
              <w:t>分)</w:t>
            </w:r>
            <w:r>
              <w:rPr>
                <w:rFonts w:hint="eastAsia" w:ascii="黑体" w:eastAsia="黑体"/>
                <w:b/>
                <w:sz w:val="28"/>
                <w:szCs w:val="28"/>
              </w:rPr>
              <w:t>之前不得启封</w:t>
            </w:r>
          </w:p>
        </w:tc>
      </w:tr>
    </w:tbl>
    <w:p>
      <w:pPr>
        <w:rPr>
          <w:b/>
        </w:rPr>
      </w:pPr>
      <w:bookmarkStart w:id="1137" w:name="_Toc453957427"/>
    </w:p>
    <w:p>
      <w:pPr>
        <w:pStyle w:val="5"/>
        <w:spacing w:line="440" w:lineRule="exact"/>
        <w:jc w:val="center"/>
        <w:rPr>
          <w:rFonts w:ascii="黑体" w:hAnsi="宋体"/>
          <w:b w:val="0"/>
          <w:sz w:val="18"/>
          <w:szCs w:val="18"/>
        </w:rPr>
      </w:pPr>
      <w:r>
        <w:rPr>
          <w:rFonts w:hint="eastAsia"/>
          <w:b w:val="0"/>
        </w:rPr>
        <w:t>投标文件目录表</w:t>
      </w:r>
      <w:bookmarkEnd w:id="1136"/>
      <w:bookmarkEnd w:id="1137"/>
    </w:p>
    <w:p>
      <w:pPr>
        <w:spacing w:line="360" w:lineRule="auto"/>
        <w:rPr>
          <w:rFonts w:hint="eastAsia" w:ascii="微软雅黑" w:hAnsi="微软雅黑" w:eastAsia="微软雅黑" w:cs="微软雅黑"/>
          <w:bCs/>
          <w:sz w:val="21"/>
          <w:szCs w:val="21"/>
          <w:lang w:eastAsia="zh-CN"/>
        </w:rPr>
      </w:pPr>
      <w:r>
        <w:rPr>
          <w:rFonts w:hint="eastAsia" w:ascii="宋体" w:hAnsi="宋体"/>
          <w:sz w:val="21"/>
          <w:szCs w:val="21"/>
        </w:rPr>
        <w:t>项目名称：</w:t>
      </w:r>
      <w:r>
        <w:rPr>
          <w:rFonts w:hint="eastAsia" w:ascii="微软雅黑" w:hAnsi="微软雅黑" w:cs="微软雅黑"/>
          <w:bCs/>
          <w:sz w:val="21"/>
          <w:szCs w:val="21"/>
          <w:lang w:eastAsia="zh-CN"/>
        </w:rPr>
        <w:t>广州市增城自来水安装工程有限公司2021~2022年度阀门(大口径)采购项目</w:t>
      </w:r>
    </w:p>
    <w:p>
      <w:pPr>
        <w:spacing w:line="360" w:lineRule="auto"/>
        <w:rPr>
          <w:rFonts w:hint="eastAsia" w:ascii="宋体" w:hAnsi="宋体" w:eastAsia="微软雅黑"/>
          <w:b/>
          <w:bCs/>
          <w:sz w:val="21"/>
          <w:szCs w:val="21"/>
          <w:lang w:eastAsia="zh-CN"/>
        </w:rPr>
      </w:pPr>
      <w:r>
        <w:rPr>
          <w:rFonts w:hint="eastAsia" w:ascii="宋体" w:hAnsi="宋体"/>
          <w:sz w:val="21"/>
          <w:szCs w:val="21"/>
        </w:rPr>
        <w:t>项目编号：</w:t>
      </w:r>
      <w:r>
        <w:rPr>
          <w:rFonts w:hint="eastAsia" w:ascii="宋体" w:hAnsi="宋体"/>
          <w:sz w:val="21"/>
          <w:szCs w:val="21"/>
          <w:lang w:eastAsia="zh-CN"/>
        </w:rPr>
        <w:t>GZBC21HG08004</w:t>
      </w:r>
    </w:p>
    <w:tbl>
      <w:tblPr>
        <w:tblStyle w:val="17"/>
        <w:tblW w:w="97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4"/>
        <w:gridCol w:w="669"/>
        <w:gridCol w:w="5048"/>
        <w:gridCol w:w="536"/>
        <w:gridCol w:w="487"/>
        <w:gridCol w:w="725"/>
        <w:gridCol w:w="7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12" w:space="0"/>
              <w:left w:val="single" w:color="auto" w:sz="12"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文件类型</w:t>
            </w:r>
          </w:p>
        </w:tc>
        <w:tc>
          <w:tcPr>
            <w:tcW w:w="669" w:type="dxa"/>
            <w:vMerge w:val="restart"/>
            <w:tcBorders>
              <w:top w:val="single" w:color="auto" w:sz="12" w:space="0"/>
              <w:left w:val="single" w:color="auto" w:sz="6" w:space="0"/>
              <w:bottom w:val="single" w:color="auto" w:sz="6" w:space="0"/>
              <w:right w:val="single" w:color="auto" w:sz="6" w:space="0"/>
            </w:tcBorders>
            <w:shd w:val="clear" w:color="auto" w:fill="EEECE1"/>
            <w:noWrap w:val="0"/>
            <w:vAlign w:val="center"/>
          </w:tcPr>
          <w:p>
            <w:pPr>
              <w:ind w:left="-106" w:leftChars="-48" w:right="-103" w:rightChars="-47"/>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序号</w:t>
            </w:r>
          </w:p>
        </w:tc>
        <w:tc>
          <w:tcPr>
            <w:tcW w:w="5048" w:type="dxa"/>
            <w:vMerge w:val="restart"/>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文    件    名    称</w:t>
            </w:r>
          </w:p>
        </w:tc>
        <w:tc>
          <w:tcPr>
            <w:tcW w:w="1023" w:type="dxa"/>
            <w:gridSpan w:val="2"/>
            <w:tcBorders>
              <w:top w:val="single" w:color="auto" w:sz="12" w:space="0"/>
              <w:left w:val="single" w:color="auto" w:sz="6" w:space="0"/>
              <w:bottom w:val="single" w:color="auto" w:sz="6" w:space="0"/>
              <w:right w:val="single" w:color="auto" w:sz="6" w:space="0"/>
            </w:tcBorders>
            <w:shd w:val="clear" w:color="auto" w:fill="EEECE1"/>
            <w:noWrap w:val="0"/>
            <w:vAlign w:val="center"/>
          </w:tcPr>
          <w:p>
            <w:pPr>
              <w:ind w:left="-123" w:leftChars="-56" w:right="-99" w:rightChars="-45"/>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提交情况</w:t>
            </w:r>
          </w:p>
        </w:tc>
        <w:tc>
          <w:tcPr>
            <w:tcW w:w="725" w:type="dxa"/>
            <w:vMerge w:val="restart"/>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页码范围</w:t>
            </w:r>
          </w:p>
        </w:tc>
        <w:tc>
          <w:tcPr>
            <w:tcW w:w="726" w:type="dxa"/>
            <w:vMerge w:val="restart"/>
            <w:tcBorders>
              <w:top w:val="single" w:color="auto" w:sz="12"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1514" w:type="dxa"/>
            <w:vMerge w:val="continue"/>
            <w:tcBorders>
              <w:top w:val="single" w:color="auto" w:sz="12"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vMerge w:val="continue"/>
            <w:tcBorders>
              <w:top w:val="single" w:color="auto" w:sz="12" w:space="0"/>
              <w:left w:val="single" w:color="auto" w:sz="6"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5048" w:type="dxa"/>
            <w:vMerge w:val="continue"/>
            <w:tcBorders>
              <w:top w:val="single" w:color="auto" w:sz="12" w:space="0"/>
              <w:left w:val="single" w:color="auto" w:sz="6"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536"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有</w:t>
            </w:r>
          </w:p>
        </w:tc>
        <w:tc>
          <w:tcPr>
            <w:tcW w:w="487"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无</w:t>
            </w:r>
          </w:p>
        </w:tc>
        <w:tc>
          <w:tcPr>
            <w:tcW w:w="725" w:type="dxa"/>
            <w:vMerge w:val="continue"/>
            <w:tcBorders>
              <w:top w:val="single" w:color="auto" w:sz="12" w:space="0"/>
              <w:left w:val="single" w:color="auto" w:sz="6" w:space="0"/>
              <w:bottom w:val="single" w:color="auto" w:sz="6" w:space="0"/>
              <w:right w:val="single" w:color="auto" w:sz="6" w:space="0"/>
            </w:tcBorders>
            <w:noWrap w:val="0"/>
            <w:vAlign w:val="center"/>
          </w:tcPr>
          <w:p>
            <w:pPr>
              <w:adjustRightInd/>
              <w:rPr>
                <w:rFonts w:hint="eastAsia" w:ascii="微软雅黑" w:hAnsi="微软雅黑" w:eastAsia="微软雅黑" w:cs="微软雅黑"/>
                <w:b/>
                <w:sz w:val="20"/>
                <w:szCs w:val="20"/>
              </w:rPr>
            </w:pPr>
          </w:p>
        </w:tc>
        <w:tc>
          <w:tcPr>
            <w:tcW w:w="726" w:type="dxa"/>
            <w:vMerge w:val="continue"/>
            <w:tcBorders>
              <w:top w:val="single" w:color="auto" w:sz="12" w:space="0"/>
              <w:left w:val="single" w:color="auto" w:sz="6" w:space="0"/>
              <w:bottom w:val="single" w:color="auto" w:sz="6" w:space="0"/>
              <w:right w:val="single" w:color="auto" w:sz="12" w:space="0"/>
            </w:tcBorders>
            <w:noWrap w:val="0"/>
            <w:vAlign w:val="center"/>
          </w:tcPr>
          <w:p>
            <w:pPr>
              <w:adjustRightInd/>
              <w:rPr>
                <w:rFonts w:hint="eastAsia" w:ascii="微软雅黑" w:hAnsi="微软雅黑" w:eastAsia="微软雅黑" w:cs="微软雅黑"/>
                <w:b/>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初审文件（加盖投标人公章）</w:t>
            </w: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napToGrid/>
              <w:spacing w:after="0"/>
              <w:ind w:left="180" w:leftChars="0"/>
              <w:jc w:val="both"/>
              <w:rPr>
                <w:rFonts w:hint="eastAsia" w:ascii="微软雅黑" w:hAnsi="微软雅黑" w:eastAsia="微软雅黑" w:cs="微软雅黑"/>
                <w:sz w:val="20"/>
                <w:szCs w:val="20"/>
                <w:lang w:val="en-US" w:eastAsia="zh-CN"/>
              </w:rPr>
            </w:pPr>
            <w:r>
              <w:rPr>
                <w:rFonts w:hint="eastAsia" w:ascii="微软雅黑" w:hAnsi="微软雅黑" w:cs="微软雅黑"/>
                <w:sz w:val="20"/>
                <w:szCs w:val="20"/>
                <w:lang w:val="en-US" w:eastAsia="zh-CN"/>
              </w:rPr>
              <w:t>1</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000000"/>
                <w:sz w:val="20"/>
                <w:szCs w:val="20"/>
              </w:rPr>
            </w:pPr>
            <w:r>
              <w:rPr>
                <w:rFonts w:hint="eastAsia" w:ascii="微软雅黑" w:hAnsi="微软雅黑" w:eastAsia="微软雅黑" w:cs="微软雅黑"/>
                <w:sz w:val="20"/>
                <w:szCs w:val="20"/>
              </w:rPr>
              <w:t>投标函（见格式1）</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napToGrid/>
              <w:spacing w:after="0"/>
              <w:ind w:left="180" w:leftChars="0"/>
              <w:jc w:val="both"/>
              <w:rPr>
                <w:rFonts w:hint="eastAsia" w:ascii="微软雅黑" w:hAnsi="微软雅黑" w:eastAsia="微软雅黑" w:cs="微软雅黑"/>
                <w:sz w:val="20"/>
                <w:szCs w:val="20"/>
                <w:lang w:val="en-US" w:eastAsia="zh-CN"/>
              </w:rPr>
            </w:pPr>
            <w:r>
              <w:rPr>
                <w:rFonts w:hint="eastAsia" w:ascii="微软雅黑" w:hAnsi="微软雅黑" w:cs="微软雅黑"/>
                <w:sz w:val="20"/>
                <w:szCs w:val="20"/>
                <w:lang w:val="en-US" w:eastAsia="zh-CN"/>
              </w:rPr>
              <w:t>2</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000000"/>
                <w:sz w:val="20"/>
                <w:szCs w:val="20"/>
              </w:rPr>
            </w:pPr>
            <w:r>
              <w:rPr>
                <w:rFonts w:hint="eastAsia" w:ascii="微软雅黑" w:hAnsi="微软雅黑" w:eastAsia="微软雅黑" w:cs="微软雅黑"/>
                <w:sz w:val="20"/>
                <w:szCs w:val="20"/>
              </w:rPr>
              <w:t>资格声明（见格式2）</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napToGrid/>
              <w:spacing w:after="0"/>
              <w:ind w:left="180" w:leftChars="0"/>
              <w:jc w:val="both"/>
              <w:rPr>
                <w:rFonts w:hint="default" w:ascii="微软雅黑" w:hAnsi="微软雅黑" w:eastAsia="微软雅黑" w:cs="微软雅黑"/>
                <w:sz w:val="20"/>
                <w:szCs w:val="20"/>
                <w:lang w:val="en-US" w:eastAsia="zh-CN"/>
              </w:rPr>
            </w:pPr>
            <w:r>
              <w:rPr>
                <w:rFonts w:hint="eastAsia" w:ascii="微软雅黑" w:hAnsi="微软雅黑" w:cs="微软雅黑"/>
                <w:sz w:val="20"/>
                <w:szCs w:val="20"/>
                <w:lang w:val="en-US" w:eastAsia="zh-CN"/>
              </w:rPr>
              <w:t>3</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rPr>
            </w:pPr>
            <w:r>
              <w:rPr>
                <w:rFonts w:hint="eastAsia" w:ascii="微软雅黑" w:hAnsi="微软雅黑" w:eastAsia="微软雅黑" w:cs="微软雅黑"/>
                <w:sz w:val="20"/>
                <w:szCs w:val="20"/>
              </w:rPr>
              <w:t>承诺函（见格式3）</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napToGrid/>
              <w:spacing w:after="0"/>
              <w:ind w:left="180" w:leftChars="0"/>
              <w:jc w:val="both"/>
              <w:rPr>
                <w:rFonts w:hint="default" w:ascii="微软雅黑" w:hAnsi="微软雅黑" w:cs="微软雅黑"/>
                <w:sz w:val="20"/>
                <w:szCs w:val="20"/>
                <w:lang w:val="en-US" w:eastAsia="zh-CN"/>
              </w:rPr>
            </w:pPr>
            <w:r>
              <w:rPr>
                <w:rFonts w:hint="eastAsia" w:ascii="微软雅黑" w:hAnsi="微软雅黑" w:cs="微软雅黑"/>
                <w:sz w:val="20"/>
                <w:szCs w:val="20"/>
                <w:lang w:val="en-US" w:eastAsia="zh-CN"/>
              </w:rPr>
              <w:t xml:space="preserve">  4</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《公平竞争承诺书》原件</w:t>
            </w:r>
            <w:r>
              <w:rPr>
                <w:rFonts w:hint="eastAsia" w:ascii="微软雅黑" w:hAnsi="微软雅黑" w:eastAsia="微软雅黑" w:cs="微软雅黑"/>
                <w:sz w:val="20"/>
                <w:szCs w:val="20"/>
              </w:rPr>
              <w:t>（见格式4）</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napToGrid/>
              <w:spacing w:after="0"/>
              <w:ind w:left="180" w:leftChars="0"/>
              <w:jc w:val="both"/>
              <w:rPr>
                <w:rFonts w:hint="default" w:ascii="微软雅黑" w:hAnsi="微软雅黑" w:cs="微软雅黑"/>
                <w:sz w:val="20"/>
                <w:szCs w:val="20"/>
                <w:lang w:val="en-US" w:eastAsia="zh-CN"/>
              </w:rPr>
            </w:pPr>
            <w:r>
              <w:rPr>
                <w:rFonts w:hint="eastAsia" w:ascii="微软雅黑" w:hAnsi="微软雅黑" w:cs="微软雅黑"/>
                <w:sz w:val="20"/>
                <w:szCs w:val="20"/>
                <w:lang w:val="en-US" w:eastAsia="zh-CN"/>
              </w:rPr>
              <w:t>5</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rPr>
            </w:pPr>
            <w:r>
              <w:rPr>
                <w:rFonts w:hint="eastAsia" w:ascii="微软雅黑" w:hAnsi="微软雅黑" w:eastAsia="微软雅黑" w:cs="微软雅黑"/>
                <w:sz w:val="20"/>
                <w:szCs w:val="20"/>
              </w:rPr>
              <w:t>法定代表人授权委托书或法定代表人证明书（见格式5、6）</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napToGrid/>
              <w:spacing w:after="0"/>
              <w:ind w:left="180" w:leftChars="0"/>
              <w:jc w:val="both"/>
              <w:rPr>
                <w:rFonts w:hint="eastAsia" w:ascii="微软雅黑" w:hAnsi="微软雅黑" w:cs="微软雅黑"/>
                <w:sz w:val="20"/>
                <w:szCs w:val="20"/>
                <w:lang w:val="en-US" w:eastAsia="zh-CN"/>
              </w:rPr>
            </w:pPr>
            <w:r>
              <w:rPr>
                <w:rFonts w:hint="eastAsia" w:ascii="微软雅黑" w:hAnsi="微软雅黑" w:cs="微软雅黑"/>
                <w:sz w:val="20"/>
                <w:szCs w:val="20"/>
                <w:lang w:val="en-US" w:eastAsia="zh-CN"/>
              </w:rPr>
              <w:t>6</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400" w:lineRule="exact"/>
              <w:rPr>
                <w:rFonts w:hint="eastAsia" w:ascii="微软雅黑" w:hAnsi="微软雅黑" w:eastAsia="微软雅黑" w:cs="微软雅黑"/>
                <w:color w:val="auto"/>
                <w:sz w:val="20"/>
                <w:szCs w:val="20"/>
                <w:lang w:eastAsia="zh-CN"/>
              </w:rPr>
            </w:pPr>
            <w:r>
              <w:rPr>
                <w:rFonts w:hint="eastAsia" w:ascii="微软雅黑" w:hAnsi="微软雅黑" w:eastAsia="微软雅黑" w:cs="微软雅黑"/>
                <w:color w:val="auto"/>
                <w:sz w:val="20"/>
                <w:szCs w:val="20"/>
                <w:lang w:eastAsia="zh-CN"/>
              </w:rPr>
              <w:t>投标人须为中华人民共和国境内注册并合法存续的法人或非法人组织</w:t>
            </w:r>
            <w:r>
              <w:rPr>
                <w:rFonts w:hint="eastAsia" w:ascii="微软雅黑" w:hAnsi="微软雅黑" w:cs="微软雅黑"/>
                <w:color w:val="auto"/>
                <w:sz w:val="20"/>
                <w:szCs w:val="20"/>
                <w:lang w:eastAsia="zh-CN"/>
              </w:rPr>
              <w:t>，提供营业执照复印件</w:t>
            </w:r>
            <w:r>
              <w:rPr>
                <w:rFonts w:hint="eastAsia" w:ascii="微软雅黑" w:hAnsi="微软雅黑" w:eastAsia="微软雅黑" w:cs="微软雅黑"/>
                <w:color w:val="auto"/>
                <w:sz w:val="20"/>
                <w:szCs w:val="20"/>
                <w:lang w:eastAsia="zh-CN"/>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auto"/>
                <w:sz w:val="20"/>
                <w:szCs w:val="20"/>
                <w:lang w:val="en-US" w:eastAsia="zh-CN"/>
              </w:rPr>
            </w:pPr>
            <w:r>
              <w:rPr>
                <w:rFonts w:hint="eastAsia" w:ascii="微软雅黑" w:hAnsi="微软雅黑" w:cs="微软雅黑"/>
                <w:color w:val="auto"/>
                <w:sz w:val="20"/>
                <w:szCs w:val="20"/>
                <w:lang w:val="en-US" w:eastAsia="zh-CN"/>
              </w:rPr>
              <w:t>7</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pacing w:after="0" w:line="360" w:lineRule="auto"/>
              <w:ind w:leftChars="0"/>
              <w:jc w:val="both"/>
              <w:rPr>
                <w:rFonts w:hint="default"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1"/>
                <w:szCs w:val="21"/>
                <w:lang w:val="hr-HR" w:eastAsia="zh-CN"/>
              </w:rPr>
              <w:t>投标人须为</w:t>
            </w:r>
            <w:r>
              <w:rPr>
                <w:rFonts w:hint="eastAsia" w:ascii="微软雅黑" w:hAnsi="微软雅黑" w:cs="微软雅黑"/>
                <w:color w:val="auto"/>
                <w:sz w:val="21"/>
                <w:szCs w:val="21"/>
                <w:lang w:val="hr-HR" w:eastAsia="zh-CN"/>
              </w:rPr>
              <w:t>所投</w:t>
            </w:r>
            <w:r>
              <w:rPr>
                <w:rFonts w:hint="eastAsia" w:ascii="微软雅黑" w:hAnsi="微软雅黑" w:eastAsia="微软雅黑" w:cs="微软雅黑"/>
                <w:color w:val="auto"/>
                <w:sz w:val="21"/>
                <w:szCs w:val="21"/>
                <w:lang w:val="hr-HR" w:eastAsia="zh-CN"/>
              </w:rPr>
              <w:t>货物的生产厂家（制造商），须提供《生产厂家（制造商）声明函》。</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auto"/>
                <w:sz w:val="20"/>
                <w:szCs w:val="20"/>
                <w:lang w:eastAsia="zh-CN"/>
              </w:rPr>
            </w:pPr>
            <w:r>
              <w:rPr>
                <w:rFonts w:hint="eastAsia" w:ascii="微软雅黑" w:hAnsi="微软雅黑" w:cs="微软雅黑"/>
                <w:color w:val="auto"/>
                <w:sz w:val="20"/>
                <w:szCs w:val="20"/>
                <w:lang w:val="en-US" w:eastAsia="zh-CN"/>
              </w:rPr>
              <w:t>8</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autoSpaceDN w:val="0"/>
              <w:adjustRightInd/>
              <w:spacing w:after="0" w:line="360" w:lineRule="auto"/>
              <w:jc w:val="both"/>
              <w:rPr>
                <w:rFonts w:hint="default"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1"/>
                <w:szCs w:val="21"/>
                <w:lang w:val="hr-HR" w:eastAsia="zh-CN"/>
              </w:rPr>
              <w:t>投标人具有投标截止日仍处于有效期内的所投货物使用的涂料获得地级市或以上人民政府卫生和计生部门颁发的《涉及饮用水卫生安全产品卫生许可批件》</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auto"/>
                <w:sz w:val="20"/>
                <w:szCs w:val="20"/>
                <w:lang w:eastAsia="zh-CN"/>
              </w:rPr>
            </w:pPr>
            <w:r>
              <w:rPr>
                <w:rFonts w:hint="eastAsia" w:ascii="微软雅黑" w:hAnsi="微软雅黑" w:cs="微软雅黑"/>
                <w:color w:val="auto"/>
                <w:sz w:val="20"/>
                <w:szCs w:val="20"/>
                <w:lang w:val="en-US" w:eastAsia="zh-CN"/>
              </w:rPr>
              <w:t>9</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投标人没有处于被责令停业或破产状态，且资产未被重组、接管和冻结，声明在经营活动及投标活动中三年内没有重大违法活动和涉嫌违规行为</w:t>
            </w:r>
            <w:r>
              <w:rPr>
                <w:rFonts w:hint="eastAsia" w:ascii="微软雅黑" w:hAnsi="微软雅黑" w:eastAsia="微软雅黑" w:cs="微软雅黑"/>
                <w:color w:val="auto"/>
                <w:sz w:val="20"/>
                <w:szCs w:val="20"/>
                <w:lang w:eastAsia="zh-CN"/>
              </w:rPr>
              <w:t>，提供相关声明文件</w:t>
            </w:r>
            <w:r>
              <w:rPr>
                <w:rFonts w:hint="eastAsia" w:ascii="微软雅黑" w:hAnsi="微软雅黑" w:eastAsia="微软雅黑" w:cs="微软雅黑"/>
                <w:color w:val="auto"/>
                <w:sz w:val="20"/>
                <w:szCs w:val="20"/>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8"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default" w:ascii="微软雅黑" w:hAnsi="微软雅黑" w:eastAsia="微软雅黑" w:cs="微软雅黑"/>
                <w:color w:val="auto"/>
                <w:sz w:val="20"/>
                <w:szCs w:val="20"/>
                <w:lang w:val="en-US" w:eastAsia="zh-CN"/>
              </w:rPr>
            </w:pPr>
            <w:r>
              <w:rPr>
                <w:rFonts w:hint="eastAsia" w:ascii="微软雅黑" w:hAnsi="微软雅黑" w:cs="微软雅黑"/>
                <w:color w:val="auto"/>
                <w:sz w:val="20"/>
                <w:szCs w:val="20"/>
                <w:lang w:val="en-US" w:eastAsia="zh-CN"/>
              </w:rPr>
              <w:t>10</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auto"/>
                <w:sz w:val="20"/>
                <w:szCs w:val="20"/>
                <w:lang w:eastAsia="zh-CN"/>
              </w:rPr>
            </w:pPr>
            <w:r>
              <w:rPr>
                <w:rFonts w:hint="eastAsia" w:ascii="微软雅黑" w:hAnsi="微软雅黑" w:eastAsia="微软雅黑" w:cs="微软雅黑"/>
                <w:color w:val="auto"/>
                <w:sz w:val="20"/>
                <w:szCs w:val="20"/>
                <w:highlight w:val="none"/>
                <w:lang w:eastAsia="zh-CN"/>
              </w:rPr>
              <w:t>投标人</w:t>
            </w:r>
            <w:r>
              <w:rPr>
                <w:rFonts w:hint="eastAsia" w:ascii="微软雅黑" w:hAnsi="微软雅黑" w:eastAsia="微软雅黑" w:cs="微软雅黑"/>
                <w:color w:val="auto"/>
                <w:sz w:val="20"/>
                <w:szCs w:val="20"/>
                <w:highlight w:val="none"/>
              </w:rPr>
              <w:t>未被列入“信用中国”网站(www.creditchina.gov.cn)记录失信被执行人或重大税收违法案件当事人名单，</w:t>
            </w:r>
            <w:r>
              <w:rPr>
                <w:rFonts w:hint="eastAsia" w:ascii="微软雅黑" w:hAnsi="微软雅黑" w:eastAsia="微软雅黑" w:cs="微软雅黑"/>
                <w:color w:val="auto"/>
                <w:sz w:val="20"/>
                <w:szCs w:val="20"/>
                <w:highlight w:val="none"/>
                <w:lang w:eastAsia="zh-CN"/>
              </w:rPr>
              <w:t>投标人</w:t>
            </w:r>
            <w:r>
              <w:rPr>
                <w:rFonts w:hint="eastAsia" w:ascii="微软雅黑" w:hAnsi="微软雅黑" w:eastAsia="微软雅黑" w:cs="微软雅黑"/>
                <w:color w:val="auto"/>
                <w:sz w:val="20"/>
                <w:szCs w:val="20"/>
                <w:highlight w:val="none"/>
              </w:rPr>
              <w:t>须提供《信用记录承诺函》附“信用中国”网站（www.creditchina.gov.cn）的信用记录查询结果截图并打印页面加盖公章（见</w:t>
            </w:r>
            <w:r>
              <w:rPr>
                <w:rFonts w:hint="eastAsia" w:ascii="微软雅黑" w:hAnsi="微软雅黑" w:eastAsia="微软雅黑" w:cs="微软雅黑"/>
                <w:color w:val="auto"/>
                <w:sz w:val="20"/>
                <w:szCs w:val="20"/>
                <w:highlight w:val="none"/>
                <w:lang w:eastAsia="zh-CN"/>
              </w:rPr>
              <w:t>格式</w:t>
            </w:r>
            <w:r>
              <w:rPr>
                <w:rFonts w:hint="eastAsia" w:ascii="微软雅黑" w:hAnsi="微软雅黑" w:eastAsia="微软雅黑" w:cs="微软雅黑"/>
                <w:color w:val="auto"/>
                <w:sz w:val="20"/>
                <w:szCs w:val="20"/>
                <w:highlight w:val="none"/>
                <w:lang w:val="en-US" w:eastAsia="zh-CN"/>
              </w:rPr>
              <w:t>14</w:t>
            </w:r>
            <w:r>
              <w:rPr>
                <w:rFonts w:hint="eastAsia" w:ascii="微软雅黑" w:hAnsi="微软雅黑" w:eastAsia="微软雅黑" w:cs="微软雅黑"/>
                <w:color w:val="auto"/>
                <w:sz w:val="20"/>
                <w:szCs w:val="20"/>
                <w:highlight w:val="none"/>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auto"/>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11</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rPr>
            </w:pPr>
            <w:r>
              <w:rPr>
                <w:rFonts w:hint="eastAsia" w:ascii="微软雅黑" w:hAnsi="微软雅黑" w:eastAsia="微软雅黑" w:cs="微软雅黑"/>
                <w:b/>
                <w:sz w:val="20"/>
                <w:szCs w:val="20"/>
              </w:rPr>
              <w:t>开标一览表、项目</w:t>
            </w:r>
            <w:r>
              <w:rPr>
                <w:rFonts w:hint="eastAsia" w:ascii="微软雅黑" w:hAnsi="微软雅黑" w:eastAsia="微软雅黑" w:cs="微软雅黑"/>
                <w:b/>
                <w:sz w:val="20"/>
                <w:szCs w:val="20"/>
                <w:lang w:eastAsia="zh-CN"/>
              </w:rPr>
              <w:t>报价</w:t>
            </w:r>
            <w:r>
              <w:rPr>
                <w:rFonts w:hint="eastAsia" w:ascii="微软雅黑" w:hAnsi="微软雅黑" w:eastAsia="微软雅黑" w:cs="微软雅黑"/>
                <w:b/>
                <w:sz w:val="20"/>
                <w:szCs w:val="20"/>
              </w:rPr>
              <w:t>明细表（见格式7）</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bottom w:val="single" w:color="auto" w:sz="6" w:space="0"/>
              <w:right w:val="single" w:color="auto" w:sz="6" w:space="0"/>
            </w:tcBorders>
            <w:shd w:val="clear" w:color="auto" w:fill="auto"/>
            <w:noWrap w:val="0"/>
            <w:vAlign w:val="center"/>
          </w:tcPr>
          <w:p>
            <w:pPr>
              <w:ind w:left="113" w:right="113"/>
              <w:jc w:val="center"/>
              <w:rPr>
                <w:rFonts w:hint="eastAsia" w:ascii="微软雅黑" w:hAnsi="微软雅黑" w:eastAsia="微软雅黑" w:cs="微软雅黑"/>
                <w:color w:val="auto"/>
                <w:sz w:val="20"/>
                <w:szCs w:val="20"/>
              </w:rPr>
            </w:pPr>
            <w:r>
              <w:rPr>
                <w:rFonts w:hint="eastAsia" w:ascii="微软雅黑" w:hAnsi="微软雅黑" w:eastAsia="微软雅黑" w:cs="微软雅黑"/>
                <w:b/>
                <w:color w:val="auto"/>
                <w:sz w:val="20"/>
                <w:szCs w:val="20"/>
              </w:rPr>
              <w:t>投标人应提交的技术文件（</w:t>
            </w:r>
            <w:r>
              <w:rPr>
                <w:rFonts w:hint="eastAsia" w:ascii="微软雅黑" w:hAnsi="微软雅黑" w:eastAsia="微软雅黑" w:cs="微软雅黑"/>
                <w:b/>
                <w:bCs/>
                <w:color w:val="auto"/>
                <w:sz w:val="20"/>
                <w:szCs w:val="20"/>
              </w:rPr>
              <w:t>加盖投标人公章</w:t>
            </w:r>
            <w:r>
              <w:rPr>
                <w:rFonts w:hint="eastAsia" w:ascii="微软雅黑" w:hAnsi="微软雅黑" w:eastAsia="微软雅黑" w:cs="微软雅黑"/>
                <w:b/>
                <w:color w:val="auto"/>
                <w:sz w:val="20"/>
                <w:szCs w:val="20"/>
              </w:rPr>
              <w:t>）</w:t>
            </w: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0"/>
              </w:numPr>
              <w:autoSpaceDN w:val="0"/>
              <w:adjustRightInd/>
              <w:snapToGrid/>
              <w:spacing w:after="0"/>
              <w:jc w:val="center"/>
              <w:rPr>
                <w:rFonts w:hint="eastAsia" w:ascii="微软雅黑" w:hAnsi="微软雅黑" w:eastAsia="微软雅黑" w:cs="微软雅黑"/>
                <w:color w:val="auto"/>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服务方案（见格式8）</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0"/>
              </w:numPr>
              <w:autoSpaceDN w:val="0"/>
              <w:adjustRightInd/>
              <w:snapToGrid/>
              <w:spacing w:after="0"/>
              <w:jc w:val="center"/>
              <w:rPr>
                <w:rFonts w:hint="eastAsia" w:ascii="微软雅黑" w:hAnsi="微软雅黑" w:eastAsia="微软雅黑" w:cs="微软雅黑"/>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投标人认为需要提供的其它说明和资料</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b/>
                <w:color w:val="000000"/>
                <w:sz w:val="20"/>
                <w:szCs w:val="20"/>
              </w:rPr>
              <w:t>投标人应提交的商务文件（</w:t>
            </w:r>
            <w:r>
              <w:rPr>
                <w:rFonts w:hint="eastAsia" w:ascii="微软雅黑" w:hAnsi="微软雅黑" w:eastAsia="微软雅黑" w:cs="微软雅黑"/>
                <w:b/>
                <w:bCs/>
                <w:sz w:val="20"/>
                <w:szCs w:val="20"/>
              </w:rPr>
              <w:t>加盖投标人公章</w:t>
            </w:r>
            <w:r>
              <w:rPr>
                <w:rFonts w:hint="eastAsia" w:ascii="微软雅黑" w:hAnsi="微软雅黑" w:eastAsia="微软雅黑" w:cs="微软雅黑"/>
                <w:b/>
                <w:color w:val="000000"/>
                <w:sz w:val="20"/>
                <w:szCs w:val="20"/>
              </w:rPr>
              <w:t>）</w:t>
            </w: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投标人基本情况表（见格式9）</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2</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both"/>
              <w:rPr>
                <w:rFonts w:hint="eastAsia" w:ascii="微软雅黑" w:hAnsi="微软雅黑" w:eastAsia="微软雅黑" w:cs="微软雅黑"/>
                <w:bCs/>
                <w:color w:val="auto"/>
                <w:sz w:val="20"/>
                <w:szCs w:val="20"/>
              </w:rPr>
            </w:pPr>
            <w:r>
              <w:rPr>
                <w:rFonts w:hint="eastAsia" w:ascii="微软雅黑" w:hAnsi="微软雅黑" w:cs="微软雅黑"/>
                <w:sz w:val="21"/>
                <w:szCs w:val="21"/>
              </w:rPr>
              <w:t>管理体系</w:t>
            </w:r>
            <w:r>
              <w:rPr>
                <w:rFonts w:hint="eastAsia" w:ascii="微软雅黑" w:hAnsi="微软雅黑" w:eastAsia="微软雅黑" w:cs="微软雅黑"/>
                <w:bCs/>
                <w:color w:val="auto"/>
                <w:sz w:val="20"/>
                <w:szCs w:val="20"/>
              </w:rPr>
              <w:t>（格式自定）</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3</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both"/>
              <w:rPr>
                <w:rFonts w:hint="eastAsia" w:ascii="微软雅黑" w:hAnsi="微软雅黑" w:eastAsia="微软雅黑" w:cs="微软雅黑"/>
                <w:bCs/>
                <w:color w:val="auto"/>
                <w:sz w:val="20"/>
                <w:szCs w:val="20"/>
              </w:rPr>
            </w:pPr>
            <w:r>
              <w:rPr>
                <w:rFonts w:hint="eastAsia" w:ascii="微软雅黑" w:hAnsi="微软雅黑" w:cs="微软雅黑"/>
                <w:sz w:val="21"/>
                <w:szCs w:val="21"/>
              </w:rPr>
              <w:t>制造资质</w:t>
            </w:r>
            <w:r>
              <w:rPr>
                <w:rFonts w:hint="eastAsia" w:ascii="微软雅黑" w:hAnsi="微软雅黑" w:eastAsia="微软雅黑" w:cs="微软雅黑"/>
                <w:bCs/>
                <w:color w:val="auto"/>
                <w:sz w:val="20"/>
                <w:szCs w:val="20"/>
              </w:rPr>
              <w:t>（格式自定）</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4</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both"/>
              <w:rPr>
                <w:rFonts w:hint="eastAsia" w:ascii="微软雅黑" w:hAnsi="微软雅黑" w:eastAsia="微软雅黑" w:cs="微软雅黑"/>
                <w:bCs/>
                <w:color w:val="auto"/>
                <w:sz w:val="20"/>
                <w:szCs w:val="20"/>
              </w:rPr>
            </w:pPr>
            <w:r>
              <w:rPr>
                <w:rFonts w:hint="eastAsia" w:ascii="微软雅黑" w:hAnsi="微软雅黑" w:cs="微软雅黑"/>
                <w:sz w:val="21"/>
                <w:szCs w:val="21"/>
              </w:rPr>
              <w:t>项目业绩</w:t>
            </w:r>
            <w:r>
              <w:rPr>
                <w:rFonts w:hint="eastAsia" w:ascii="微软雅黑" w:hAnsi="微软雅黑" w:eastAsia="微软雅黑" w:cs="微软雅黑"/>
                <w:bCs/>
                <w:color w:val="auto"/>
                <w:sz w:val="20"/>
                <w:szCs w:val="20"/>
              </w:rPr>
              <w:t>（格式自定）</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5</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用户需求响应一览表（见格式10）</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000000"/>
                <w:sz w:val="20"/>
                <w:szCs w:val="20"/>
                <w:lang w:val="en-US" w:eastAsia="zh-CN"/>
              </w:rPr>
            </w:pPr>
            <w:r>
              <w:rPr>
                <w:rFonts w:hint="eastAsia" w:ascii="微软雅黑" w:hAnsi="微软雅黑" w:cs="微软雅黑"/>
                <w:color w:val="000000"/>
                <w:sz w:val="20"/>
                <w:szCs w:val="20"/>
                <w:lang w:val="en-US" w:eastAsia="zh-CN"/>
              </w:rPr>
              <w:t>6</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宋体" w:cs="微软雅黑"/>
                <w:bCs/>
                <w:sz w:val="20"/>
                <w:szCs w:val="20"/>
                <w:lang w:eastAsia="zh-CN"/>
              </w:rPr>
            </w:pPr>
            <w:r>
              <w:rPr>
                <w:rFonts w:hint="eastAsia" w:ascii="微软雅黑" w:hAnsi="微软雅黑" w:eastAsia="微软雅黑" w:cs="微软雅黑"/>
                <w:b w:val="0"/>
                <w:bCs w:val="0"/>
                <w:sz w:val="20"/>
                <w:szCs w:val="20"/>
                <w:lang w:val="en-GB"/>
              </w:rPr>
              <w:t>实质性响应条款一览表</w:t>
            </w:r>
            <w:r>
              <w:rPr>
                <w:rFonts w:hint="eastAsia" w:ascii="微软雅黑" w:hAnsi="微软雅黑" w:eastAsia="微软雅黑" w:cs="微软雅黑"/>
                <w:b w:val="0"/>
                <w:bCs w:val="0"/>
                <w:sz w:val="20"/>
                <w:szCs w:val="20"/>
                <w:lang w:val="en-GB" w:eastAsia="zh-CN"/>
              </w:rPr>
              <w:t>（见格式</w:t>
            </w:r>
            <w:r>
              <w:rPr>
                <w:rFonts w:hint="eastAsia" w:ascii="微软雅黑" w:hAnsi="微软雅黑" w:eastAsia="微软雅黑" w:cs="微软雅黑"/>
                <w:b w:val="0"/>
                <w:bCs w:val="0"/>
                <w:sz w:val="20"/>
                <w:szCs w:val="20"/>
                <w:lang w:val="en-US" w:eastAsia="zh-CN"/>
              </w:rPr>
              <w:t>11</w:t>
            </w:r>
            <w:r>
              <w:rPr>
                <w:rFonts w:hint="eastAsia" w:ascii="微软雅黑" w:hAnsi="微软雅黑" w:eastAsia="微软雅黑" w:cs="微软雅黑"/>
                <w:b w:val="0"/>
                <w:bCs w:val="0"/>
                <w:sz w:val="20"/>
                <w:szCs w:val="20"/>
                <w:lang w:val="en-GB" w:eastAsia="zh-CN"/>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lang w:eastAsia="zh-CN"/>
              </w:rPr>
            </w:pPr>
            <w:r>
              <w:rPr>
                <w:rFonts w:hint="eastAsia" w:ascii="微软雅黑" w:hAnsi="微软雅黑" w:cs="微软雅黑"/>
                <w:sz w:val="20"/>
                <w:szCs w:val="20"/>
                <w:lang w:val="en-US" w:eastAsia="zh-CN"/>
              </w:rPr>
              <w:t>8</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退投标保证金说明（见格式1</w:t>
            </w:r>
            <w:r>
              <w:rPr>
                <w:rFonts w:hint="eastAsia" w:ascii="微软雅黑" w:hAnsi="微软雅黑" w:eastAsia="微软雅黑" w:cs="微软雅黑"/>
                <w:bCs/>
                <w:sz w:val="20"/>
                <w:szCs w:val="20"/>
                <w:lang w:val="en-US" w:eastAsia="zh-CN"/>
              </w:rPr>
              <w:t>2</w:t>
            </w:r>
            <w:r>
              <w:rPr>
                <w:rFonts w:hint="eastAsia" w:ascii="微软雅黑" w:hAnsi="微软雅黑" w:eastAsia="微软雅黑" w:cs="微软雅黑"/>
                <w:bCs/>
                <w:sz w:val="20"/>
                <w:szCs w:val="20"/>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default" w:ascii="微软雅黑" w:hAnsi="微软雅黑" w:cs="微软雅黑"/>
                <w:sz w:val="20"/>
                <w:szCs w:val="20"/>
                <w:lang w:val="en-US" w:eastAsia="zh-CN"/>
              </w:rPr>
            </w:pPr>
            <w:r>
              <w:rPr>
                <w:rFonts w:hint="eastAsia" w:ascii="微软雅黑" w:hAnsi="微软雅黑" w:cs="微软雅黑"/>
                <w:sz w:val="20"/>
                <w:szCs w:val="20"/>
                <w:lang w:val="en-US" w:eastAsia="zh-CN"/>
              </w:rPr>
              <w:t>8</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lang w:eastAsia="zh-CN"/>
              </w:rPr>
            </w:pPr>
            <w:r>
              <w:rPr>
                <w:rFonts w:hint="eastAsia" w:ascii="微软雅黑" w:hAnsi="微软雅黑" w:eastAsia="微软雅黑" w:cs="微软雅黑"/>
                <w:bCs/>
                <w:sz w:val="20"/>
                <w:szCs w:val="20"/>
                <w:lang w:eastAsia="zh-CN"/>
              </w:rPr>
              <w:t>信用记录承诺函（见格式</w:t>
            </w:r>
            <w:r>
              <w:rPr>
                <w:rFonts w:hint="eastAsia" w:ascii="微软雅黑" w:hAnsi="微软雅黑" w:eastAsia="微软雅黑" w:cs="微软雅黑"/>
                <w:bCs/>
                <w:sz w:val="20"/>
                <w:szCs w:val="20"/>
                <w:lang w:val="en-US" w:eastAsia="zh-CN"/>
              </w:rPr>
              <w:t>13</w:t>
            </w:r>
            <w:r>
              <w:rPr>
                <w:rFonts w:hint="eastAsia" w:ascii="微软雅黑" w:hAnsi="微软雅黑" w:eastAsia="微软雅黑" w:cs="微软雅黑"/>
                <w:bCs/>
                <w:sz w:val="20"/>
                <w:szCs w:val="20"/>
                <w:lang w:eastAsia="zh-CN"/>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bottom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lang w:eastAsia="zh-CN"/>
              </w:rPr>
            </w:pPr>
            <w:r>
              <w:rPr>
                <w:rFonts w:hint="eastAsia" w:ascii="微软雅黑" w:hAnsi="微软雅黑" w:cs="微软雅黑"/>
                <w:sz w:val="20"/>
                <w:szCs w:val="20"/>
                <w:lang w:val="en-US" w:eastAsia="zh-CN"/>
              </w:rPr>
              <w:t>9</w:t>
            </w:r>
          </w:p>
        </w:tc>
        <w:tc>
          <w:tcPr>
            <w:tcW w:w="5048"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投标人认为需要提供的其他商务资料</w:t>
            </w:r>
          </w:p>
        </w:tc>
        <w:tc>
          <w:tcPr>
            <w:tcW w:w="536"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12"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12"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bl>
    <w:p>
      <w:pPr>
        <w:adjustRightInd/>
        <w:spacing w:line="360" w:lineRule="auto"/>
        <w:rPr>
          <w:rFonts w:ascii="宋体" w:hAnsi="宋体"/>
          <w:b/>
          <w:szCs w:val="21"/>
        </w:rPr>
        <w:sectPr>
          <w:pgSz w:w="11906" w:h="16838"/>
          <w:pgMar w:top="1440" w:right="1080" w:bottom="1440" w:left="1080" w:header="657" w:footer="481" w:gutter="0"/>
          <w:cols w:space="720" w:num="1"/>
        </w:sectPr>
      </w:pPr>
    </w:p>
    <w:p>
      <w:pPr>
        <w:widowControl w:val="0"/>
        <w:numPr>
          <w:ilvl w:val="0"/>
          <w:numId w:val="11"/>
        </w:numPr>
        <w:autoSpaceDN w:val="0"/>
        <w:adjustRightInd/>
        <w:snapToGrid/>
        <w:spacing w:after="0" w:line="440" w:lineRule="exact"/>
        <w:jc w:val="both"/>
        <w:rPr>
          <w:rFonts w:ascii="黑体" w:eastAsia="黑体"/>
          <w:bCs/>
          <w:sz w:val="28"/>
        </w:rPr>
      </w:pPr>
      <w:r>
        <w:rPr>
          <w:rFonts w:hint="eastAsia" w:ascii="黑体" w:eastAsia="黑体"/>
          <w:bCs/>
          <w:sz w:val="28"/>
        </w:rPr>
        <w:t xml:space="preserve"> </w:t>
      </w:r>
    </w:p>
    <w:p>
      <w:pPr>
        <w:pStyle w:val="5"/>
        <w:adjustRightInd w:val="0"/>
        <w:snapToGrid w:val="0"/>
        <w:spacing w:before="120" w:beforeLines="50" w:after="120" w:afterLines="50" w:line="360" w:lineRule="auto"/>
        <w:jc w:val="center"/>
        <w:rPr>
          <w:b w:val="0"/>
        </w:rPr>
      </w:pPr>
      <w:bookmarkStart w:id="1138" w:name="_Toc453957428"/>
      <w:bookmarkStart w:id="1139" w:name="_Toc275865605"/>
      <w:r>
        <w:rPr>
          <w:rFonts w:hint="eastAsia"/>
          <w:b w:val="0"/>
        </w:rPr>
        <w:t>投</w:t>
      </w:r>
      <w:r>
        <w:rPr>
          <w:b w:val="0"/>
        </w:rPr>
        <w:t xml:space="preserve">  </w:t>
      </w:r>
      <w:r>
        <w:rPr>
          <w:rFonts w:hint="eastAsia"/>
          <w:b w:val="0"/>
        </w:rPr>
        <w:t>标</w:t>
      </w:r>
      <w:r>
        <w:rPr>
          <w:b w:val="0"/>
        </w:rPr>
        <w:t xml:space="preserve">  </w:t>
      </w:r>
      <w:r>
        <w:rPr>
          <w:rFonts w:hint="eastAsia"/>
          <w:b w:val="0"/>
        </w:rPr>
        <w:t>函</w:t>
      </w:r>
      <w:bookmarkEnd w:id="1138"/>
      <w:bookmarkEnd w:id="1139"/>
    </w:p>
    <w:p>
      <w:pPr>
        <w:spacing w:line="360" w:lineRule="auto"/>
        <w:ind w:left="110" w:leftChars="50" w:firstLine="2"/>
        <w:rPr>
          <w:rFonts w:ascii="宋体" w:hAnsi="宋体"/>
          <w:b/>
          <w:sz w:val="21"/>
          <w:szCs w:val="21"/>
        </w:rPr>
      </w:pPr>
      <w:r>
        <w:rPr>
          <w:rFonts w:hint="eastAsia" w:ascii="宋体" w:hAnsi="宋体"/>
          <w:b/>
          <w:sz w:val="21"/>
          <w:szCs w:val="21"/>
        </w:rPr>
        <w:t>致：广州宝诚招标代理咨询有限公司</w:t>
      </w:r>
    </w:p>
    <w:p>
      <w:pPr>
        <w:spacing w:line="360" w:lineRule="auto"/>
        <w:ind w:left="110" w:leftChars="50" w:firstLine="420" w:firstLineChars="200"/>
        <w:rPr>
          <w:rFonts w:ascii="宋体" w:hAnsi="宋体"/>
          <w:sz w:val="21"/>
          <w:szCs w:val="21"/>
        </w:rPr>
      </w:pPr>
      <w:r>
        <w:rPr>
          <w:rFonts w:hint="eastAsia" w:ascii="宋体" w:hAnsi="宋体"/>
          <w:sz w:val="21"/>
          <w:szCs w:val="21"/>
        </w:rPr>
        <w:t>我方确认收到贵方</w:t>
      </w:r>
      <w:r>
        <w:rPr>
          <w:rFonts w:hint="eastAsia" w:ascii="微软雅黑" w:hAnsi="微软雅黑" w:cs="微软雅黑"/>
          <w:bCs/>
          <w:sz w:val="21"/>
          <w:szCs w:val="21"/>
          <w:u w:val="single"/>
          <w:lang w:eastAsia="zh-CN"/>
        </w:rPr>
        <w:t>广州市增城自来水安装工程有限公司2021~2022年度阀门(大口径)采购项目</w:t>
      </w:r>
      <w:r>
        <w:rPr>
          <w:rFonts w:hint="eastAsia" w:ascii="宋体" w:hAnsi="宋体"/>
          <w:kern w:val="28"/>
          <w:sz w:val="21"/>
          <w:szCs w:val="21"/>
        </w:rPr>
        <w:t>服务内容</w:t>
      </w:r>
      <w:r>
        <w:rPr>
          <w:rFonts w:hint="eastAsia" w:ascii="宋体" w:hAnsi="宋体"/>
          <w:sz w:val="21"/>
          <w:szCs w:val="21"/>
        </w:rPr>
        <w:t>及相关服务的招标文件（项目编号：</w:t>
      </w:r>
      <w:r>
        <w:rPr>
          <w:rFonts w:hint="eastAsia" w:ascii="宋体" w:hAnsi="宋体"/>
          <w:sz w:val="21"/>
          <w:szCs w:val="21"/>
          <w:lang w:eastAsia="zh-CN"/>
        </w:rPr>
        <w:t>GZBC21HG08004</w:t>
      </w:r>
      <w:r>
        <w:rPr>
          <w:rFonts w:hint="eastAsia" w:ascii="宋体" w:hAnsi="宋体"/>
          <w:sz w:val="21"/>
          <w:szCs w:val="21"/>
        </w:rPr>
        <w:t>），</w:t>
      </w:r>
      <w:r>
        <w:rPr>
          <w:rFonts w:hint="eastAsia" w:ascii="宋体" w:hAnsi="宋体"/>
          <w:kern w:val="28"/>
          <w:sz w:val="21"/>
          <w:szCs w:val="21"/>
          <w:u w:val="single"/>
        </w:rPr>
        <w:t xml:space="preserve">   </w:t>
      </w:r>
      <w:r>
        <w:rPr>
          <w:rFonts w:hint="eastAsia" w:ascii="宋体" w:hAnsi="宋体"/>
          <w:sz w:val="21"/>
          <w:szCs w:val="21"/>
          <w:u w:val="single"/>
        </w:rPr>
        <w:t xml:space="preserve"> (投标人名称、地址)</w:t>
      </w:r>
      <w:r>
        <w:rPr>
          <w:rFonts w:hint="eastAsia" w:ascii="宋体" w:hAnsi="宋体"/>
          <w:kern w:val="28"/>
          <w:sz w:val="21"/>
          <w:szCs w:val="21"/>
          <w:u w:val="single"/>
        </w:rPr>
        <w:t xml:space="preserve">   </w:t>
      </w:r>
      <w:r>
        <w:rPr>
          <w:rFonts w:hint="eastAsia" w:ascii="宋体" w:hAnsi="宋体"/>
          <w:sz w:val="21"/>
          <w:szCs w:val="21"/>
        </w:rPr>
        <w:t>作为投标人已正式授权</w:t>
      </w:r>
      <w:r>
        <w:rPr>
          <w:rFonts w:hint="eastAsia" w:ascii="宋体" w:hAnsi="宋体"/>
          <w:kern w:val="28"/>
          <w:sz w:val="21"/>
          <w:szCs w:val="21"/>
          <w:u w:val="single"/>
        </w:rPr>
        <w:t xml:space="preserve">   </w:t>
      </w:r>
      <w:r>
        <w:rPr>
          <w:rFonts w:hint="eastAsia" w:ascii="宋体" w:hAnsi="宋体"/>
          <w:sz w:val="21"/>
          <w:szCs w:val="21"/>
          <w:u w:val="single"/>
        </w:rPr>
        <w:t xml:space="preserve"> (被投标人授权代表全名、职务)</w:t>
      </w:r>
      <w:r>
        <w:rPr>
          <w:rFonts w:hint="eastAsia" w:ascii="宋体" w:hAnsi="宋体"/>
          <w:kern w:val="28"/>
          <w:sz w:val="21"/>
          <w:szCs w:val="21"/>
          <w:u w:val="single"/>
        </w:rPr>
        <w:t xml:space="preserve">   </w:t>
      </w:r>
      <w:r>
        <w:rPr>
          <w:rFonts w:hint="eastAsia" w:ascii="宋体" w:hAnsi="宋体"/>
          <w:sz w:val="21"/>
          <w:szCs w:val="21"/>
        </w:rPr>
        <w:t>为我方签名代表，签名代表在此声明并同意：</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我们愿意遵守采购代理机构招标文件的各项规定，自愿参加投标, 并已清楚招标文件的要求及有关文件规定，并严格按照招标文件的规定履行全部责任和义务。</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我们同意本投标自投标截止之日起</w:t>
      </w:r>
      <w:r>
        <w:rPr>
          <w:rFonts w:hint="eastAsia" w:ascii="宋体" w:hAnsi="宋体"/>
          <w:b/>
          <w:sz w:val="21"/>
          <w:szCs w:val="21"/>
          <w:u w:val="single"/>
        </w:rPr>
        <w:t>90</w:t>
      </w:r>
      <w:r>
        <w:rPr>
          <w:rFonts w:hint="eastAsia" w:ascii="宋体" w:hAnsi="宋体"/>
          <w:b/>
          <w:sz w:val="21"/>
          <w:szCs w:val="21"/>
        </w:rPr>
        <w:t>天内有效。如果我们的投标被接受，则直至合同生效时止，本投标始终有效并不撤回已递交的投标文件。</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我们已经详细地阅读并完全明白了全部招标文件及附件，包括澄清（如有）及参考文件，我们完全理解本招标文件的要求，</w:t>
      </w:r>
      <w:r>
        <w:rPr>
          <w:rFonts w:hint="eastAsia" w:ascii="宋体"/>
          <w:b/>
          <w:sz w:val="21"/>
          <w:szCs w:val="21"/>
        </w:rPr>
        <w:t>我们同意放弃对招标文件提出不明或误解的一切权力</w:t>
      </w:r>
      <w:r>
        <w:rPr>
          <w:rFonts w:hint="eastAsia" w:ascii="宋体" w:hAnsi="宋体"/>
          <w:b/>
          <w:sz w:val="21"/>
          <w:szCs w:val="21"/>
        </w:rPr>
        <w:t>。</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我们同意提供招标采购单位与评标委员会要求的有关投标的一切数据或资料。</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我们理解招标采购单位与评标委员会并无义务必须接受最低报价的投标或其它任何投标，完全理解采购代理机构拒绝迟到的任何投标和最低投标报价不是被授予中标的唯一条件。</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 xml:space="preserve">如果我们未对招标文件全部要求作出实质性响应，则完全同意并接受按无效投标处理。 </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我们是依法注册的法人，在法律、财务及运作上完全独立于（采购人）和广州宝诚招标代理咨询有限公司（采购代理机构）。</w:t>
      </w:r>
    </w:p>
    <w:p>
      <w:pPr>
        <w:widowControl w:val="0"/>
        <w:numPr>
          <w:ilvl w:val="0"/>
          <w:numId w:val="12"/>
        </w:numPr>
        <w:autoSpaceDN w:val="0"/>
        <w:adjustRightInd/>
        <w:spacing w:after="0" w:line="360" w:lineRule="auto"/>
        <w:jc w:val="both"/>
        <w:rPr>
          <w:rFonts w:ascii="宋体" w:hAnsi="宋体"/>
          <w:b/>
          <w:sz w:val="21"/>
          <w:szCs w:val="21"/>
        </w:rPr>
      </w:pPr>
      <w:r>
        <w:rPr>
          <w:rFonts w:hint="eastAsia" w:ascii="宋体" w:hAnsi="宋体"/>
          <w:b/>
          <w:sz w:val="21"/>
          <w:szCs w:val="21"/>
        </w:rPr>
        <w:t xml:space="preserve">所有有关本次投标的函电请寄：  （投标人地址）     </w:t>
      </w:r>
    </w:p>
    <w:p>
      <w:pPr>
        <w:spacing w:line="360" w:lineRule="auto"/>
        <w:ind w:left="420" w:firstLine="310"/>
        <w:rPr>
          <w:rFonts w:ascii="宋体" w:hAnsi="宋体"/>
          <w:b/>
          <w:sz w:val="21"/>
          <w:szCs w:val="21"/>
        </w:rPr>
      </w:pPr>
      <w:r>
        <w:rPr>
          <w:rFonts w:hint="eastAsia" w:ascii="宋体" w:hAnsi="宋体"/>
          <w:b/>
          <w:sz w:val="21"/>
          <w:szCs w:val="21"/>
        </w:rPr>
        <w:t>备注：本投标函内容不得擅自删改，否则视为无效投标。（</w:t>
      </w:r>
      <w:r>
        <w:rPr>
          <w:rFonts w:hint="eastAsia"/>
          <w:b/>
          <w:sz w:val="21"/>
          <w:szCs w:val="21"/>
        </w:rPr>
        <w:t>此表须另附在开标小信封中。）</w:t>
      </w:r>
    </w:p>
    <w:p>
      <w:pPr>
        <w:spacing w:line="360" w:lineRule="auto"/>
        <w:rPr>
          <w:rFonts w:ascii="宋体" w:hAnsi="宋体"/>
          <w:b/>
          <w:sz w:val="21"/>
          <w:szCs w:val="21"/>
        </w:rPr>
      </w:pPr>
    </w:p>
    <w:p>
      <w:pPr>
        <w:spacing w:line="360" w:lineRule="auto"/>
        <w:ind w:left="504" w:leftChars="229" w:firstLine="210" w:firstLineChars="100"/>
        <w:rPr>
          <w:rFonts w:ascii="宋体" w:hAnsi="宋体"/>
          <w:sz w:val="21"/>
          <w:szCs w:val="21"/>
        </w:rPr>
      </w:pPr>
      <w:r>
        <w:rPr>
          <w:rFonts w:hint="eastAsia" w:ascii="宋体"/>
          <w:sz w:val="21"/>
          <w:szCs w:val="21"/>
        </w:rPr>
        <w:t>法定代表人或</w:t>
      </w:r>
      <w:r>
        <w:rPr>
          <w:rFonts w:hint="eastAsia" w:ascii="宋体" w:hAnsi="宋体"/>
          <w:sz w:val="21"/>
          <w:szCs w:val="21"/>
        </w:rPr>
        <w:t>投标人授权代表（签名或盖章）：</w:t>
      </w:r>
    </w:p>
    <w:p>
      <w:pPr>
        <w:spacing w:line="360" w:lineRule="auto"/>
        <w:ind w:left="504" w:leftChars="229" w:firstLine="210" w:firstLineChars="100"/>
        <w:rPr>
          <w:rFonts w:ascii="宋体"/>
          <w:sz w:val="21"/>
          <w:szCs w:val="21"/>
        </w:rPr>
      </w:pPr>
      <w:r>
        <w:rPr>
          <w:rFonts w:hint="eastAsia" w:ascii="宋体"/>
          <w:sz w:val="21"/>
          <w:szCs w:val="21"/>
        </w:rPr>
        <w:t xml:space="preserve">职务：                    </w:t>
      </w:r>
    </w:p>
    <w:p>
      <w:pPr>
        <w:spacing w:line="360" w:lineRule="auto"/>
        <w:ind w:left="504" w:leftChars="229" w:firstLine="210" w:firstLineChars="100"/>
        <w:rPr>
          <w:rFonts w:ascii="宋体"/>
          <w:sz w:val="21"/>
          <w:szCs w:val="21"/>
        </w:rPr>
      </w:pPr>
      <w:r>
        <w:rPr>
          <w:rFonts w:hint="eastAsia" w:ascii="宋体"/>
          <w:sz w:val="21"/>
          <w:szCs w:val="21"/>
        </w:rPr>
        <w:t xml:space="preserve">投标人名称:                         </w:t>
      </w:r>
    </w:p>
    <w:p>
      <w:pPr>
        <w:spacing w:line="360" w:lineRule="auto"/>
        <w:ind w:left="504" w:leftChars="229" w:firstLine="210" w:firstLineChars="100"/>
        <w:rPr>
          <w:rFonts w:ascii="宋体"/>
          <w:sz w:val="21"/>
          <w:szCs w:val="21"/>
        </w:rPr>
      </w:pPr>
      <w:r>
        <w:rPr>
          <w:rFonts w:hint="eastAsia" w:ascii="宋体"/>
          <w:sz w:val="21"/>
          <w:szCs w:val="21"/>
        </w:rPr>
        <w:t xml:space="preserve">投标人公章：           </w:t>
      </w:r>
    </w:p>
    <w:p>
      <w:pPr>
        <w:spacing w:line="360" w:lineRule="auto"/>
        <w:ind w:left="504" w:leftChars="229" w:firstLine="210" w:firstLineChars="100"/>
        <w:rPr>
          <w:rFonts w:ascii="宋体"/>
          <w:sz w:val="21"/>
          <w:szCs w:val="21"/>
        </w:rPr>
      </w:pPr>
      <w:r>
        <w:rPr>
          <w:rFonts w:hint="eastAsia" w:ascii="宋体"/>
          <w:sz w:val="21"/>
          <w:szCs w:val="21"/>
        </w:rPr>
        <w:t xml:space="preserve">电话：                传真：              邮编：   </w:t>
      </w:r>
    </w:p>
    <w:p>
      <w:pPr>
        <w:widowControl w:val="0"/>
        <w:autoSpaceDN w:val="0"/>
        <w:adjustRightInd/>
        <w:snapToGrid/>
        <w:spacing w:after="0" w:line="440" w:lineRule="exact"/>
        <w:jc w:val="both"/>
        <w:rPr>
          <w:b/>
        </w:rPr>
      </w:pPr>
      <w:r>
        <w:rPr>
          <w:rFonts w:hint="eastAsia" w:ascii="黑体" w:eastAsia="黑体"/>
          <w:bCs/>
          <w:sz w:val="28"/>
        </w:rPr>
        <w:br w:type="page"/>
      </w:r>
      <w:bookmarkStart w:id="1140" w:name="_Toc275865606"/>
      <w:bookmarkStart w:id="1141" w:name="_Toc453957429"/>
      <w:r>
        <w:rPr>
          <w:rFonts w:hint="eastAsia" w:ascii="黑体"/>
          <w:sz w:val="28"/>
        </w:rPr>
        <w:t>格式2</w:t>
      </w:r>
    </w:p>
    <w:bookmarkEnd w:id="1140"/>
    <w:bookmarkEnd w:id="1141"/>
    <w:p>
      <w:pPr>
        <w:pStyle w:val="5"/>
        <w:bidi w:val="0"/>
        <w:jc w:val="center"/>
        <w:rPr>
          <w:rFonts w:hint="eastAsia"/>
          <w:lang w:val="en-GB"/>
        </w:rPr>
      </w:pPr>
      <w:r>
        <w:rPr>
          <w:rFonts w:hint="eastAsia"/>
          <w:lang w:val="en-GB"/>
        </w:rPr>
        <w:t>资格声明</w:t>
      </w:r>
    </w:p>
    <w:p>
      <w:pPr>
        <w:spacing w:line="360" w:lineRule="auto"/>
        <w:rPr>
          <w:rFonts w:hint="eastAsia" w:ascii="微软雅黑" w:hAnsi="微软雅黑" w:eastAsia="微软雅黑" w:cs="微软雅黑"/>
          <w:b/>
          <w:iCs/>
          <w:sz w:val="21"/>
          <w:szCs w:val="21"/>
        </w:rPr>
      </w:pPr>
    </w:p>
    <w:p>
      <w:pPr>
        <w:spacing w:line="360" w:lineRule="auto"/>
        <w:rPr>
          <w:rFonts w:hint="eastAsia" w:ascii="微软雅黑" w:hAnsi="微软雅黑" w:eastAsia="微软雅黑" w:cs="微软雅黑"/>
          <w:sz w:val="21"/>
          <w:szCs w:val="21"/>
        </w:rPr>
      </w:pPr>
      <w:r>
        <w:rPr>
          <w:rFonts w:hint="eastAsia" w:ascii="微软雅黑" w:hAnsi="微软雅黑" w:cs="微软雅黑"/>
          <w:sz w:val="21"/>
          <w:szCs w:val="21"/>
          <w:lang w:eastAsia="zh-CN"/>
        </w:rPr>
        <w:t>广州宝诚招标代理咨询有限公司</w:t>
      </w:r>
      <w:r>
        <w:rPr>
          <w:rFonts w:hint="eastAsia" w:ascii="微软雅黑" w:hAnsi="微软雅黑" w:eastAsia="微软雅黑" w:cs="微软雅黑"/>
          <w:sz w:val="21"/>
          <w:szCs w:val="21"/>
        </w:rPr>
        <w:t>：</w:t>
      </w:r>
    </w:p>
    <w:p>
      <w:pPr>
        <w:spacing w:line="360" w:lineRule="auto"/>
        <w:ind w:firstLine="540"/>
        <w:rPr>
          <w:rFonts w:hint="eastAsia" w:ascii="微软雅黑" w:hAnsi="微软雅黑" w:eastAsia="微软雅黑" w:cs="微软雅黑"/>
          <w:sz w:val="21"/>
          <w:szCs w:val="21"/>
        </w:rPr>
      </w:pPr>
      <w:r>
        <w:rPr>
          <w:rFonts w:hint="eastAsia" w:ascii="微软雅黑" w:hAnsi="微软雅黑" w:eastAsia="微软雅黑" w:cs="微软雅黑"/>
          <w:sz w:val="21"/>
          <w:szCs w:val="21"/>
        </w:rPr>
        <w:t>下述投标人自愿响应贵方</w:t>
      </w:r>
      <w:r>
        <w:rPr>
          <w:rFonts w:hint="eastAsia" w:ascii="微软雅黑" w:hAnsi="微软雅黑" w:eastAsia="微软雅黑" w:cs="微软雅黑"/>
          <w:sz w:val="21"/>
          <w:szCs w:val="21"/>
          <w:u w:val="single"/>
        </w:rPr>
        <w:t>****</w:t>
      </w:r>
      <w:r>
        <w:rPr>
          <w:rFonts w:hint="eastAsia" w:ascii="微软雅黑" w:hAnsi="微软雅黑" w:eastAsia="微软雅黑" w:cs="微软雅黑"/>
          <w:sz w:val="21"/>
          <w:szCs w:val="21"/>
        </w:rPr>
        <w:t>（项目编号：####）招标邀请，参与本采购项目</w:t>
      </w:r>
      <w:r>
        <w:rPr>
          <w:rFonts w:hint="eastAsia" w:ascii="微软雅黑" w:hAnsi="微软雅黑" w:eastAsia="微软雅黑" w:cs="微软雅黑"/>
          <w:sz w:val="21"/>
          <w:szCs w:val="21"/>
          <w:lang w:val="af-ZA"/>
        </w:rPr>
        <w:t>的投标事宜</w:t>
      </w:r>
      <w:r>
        <w:rPr>
          <w:rFonts w:hint="eastAsia" w:ascii="微软雅黑" w:hAnsi="微软雅黑" w:eastAsia="微软雅黑" w:cs="微软雅黑"/>
          <w:sz w:val="21"/>
          <w:szCs w:val="21"/>
        </w:rPr>
        <w:t>，并按招标文件的要求提交所附资格文件且声明和保证如下：</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1.我方为本次采购所提交的所有证明其合格和资格的文件是真实的和正确的，并愿为其真实性和正确性承担法律责任；</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2.我方是依法注册的法人或非法人组织，具有独立承担民事责任的能力，提供以下相关证照的原件扫描件（见附件）之一：1.企业法人营业执照；2.事业法人登记证。在法律上、财务上和运作上完全独立于</w:t>
      </w:r>
      <w:r>
        <w:rPr>
          <w:rFonts w:hint="eastAsia" w:ascii="微软雅黑" w:hAnsi="微软雅黑" w:cs="微软雅黑"/>
          <w:sz w:val="21"/>
          <w:szCs w:val="21"/>
          <w:lang w:val="en-US" w:eastAsia="zh-CN"/>
        </w:rPr>
        <w:t>xxx</w:t>
      </w:r>
      <w:r>
        <w:rPr>
          <w:rFonts w:hint="eastAsia" w:ascii="微软雅黑" w:hAnsi="微软雅黑" w:eastAsia="微软雅黑" w:cs="微软雅黑"/>
          <w:sz w:val="21"/>
          <w:szCs w:val="21"/>
        </w:rPr>
        <w:t>；</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3.我方在参与投标活动中三年内没有重大违法活动及涉嫌违规行为，并没有因此而被有关部门警告或处分的记录。</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4.我方没有处于被责令停业或破产状态，且资产未被重组、接管和冻结。</w:t>
      </w:r>
    </w:p>
    <w:p>
      <w:pPr>
        <w:wordWrap w:val="0"/>
        <w:spacing w:line="360" w:lineRule="auto"/>
        <w:rPr>
          <w:rFonts w:hint="eastAsia" w:ascii="微软雅黑" w:hAnsi="微软雅黑" w:eastAsia="微软雅黑" w:cs="微软雅黑"/>
          <w:sz w:val="21"/>
          <w:szCs w:val="21"/>
        </w:rPr>
      </w:pPr>
    </w:p>
    <w:p>
      <w:pPr>
        <w:wordWrap w:val="0"/>
        <w:spacing w:line="360" w:lineRule="auto"/>
        <w:ind w:firstLine="645"/>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w:t>
      </w:r>
    </w:p>
    <w:p>
      <w:pPr>
        <w:wordWrap w:val="0"/>
        <w:spacing w:line="360" w:lineRule="auto"/>
        <w:ind w:firstLine="645"/>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w:t>
      </w:r>
    </w:p>
    <w:p>
      <w:pPr>
        <w:spacing w:line="360" w:lineRule="auto"/>
        <w:ind w:left="4455" w:leftChars="2025"/>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投标人名称（单位公章）：</w:t>
      </w:r>
    </w:p>
    <w:p>
      <w:pPr>
        <w:spacing w:line="360" w:lineRule="auto"/>
        <w:ind w:right="57" w:rightChars="26" w:firstLine="4410" w:firstLineChars="2100"/>
        <w:rPr>
          <w:rFonts w:hint="eastAsia" w:ascii="微软雅黑" w:hAnsi="微软雅黑" w:eastAsia="微软雅黑" w:cs="微软雅黑"/>
          <w:sz w:val="21"/>
          <w:szCs w:val="21"/>
        </w:rPr>
      </w:pPr>
      <w:r>
        <w:rPr>
          <w:rFonts w:hint="eastAsia" w:ascii="微软雅黑" w:hAnsi="微软雅黑" w:eastAsia="微软雅黑" w:cs="微软雅黑"/>
          <w:sz w:val="21"/>
          <w:szCs w:val="21"/>
        </w:rPr>
        <w:t>法定代表人/负责人/委托代理人（签字或盖章）：</w:t>
      </w:r>
    </w:p>
    <w:p>
      <w:pPr>
        <w:spacing w:line="360" w:lineRule="auto"/>
        <w:ind w:firstLine="4515" w:firstLineChars="2150"/>
        <w:rPr>
          <w:rFonts w:hint="eastAsia" w:ascii="微软雅黑" w:hAnsi="微软雅黑" w:eastAsia="微软雅黑" w:cs="微软雅黑"/>
          <w:sz w:val="21"/>
          <w:szCs w:val="21"/>
        </w:rPr>
      </w:pPr>
      <w:r>
        <w:rPr>
          <w:rFonts w:hint="eastAsia" w:ascii="微软雅黑" w:hAnsi="微软雅黑" w:eastAsia="微软雅黑" w:cs="微软雅黑"/>
          <w:sz w:val="21"/>
          <w:szCs w:val="21"/>
        </w:rPr>
        <w:t>日期：   年   月   日</w:t>
      </w:r>
    </w:p>
    <w:p>
      <w:pPr>
        <w:spacing w:line="360" w:lineRule="auto"/>
        <w:rPr>
          <w:rFonts w:asciiTheme="minorEastAsia" w:hAnsiTheme="minorEastAsia" w:eastAsiaTheme="minorEastAsia"/>
          <w:b/>
          <w:sz w:val="21"/>
          <w:szCs w:val="21"/>
        </w:rPr>
      </w:pPr>
    </w:p>
    <w:p>
      <w:pPr>
        <w:spacing w:line="360" w:lineRule="auto"/>
        <w:rPr>
          <w:rFonts w:ascii="黑体" w:eastAsia="黑体"/>
          <w:bCs/>
          <w:sz w:val="28"/>
        </w:rPr>
      </w:pPr>
      <w:r>
        <w:rPr>
          <w:rFonts w:hint="eastAsia" w:ascii="黑体" w:eastAsia="黑体"/>
          <w:bCs/>
          <w:sz w:val="28"/>
        </w:rPr>
        <w:t>格式3</w:t>
      </w:r>
    </w:p>
    <w:p>
      <w:pPr>
        <w:pStyle w:val="5"/>
        <w:adjustRightInd w:val="0"/>
        <w:snapToGrid w:val="0"/>
        <w:spacing w:before="120" w:beforeLines="50" w:after="120" w:afterLines="50" w:line="360" w:lineRule="auto"/>
        <w:jc w:val="center"/>
        <w:rPr>
          <w:b w:val="0"/>
        </w:rPr>
      </w:pPr>
      <w:r>
        <w:rPr>
          <w:rFonts w:hint="eastAsia"/>
          <w:b w:val="0"/>
        </w:rPr>
        <w:t>承</w:t>
      </w:r>
      <w:r>
        <w:rPr>
          <w:b w:val="0"/>
        </w:rPr>
        <w:t xml:space="preserve"> </w:t>
      </w:r>
      <w:r>
        <w:rPr>
          <w:rFonts w:hint="eastAsia"/>
          <w:b w:val="0"/>
        </w:rPr>
        <w:t>诺</w:t>
      </w:r>
      <w:r>
        <w:rPr>
          <w:b w:val="0"/>
        </w:rPr>
        <w:t xml:space="preserve"> </w:t>
      </w:r>
      <w:r>
        <w:rPr>
          <w:rFonts w:hint="eastAsia"/>
          <w:b w:val="0"/>
        </w:rPr>
        <w:t>函</w:t>
      </w:r>
    </w:p>
    <w:p>
      <w:pPr>
        <w:spacing w:line="360" w:lineRule="auto"/>
        <w:ind w:firstLine="700" w:firstLineChars="250"/>
        <w:rPr>
          <w:rFonts w:ascii="宋体" w:hAnsi="宋体"/>
          <w:sz w:val="28"/>
          <w:szCs w:val="28"/>
        </w:rPr>
      </w:pPr>
    </w:p>
    <w:p>
      <w:pPr>
        <w:spacing w:line="360" w:lineRule="auto"/>
        <w:ind w:firstLine="420" w:firstLineChars="200"/>
        <w:rPr>
          <w:rFonts w:ascii="宋体" w:hAnsi="宋体"/>
          <w:bCs/>
          <w:sz w:val="21"/>
          <w:szCs w:val="21"/>
        </w:rPr>
      </w:pPr>
      <w:r>
        <w:rPr>
          <w:rFonts w:hint="eastAsia" w:ascii="宋体" w:hAnsi="宋体"/>
          <w:bCs/>
          <w:sz w:val="21"/>
          <w:szCs w:val="21"/>
        </w:rPr>
        <w:t>本公司</w:t>
      </w:r>
      <w:r>
        <w:rPr>
          <w:rFonts w:hint="eastAsia" w:ascii="宋体" w:hAnsi="宋体"/>
          <w:bCs/>
          <w:sz w:val="21"/>
          <w:szCs w:val="21"/>
          <w:u w:val="single"/>
        </w:rPr>
        <w:t xml:space="preserve">                </w:t>
      </w:r>
      <w:r>
        <w:rPr>
          <w:rFonts w:hint="eastAsia" w:ascii="宋体" w:hAnsi="宋体"/>
          <w:bCs/>
          <w:sz w:val="21"/>
          <w:szCs w:val="21"/>
        </w:rPr>
        <w:t>（组织机构代码证号：</w:t>
      </w:r>
      <w:r>
        <w:rPr>
          <w:rFonts w:hint="eastAsia" w:ascii="宋体" w:hAnsi="宋体"/>
          <w:bCs/>
          <w:sz w:val="21"/>
          <w:szCs w:val="21"/>
          <w:u w:val="single"/>
        </w:rPr>
        <w:t xml:space="preserve">                    </w:t>
      </w:r>
      <w:r>
        <w:rPr>
          <w:rFonts w:hint="eastAsia" w:ascii="宋体" w:hAnsi="宋体"/>
          <w:bCs/>
          <w:sz w:val="21"/>
          <w:szCs w:val="21"/>
        </w:rPr>
        <w:t>）为</w:t>
      </w:r>
      <w:r>
        <w:rPr>
          <w:rFonts w:hint="eastAsia" w:ascii="宋体" w:hAnsi="宋体"/>
          <w:bCs/>
          <w:sz w:val="21"/>
          <w:szCs w:val="21"/>
          <w:u w:val="single"/>
        </w:rPr>
        <w:t xml:space="preserve">              </w:t>
      </w:r>
      <w:r>
        <w:rPr>
          <w:rFonts w:hint="eastAsia" w:ascii="宋体" w:hAnsi="宋体"/>
          <w:bCs/>
          <w:sz w:val="21"/>
          <w:szCs w:val="21"/>
        </w:rPr>
        <w:t>项目（交易编号：</w:t>
      </w:r>
      <w:r>
        <w:rPr>
          <w:rFonts w:hint="eastAsia" w:ascii="宋体" w:hAnsi="宋体"/>
          <w:bCs/>
          <w:sz w:val="21"/>
          <w:szCs w:val="21"/>
          <w:u w:val="single"/>
        </w:rPr>
        <w:t xml:space="preserve">             </w:t>
      </w:r>
      <w:r>
        <w:rPr>
          <w:rFonts w:hint="eastAsia" w:ascii="宋体" w:hAnsi="宋体"/>
          <w:bCs/>
          <w:sz w:val="21"/>
          <w:szCs w:val="21"/>
        </w:rPr>
        <w:t>）的投标人。如本公司被确认为该项目的供应方，承诺按采购方提交的合同版本来签署《采购合同》。</w:t>
      </w: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r>
        <w:rPr>
          <w:rFonts w:hint="eastAsia" w:ascii="宋体" w:hAnsi="宋体"/>
          <w:bCs/>
          <w:sz w:val="21"/>
          <w:szCs w:val="21"/>
        </w:rPr>
        <w:t>附件：《采购合同》</w:t>
      </w: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r>
        <w:rPr>
          <w:rFonts w:hint="eastAsia" w:ascii="宋体" w:hAnsi="宋体"/>
          <w:bCs/>
          <w:sz w:val="21"/>
          <w:szCs w:val="21"/>
        </w:rPr>
        <w:t xml:space="preserve">投标人（签章）：  </w:t>
      </w:r>
    </w:p>
    <w:p>
      <w:pPr>
        <w:spacing w:line="360" w:lineRule="auto"/>
        <w:ind w:firstLine="420" w:firstLineChars="200"/>
        <w:rPr>
          <w:rFonts w:ascii="宋体" w:hAnsi="宋体"/>
          <w:bCs/>
          <w:sz w:val="21"/>
          <w:szCs w:val="21"/>
        </w:rPr>
      </w:pPr>
      <w:r>
        <w:rPr>
          <w:rFonts w:hint="eastAsia" w:ascii="宋体" w:hAnsi="宋体"/>
          <w:bCs/>
          <w:sz w:val="21"/>
          <w:szCs w:val="21"/>
        </w:rPr>
        <w:t xml:space="preserve">                       </w:t>
      </w:r>
    </w:p>
    <w:p>
      <w:pPr>
        <w:spacing w:line="360" w:lineRule="auto"/>
        <w:ind w:firstLine="420" w:firstLineChars="200"/>
        <w:rPr>
          <w:rFonts w:ascii="宋体" w:hAnsi="宋体"/>
          <w:sz w:val="30"/>
          <w:szCs w:val="30"/>
        </w:rPr>
      </w:pPr>
      <w:r>
        <w:rPr>
          <w:rFonts w:hint="eastAsia" w:ascii="宋体" w:hAnsi="宋体"/>
          <w:bCs/>
          <w:sz w:val="21"/>
          <w:szCs w:val="21"/>
        </w:rPr>
        <w:t xml:space="preserve"> 年    月    日</w:t>
      </w:r>
    </w:p>
    <w:p>
      <w:pPr>
        <w:spacing w:line="360" w:lineRule="auto"/>
        <w:rPr>
          <w:rFonts w:ascii="黑体" w:eastAsia="黑体"/>
          <w:bCs/>
          <w:sz w:val="28"/>
        </w:rPr>
      </w:pPr>
      <w:r>
        <w:rPr>
          <w:sz w:val="21"/>
          <w:szCs w:val="21"/>
        </w:rPr>
        <w:br w:type="page"/>
      </w:r>
      <w:bookmarkStart w:id="1142" w:name="_Toc50737329"/>
      <w:bookmarkStart w:id="1143" w:name="_Toc50737297"/>
      <w:bookmarkStart w:id="1144" w:name="_Toc50691034"/>
      <w:bookmarkStart w:id="1145" w:name="_Toc50736477"/>
      <w:bookmarkStart w:id="1146" w:name="_Toc50736476"/>
      <w:bookmarkStart w:id="1147" w:name="_Toc275865607"/>
      <w:bookmarkStart w:id="1148" w:name="_Toc52165081"/>
      <w:bookmarkStart w:id="1149" w:name="_Toc52165080"/>
      <w:bookmarkStart w:id="1150" w:name="_Toc50737296"/>
      <w:bookmarkStart w:id="1151" w:name="_Toc50737328"/>
      <w:r>
        <w:rPr>
          <w:rFonts w:hint="eastAsia" w:ascii="黑体" w:eastAsia="黑体"/>
          <w:bCs/>
          <w:sz w:val="28"/>
        </w:rPr>
        <w:t>格式4</w:t>
      </w:r>
    </w:p>
    <w:p>
      <w:pPr>
        <w:pStyle w:val="5"/>
        <w:jc w:val="center"/>
        <w:rPr>
          <w:rFonts w:ascii="宋体" w:hAnsi="宋体"/>
          <w:b w:val="0"/>
          <w:sz w:val="36"/>
          <w:szCs w:val="36"/>
        </w:rPr>
      </w:pPr>
      <w:bookmarkStart w:id="1152" w:name="_Toc453957430"/>
      <w:r>
        <w:rPr>
          <w:rFonts w:hint="eastAsia"/>
          <w:b w:val="0"/>
        </w:rPr>
        <w:t>公平竞争承诺书</w:t>
      </w:r>
      <w:bookmarkEnd w:id="1152"/>
    </w:p>
    <w:p>
      <w:pPr>
        <w:spacing w:line="360" w:lineRule="auto"/>
        <w:ind w:firstLine="420" w:firstLineChars="200"/>
        <w:rPr>
          <w:sz w:val="21"/>
          <w:szCs w:val="21"/>
        </w:rPr>
      </w:pPr>
      <w:r>
        <w:rPr>
          <w:rFonts w:hint="eastAsia"/>
          <w:sz w:val="21"/>
          <w:szCs w:val="21"/>
        </w:rPr>
        <w:t>本公司郑重承诺：本公司保证所提交的相关资质文件和证明材料的真实性，有良好的历史诚信记录，并将依法参与</w:t>
      </w:r>
      <w:r>
        <w:rPr>
          <w:rFonts w:hint="eastAsia" w:ascii="微软雅黑" w:hAnsi="微软雅黑" w:cs="微软雅黑"/>
          <w:bCs/>
          <w:sz w:val="21"/>
          <w:szCs w:val="21"/>
          <w:lang w:eastAsia="zh-CN"/>
        </w:rPr>
        <w:t>广州市增城自来水安装工程有限公司2021~2022年度阀门(大口径)采购项目</w:t>
      </w:r>
      <w:r>
        <w:rPr>
          <w:rFonts w:hint="eastAsia"/>
          <w:sz w:val="21"/>
          <w:szCs w:val="21"/>
        </w:rPr>
        <w:t>的公平竞争，不以任何不正当行为谋取不当利益，否则承担相应的法律责任。</w:t>
      </w:r>
      <w:r>
        <w:rPr>
          <w:sz w:val="21"/>
          <w:szCs w:val="21"/>
        </w:rPr>
        <w:t xml:space="preserve">  </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right"/>
        <w:rPr>
          <w:sz w:val="21"/>
          <w:szCs w:val="21"/>
        </w:rPr>
      </w:pPr>
      <w:r>
        <w:rPr>
          <w:rFonts w:hint="eastAsia"/>
          <w:sz w:val="21"/>
          <w:szCs w:val="21"/>
        </w:rPr>
        <w:t>（公司名称，加盖公章）</w:t>
      </w:r>
    </w:p>
    <w:p>
      <w:pPr>
        <w:rPr>
          <w:b/>
          <w:sz w:val="21"/>
          <w:szCs w:val="21"/>
        </w:rPr>
      </w:pPr>
      <w:r>
        <w:rPr>
          <w:b/>
          <w:sz w:val="21"/>
          <w:szCs w:val="21"/>
        </w:rPr>
        <w:t xml:space="preserve"> </w:t>
      </w:r>
    </w:p>
    <w:p>
      <w:pPr>
        <w:rPr>
          <w:rFonts w:ascii="Arial" w:hAnsi="Arial" w:eastAsia="黑体"/>
          <w:bCs/>
          <w:kern w:val="2"/>
          <w:sz w:val="21"/>
          <w:szCs w:val="21"/>
        </w:rPr>
        <w:sectPr>
          <w:pgSz w:w="11906" w:h="16838"/>
          <w:pgMar w:top="1440" w:right="1080" w:bottom="1440" w:left="1080" w:header="657" w:footer="481" w:gutter="0"/>
          <w:cols w:space="720" w:num="1"/>
        </w:sectPr>
      </w:pPr>
    </w:p>
    <w:bookmarkEnd w:id="1142"/>
    <w:bookmarkEnd w:id="1143"/>
    <w:bookmarkEnd w:id="1144"/>
    <w:bookmarkEnd w:id="1145"/>
    <w:bookmarkEnd w:id="1146"/>
    <w:bookmarkEnd w:id="1147"/>
    <w:bookmarkEnd w:id="1148"/>
    <w:bookmarkEnd w:id="1149"/>
    <w:bookmarkEnd w:id="1150"/>
    <w:bookmarkEnd w:id="1151"/>
    <w:p>
      <w:pPr>
        <w:spacing w:line="440" w:lineRule="exact"/>
        <w:rPr>
          <w:b/>
        </w:rPr>
      </w:pPr>
      <w:r>
        <w:rPr>
          <w:rFonts w:hint="eastAsia" w:ascii="黑体" w:eastAsia="黑体"/>
          <w:bCs/>
          <w:sz w:val="28"/>
        </w:rPr>
        <w:t>格式5</w:t>
      </w:r>
    </w:p>
    <w:p>
      <w:pPr>
        <w:pStyle w:val="5"/>
        <w:adjustRightInd w:val="0"/>
        <w:snapToGrid w:val="0"/>
        <w:spacing w:before="120" w:beforeLines="50" w:after="120" w:afterLines="50" w:line="360" w:lineRule="auto"/>
        <w:jc w:val="center"/>
        <w:rPr>
          <w:b w:val="0"/>
        </w:rPr>
      </w:pPr>
      <w:bookmarkStart w:id="1153" w:name="_Toc453957431"/>
      <w:r>
        <w:rPr>
          <w:rFonts w:hint="eastAsia"/>
          <w:b w:val="0"/>
        </w:rPr>
        <w:t>法定代表人授权委托书</w:t>
      </w:r>
      <w:bookmarkEnd w:id="1153"/>
    </w:p>
    <w:p>
      <w:pPr>
        <w:pStyle w:val="11"/>
        <w:spacing w:line="360" w:lineRule="auto"/>
        <w:ind w:firstLine="420" w:firstLineChars="200"/>
      </w:pPr>
      <w:r>
        <w:rPr>
          <w:rFonts w:hint="eastAsia"/>
        </w:rPr>
        <w:t>本授权委托书声明：注册于</w:t>
      </w:r>
      <w:r>
        <w:rPr>
          <w:rFonts w:hint="eastAsia"/>
          <w:u w:val="single"/>
        </w:rPr>
        <w:t xml:space="preserve">    （投标人地址）  </w:t>
      </w:r>
      <w:r>
        <w:rPr>
          <w:rFonts w:hint="eastAsia"/>
        </w:rPr>
        <w:t>的</w:t>
      </w:r>
      <w:r>
        <w:rPr>
          <w:rFonts w:hint="eastAsia"/>
          <w:u w:val="single"/>
        </w:rPr>
        <w:t xml:space="preserve">  （投标人名称）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（项目名称、项目编号）   </w:t>
      </w:r>
      <w:r>
        <w:rPr>
          <w:rFonts w:hint="eastAsia"/>
        </w:rPr>
        <w:t>的招投标活动，采购合同的签订、执行、完成和售后服务，作为投标人代表以我方的名义处理一切与之有关的事务。</w:t>
      </w:r>
    </w:p>
    <w:p>
      <w:pPr>
        <w:pStyle w:val="11"/>
        <w:spacing w:line="360" w:lineRule="auto"/>
        <w:ind w:firstLine="420" w:firstLineChars="200"/>
      </w:pPr>
      <w:r>
        <w:rPr>
          <w:rFonts w:hint="eastAsia"/>
        </w:rPr>
        <w:t>被授权人（投标人授权代表）无转委托权限。</w:t>
      </w:r>
    </w:p>
    <w:p>
      <w:pPr>
        <w:spacing w:line="360" w:lineRule="auto"/>
        <w:ind w:firstLine="420" w:firstLineChars="200"/>
        <w:rPr>
          <w:rFonts w:ascii="宋体"/>
          <w:sz w:val="21"/>
          <w:szCs w:val="21"/>
        </w:rPr>
      </w:pPr>
      <w:r>
        <w:rPr>
          <w:rFonts w:hint="eastAsia" w:ascii="宋体"/>
          <w:sz w:val="21"/>
          <w:szCs w:val="21"/>
        </w:rPr>
        <w:t>本授权书自法定代表人签字之日起生效，特此声明。</w:t>
      </w:r>
    </w:p>
    <w:p>
      <w:pPr>
        <w:spacing w:line="480" w:lineRule="auto"/>
        <w:ind w:left="2" w:leftChars="1" w:firstLine="1365" w:firstLineChars="650"/>
        <w:rPr>
          <w:rFonts w:ascii="宋体" w:hAnsi="宋体"/>
          <w:sz w:val="21"/>
          <w:szCs w:val="21"/>
        </w:rPr>
      </w:pPr>
    </w:p>
    <w:p>
      <w:pPr>
        <w:spacing w:line="360" w:lineRule="auto"/>
        <w:rPr>
          <w:rFonts w:ascii="宋体"/>
          <w:b/>
          <w:sz w:val="21"/>
          <w:szCs w:val="21"/>
        </w:rPr>
      </w:pPr>
      <w:r>
        <w:rPr>
          <w:rFonts w:hint="eastAsia" w:ascii="宋体"/>
          <w:b/>
          <w:sz w:val="21"/>
          <w:szCs w:val="21"/>
        </w:rPr>
        <w:t>随附《法定代表人证明》</w:t>
      </w:r>
    </w:p>
    <w:p>
      <w:pPr>
        <w:spacing w:line="360" w:lineRule="auto"/>
        <w:rPr>
          <w:rFonts w:ascii="宋体"/>
          <w:sz w:val="21"/>
          <w:szCs w:val="21"/>
        </w:rPr>
      </w:pPr>
    </w:p>
    <w:p>
      <w:pPr>
        <w:spacing w:line="360" w:lineRule="auto"/>
        <w:rPr>
          <w:rFonts w:ascii="宋体"/>
          <w:sz w:val="21"/>
          <w:szCs w:val="21"/>
        </w:rPr>
      </w:pPr>
      <w:r>
        <w:rPr>
          <w:rFonts w:hint="eastAsia" w:ascii="宋体"/>
          <w:sz w:val="21"/>
          <w:szCs w:val="21"/>
        </w:rPr>
        <w:t>投标人名称（</w:t>
      </w:r>
      <w:r>
        <w:rPr>
          <w:rFonts w:hint="eastAsia" w:ascii="宋体" w:hAnsi="宋体"/>
          <w:sz w:val="21"/>
          <w:szCs w:val="21"/>
        </w:rPr>
        <w:t>盖</w:t>
      </w:r>
      <w:r>
        <w:rPr>
          <w:rFonts w:hint="eastAsia" w:ascii="宋体"/>
          <w:sz w:val="21"/>
          <w:szCs w:val="21"/>
        </w:rPr>
        <w:t>公章）：</w:t>
      </w:r>
    </w:p>
    <w:p>
      <w:pPr>
        <w:spacing w:line="360" w:lineRule="auto"/>
        <w:rPr>
          <w:rFonts w:ascii="宋体"/>
          <w:sz w:val="21"/>
          <w:szCs w:val="21"/>
        </w:rPr>
      </w:pPr>
      <w:r>
        <w:rPr>
          <w:rFonts w:hint="eastAsia" w:ascii="宋体"/>
          <w:sz w:val="21"/>
          <w:szCs w:val="21"/>
        </w:rPr>
        <w:t>地      址：</w:t>
      </w:r>
    </w:p>
    <w:p>
      <w:pPr>
        <w:tabs>
          <w:tab w:val="left" w:pos="3780"/>
        </w:tabs>
        <w:spacing w:line="360" w:lineRule="auto"/>
        <w:rPr>
          <w:rFonts w:ascii="宋体"/>
          <w:sz w:val="21"/>
          <w:szCs w:val="21"/>
        </w:rPr>
      </w:pPr>
      <w:r>
        <w:rPr>
          <w:rFonts w:hint="eastAsia" w:ascii="宋体"/>
          <w:sz w:val="21"/>
          <w:szCs w:val="21"/>
        </w:rPr>
        <w:t>法定代表人（签字或盖章）：                         签字日期：</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pPr>
        <w:spacing w:line="360" w:lineRule="auto"/>
        <w:ind w:left="1214" w:leftChars="552" w:firstLine="2261"/>
        <w:rPr>
          <w:rFonts w:ascii="宋体"/>
          <w:sz w:val="21"/>
          <w:szCs w:val="21"/>
        </w:rPr>
      </w:pPr>
    </w:p>
    <w:p>
      <w:pPr>
        <w:spacing w:line="360" w:lineRule="auto"/>
        <w:rPr>
          <w:rFonts w:ascii="宋体"/>
          <w:sz w:val="21"/>
          <w:szCs w:val="21"/>
        </w:rPr>
      </w:pPr>
      <w:r>
        <w:rPr>
          <w:rFonts w:hint="eastAsia"/>
          <w:sz w:val="21"/>
          <w:szCs w:val="21"/>
        </w:rPr>
        <w:t>被授权人（投标人授权代表）</w:t>
      </w:r>
      <w:r>
        <w:rPr>
          <w:rFonts w:hint="eastAsia" w:ascii="宋体"/>
          <w:sz w:val="21"/>
          <w:szCs w:val="21"/>
        </w:rPr>
        <w:t xml:space="preserve">（签字或盖章）： </w:t>
      </w:r>
    </w:p>
    <w:p>
      <w:pPr>
        <w:spacing w:line="360" w:lineRule="auto"/>
        <w:rPr>
          <w:rFonts w:ascii="宋体"/>
          <w:sz w:val="21"/>
          <w:szCs w:val="21"/>
        </w:rPr>
      </w:pPr>
      <w: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217170</wp:posOffset>
                </wp:positionV>
                <wp:extent cx="3086100" cy="1981200"/>
                <wp:effectExtent l="4445" t="5080" r="14605" b="13970"/>
                <wp:wrapNone/>
                <wp:docPr id="1" name="矩形 1"/>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680" w:firstLineChars="800"/>
                              <w:rPr>
                                <w:sz w:val="21"/>
                                <w:szCs w:val="21"/>
                              </w:rPr>
                            </w:pPr>
                            <w:r>
                              <w:rPr>
                                <w:rFonts w:hint="eastAsia"/>
                                <w:sz w:val="21"/>
                                <w:szCs w:val="21"/>
                              </w:rPr>
                              <w:t>（正面）</w:t>
                            </w:r>
                          </w:p>
                          <w:p/>
                        </w:txbxContent>
                      </wps:txbx>
                      <wps:bodyPr upright="1"/>
                    </wps:wsp>
                  </a:graphicData>
                </a:graphic>
              </wp:anchor>
            </w:drawing>
          </mc:Choice>
          <mc:Fallback>
            <w:pict>
              <v:rect id="_x0000_s1026" o:spid="_x0000_s1026" o:spt="1" style="position:absolute;left:0pt;margin-left:-1pt;margin-top:17.1pt;height:156pt;width:243pt;z-index:251660288;mso-width-relative:page;mso-height-relative:page;" fillcolor="#FFFFFF" filled="t" stroked="t" coordsize="21600,21600" o:gfxdata="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gNCZK1wAAAAkBAAAPAAAAAAAAAAEAIAAAACIAAABkcnMv&#10;ZG93bnJldi54bWxQSwECFAAUAAAACACHTuJAemfVywQCAAA4BAAADgAAAAAAAAABACAAAAAmAQAA&#10;ZHJzL2Uyb0RvYy54bWxQSwUGAAAAAAYABgBZAQAAnAUAAAAA&#10;">
                <v:fill on="t" focussize="0,0"/>
                <v:stroke color="#000000" joinstyle="miter"/>
                <v:imagedata o:title=""/>
                <o:lock v:ext="edit" aspectratio="f"/>
                <v:textbo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680" w:firstLineChars="800"/>
                        <w:rPr>
                          <w:sz w:val="21"/>
                          <w:szCs w:val="21"/>
                        </w:rPr>
                      </w:pPr>
                      <w:r>
                        <w:rPr>
                          <w:rFonts w:hint="eastAsia"/>
                          <w:sz w:val="21"/>
                          <w:szCs w:val="21"/>
                        </w:rPr>
                        <w:t>（正面）</w:t>
                      </w:r>
                    </w:p>
                    <w:p/>
                  </w:txbxContent>
                </v:textbox>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3274060</wp:posOffset>
                </wp:positionH>
                <wp:positionV relativeFrom="paragraph">
                  <wp:posOffset>217170</wp:posOffset>
                </wp:positionV>
                <wp:extent cx="3086100" cy="1981200"/>
                <wp:effectExtent l="4445" t="5080" r="14605" b="13970"/>
                <wp:wrapNone/>
                <wp:docPr id="2" name="矩形 2"/>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680" w:firstLineChars="800"/>
                              <w:rPr>
                                <w:sz w:val="21"/>
                                <w:szCs w:val="21"/>
                              </w:rPr>
                            </w:pPr>
                          </w:p>
                          <w:p>
                            <w:pPr>
                              <w:ind w:firstLine="1680" w:firstLineChars="800"/>
                              <w:rPr>
                                <w:sz w:val="21"/>
                                <w:szCs w:val="21"/>
                              </w:rPr>
                            </w:pPr>
                            <w:r>
                              <w:rPr>
                                <w:rFonts w:hint="eastAsia"/>
                                <w:sz w:val="21"/>
                                <w:szCs w:val="21"/>
                              </w:rPr>
                              <w:t>（反面）</w:t>
                            </w:r>
                          </w:p>
                          <w:p/>
                        </w:txbxContent>
                      </wps:txbx>
                      <wps:bodyPr upright="1"/>
                    </wps:wsp>
                  </a:graphicData>
                </a:graphic>
              </wp:anchor>
            </w:drawing>
          </mc:Choice>
          <mc:Fallback>
            <w:pict>
              <v:rect id="_x0000_s1026" o:spid="_x0000_s1026" o:spt="1" style="position:absolute;left:0pt;margin-left:257.8pt;margin-top:17.1pt;height:156pt;width:243pt;z-index:251661312;mso-width-relative:page;mso-height-relative:page;" fillcolor="#FFFFFF" filled="t" stroked="t" coordsize="21600,21600" o:gfxdata="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Wmez81wAAAAsBAAAPAAAAAAAAAAEAIAAAACIAAABkcnMv&#10;ZG93bnJldi54bWxQSwECFAAUAAAACACHTuJAi6ZlbQQCAAA4BAAADgAAAAAAAAABACAAAAAmAQAA&#10;ZHJzL2Uyb0RvYy54bWxQSwUGAAAAAAYABgBZAQAAnAUAAAAA&#10;">
                <v:fill on="t" focussize="0,0"/>
                <v:stroke color="#000000" joinstyle="miter"/>
                <v:imagedata o:title=""/>
                <o:lock v:ext="edit" aspectratio="f"/>
                <v:textbo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680" w:firstLineChars="800"/>
                        <w:rPr>
                          <w:sz w:val="21"/>
                          <w:szCs w:val="21"/>
                        </w:rPr>
                      </w:pPr>
                    </w:p>
                    <w:p>
                      <w:pPr>
                        <w:ind w:firstLine="1680" w:firstLineChars="800"/>
                        <w:rPr>
                          <w:sz w:val="21"/>
                          <w:szCs w:val="21"/>
                        </w:rPr>
                      </w:pPr>
                      <w:r>
                        <w:rPr>
                          <w:rFonts w:hint="eastAsia"/>
                          <w:sz w:val="21"/>
                          <w:szCs w:val="21"/>
                        </w:rPr>
                        <w:t>（反面）</w:t>
                      </w:r>
                    </w:p>
                    <w:p/>
                  </w:txbxContent>
                </v:textbox>
              </v:rect>
            </w:pict>
          </mc:Fallback>
        </mc:AlternateContent>
      </w:r>
    </w:p>
    <w:p>
      <w:pPr>
        <w:spacing w:line="440" w:lineRule="exact"/>
        <w:rPr>
          <w:rFonts w:ascii="黑体" w:eastAsia="黑体"/>
          <w:sz w:val="21"/>
          <w:szCs w:val="21"/>
        </w:rPr>
      </w:pPr>
      <w:bookmarkStart w:id="1154" w:name="_Toc226217114"/>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360" w:lineRule="auto"/>
        <w:rPr>
          <w:rFonts w:ascii="宋体" w:hAnsi="宋体"/>
          <w:sz w:val="21"/>
          <w:szCs w:val="21"/>
        </w:rPr>
      </w:pPr>
      <w:r>
        <w:rPr>
          <w:rFonts w:hint="eastAsia" w:ascii="宋体" w:hAnsi="宋体"/>
          <w:sz w:val="21"/>
          <w:szCs w:val="21"/>
        </w:rPr>
        <w:t>说明：</w:t>
      </w:r>
    </w:p>
    <w:p>
      <w:pPr>
        <w:spacing w:line="360" w:lineRule="auto"/>
        <w:rPr>
          <w:rFonts w:ascii="宋体" w:hAnsi="宋体"/>
          <w:sz w:val="21"/>
          <w:szCs w:val="21"/>
        </w:rPr>
      </w:pPr>
      <w:r>
        <w:rPr>
          <w:rFonts w:hint="eastAsia" w:ascii="宋体" w:hAnsi="宋体"/>
          <w:sz w:val="21"/>
          <w:szCs w:val="21"/>
        </w:rPr>
        <w:t>1．法定代表人亲自签署《投标函》并亲自参加投标的，则无需提交本《法定代表人授权委托书》文件。</w:t>
      </w:r>
    </w:p>
    <w:p>
      <w:pPr>
        <w:spacing w:line="360" w:lineRule="auto"/>
        <w:ind w:left="315" w:hanging="315" w:hangingChars="150"/>
        <w:rPr>
          <w:rFonts w:ascii="宋体" w:hAnsi="宋体"/>
          <w:sz w:val="21"/>
          <w:szCs w:val="21"/>
        </w:rPr>
      </w:pPr>
      <w:r>
        <w:rPr>
          <w:rFonts w:hint="eastAsia" w:ascii="宋体" w:hAnsi="宋体"/>
          <w:sz w:val="21"/>
          <w:szCs w:val="21"/>
        </w:rPr>
        <w:t>2．《投标函》由委托代理人签署的，则须提交有单位公章、法定代表人的亲笔签名或盖章、被授权人的亲笔签名或盖章的本文件，三者缺一不可。</w:t>
      </w:r>
    </w:p>
    <w:p>
      <w:pPr>
        <w:adjustRightInd/>
        <w:spacing w:line="440" w:lineRule="exact"/>
        <w:jc w:val="both"/>
        <w:rPr>
          <w:rFonts w:ascii="黑体" w:eastAsia="黑体"/>
        </w:rPr>
      </w:pPr>
      <w:r>
        <w:rPr>
          <w:rFonts w:hint="eastAsia" w:ascii="宋体" w:hAnsi="宋体"/>
          <w:sz w:val="21"/>
          <w:szCs w:val="21"/>
        </w:rPr>
        <w:br w:type="page"/>
      </w:r>
      <w:bookmarkEnd w:id="1154"/>
      <w:r>
        <w:rPr>
          <w:rFonts w:hint="eastAsia" w:ascii="黑体" w:eastAsia="黑体"/>
          <w:bCs/>
          <w:sz w:val="28"/>
        </w:rPr>
        <w:t>格式6</w:t>
      </w:r>
    </w:p>
    <w:p>
      <w:pPr>
        <w:pStyle w:val="5"/>
        <w:adjustRightInd w:val="0"/>
        <w:snapToGrid w:val="0"/>
        <w:spacing w:before="120" w:beforeLines="50" w:after="120" w:afterLines="50" w:line="360" w:lineRule="auto"/>
        <w:jc w:val="center"/>
        <w:rPr>
          <w:b w:val="0"/>
        </w:rPr>
      </w:pPr>
      <w:bookmarkStart w:id="1155" w:name="_Toc275865608"/>
      <w:bookmarkStart w:id="1156" w:name="_Toc453957432"/>
      <w:r>
        <w:rPr>
          <w:rFonts w:hint="eastAsia"/>
          <w:b w:val="0"/>
        </w:rPr>
        <w:t>法定代表人证明书</w:t>
      </w:r>
      <w:bookmarkEnd w:id="1155"/>
      <w:bookmarkEnd w:id="1156"/>
    </w:p>
    <w:p>
      <w:pPr>
        <w:tabs>
          <w:tab w:val="left" w:pos="900"/>
        </w:tabs>
        <w:spacing w:line="480" w:lineRule="auto"/>
        <w:ind w:firstLine="945" w:firstLineChars="450"/>
        <w:rPr>
          <w:rFonts w:ascii="宋体" w:hAnsi="宋体"/>
          <w:sz w:val="21"/>
          <w:szCs w:val="21"/>
        </w:rPr>
      </w:pPr>
      <w:r>
        <w:rPr>
          <w:rFonts w:hint="eastAsia" w:ascii="宋体" w:hAnsi="宋体"/>
          <w:sz w:val="21"/>
          <w:szCs w:val="21"/>
        </w:rPr>
        <w:t>______________同志，现任我单位</w:t>
      </w:r>
      <w:r>
        <w:rPr>
          <w:rFonts w:hint="eastAsia" w:ascii="宋体" w:hAnsi="宋体"/>
          <w:sz w:val="21"/>
          <w:szCs w:val="21"/>
          <w:u w:val="single"/>
        </w:rPr>
        <w:t xml:space="preserve">         </w:t>
      </w:r>
      <w:r>
        <w:rPr>
          <w:rFonts w:hint="eastAsia" w:ascii="宋体" w:hAnsi="宋体"/>
          <w:sz w:val="21"/>
          <w:szCs w:val="21"/>
        </w:rPr>
        <w:t>职务，为法定代表人，特此证明。</w:t>
      </w:r>
    </w:p>
    <w:p>
      <w:pPr>
        <w:spacing w:line="480" w:lineRule="auto"/>
        <w:ind w:firstLine="420" w:firstLineChars="200"/>
        <w:rPr>
          <w:rFonts w:ascii="宋体" w:hAnsi="宋体"/>
          <w:sz w:val="21"/>
          <w:szCs w:val="21"/>
        </w:rPr>
      </w:pPr>
      <w:r>
        <w:rPr>
          <w:rFonts w:hint="eastAsia" w:ascii="宋体" w:hAnsi="宋体"/>
          <w:sz w:val="21"/>
          <w:szCs w:val="21"/>
        </w:rPr>
        <w:t>有效日期与本公司投标文件中标注的投标有效期相同。签发日期：</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pPr>
        <w:spacing w:line="480" w:lineRule="auto"/>
        <w:ind w:firstLine="420" w:firstLineChars="200"/>
        <w:rPr>
          <w:rFonts w:ascii="宋体" w:hAnsi="宋体"/>
          <w:sz w:val="21"/>
          <w:szCs w:val="21"/>
        </w:rPr>
      </w:pPr>
      <w:r>
        <w:rPr>
          <w:rFonts w:hint="eastAsia" w:ascii="宋体" w:hAnsi="宋体"/>
          <w:sz w:val="21"/>
          <w:szCs w:val="21"/>
        </w:rPr>
        <w:t>附：</w:t>
      </w:r>
    </w:p>
    <w:p>
      <w:pPr>
        <w:spacing w:line="480" w:lineRule="auto"/>
        <w:ind w:firstLine="840" w:firstLineChars="400"/>
        <w:rPr>
          <w:rFonts w:ascii="宋体" w:hAnsi="宋体"/>
          <w:sz w:val="21"/>
          <w:szCs w:val="21"/>
        </w:rPr>
      </w:pPr>
      <w:r>
        <w:rPr>
          <w:rFonts w:hint="eastAsia" w:ascii="宋体" w:hAnsi="宋体"/>
          <w:sz w:val="21"/>
          <w:szCs w:val="21"/>
        </w:rPr>
        <w:t xml:space="preserve">营业执照（注册号）：                       </w:t>
      </w:r>
    </w:p>
    <w:p>
      <w:pPr>
        <w:spacing w:line="480" w:lineRule="auto"/>
        <w:ind w:firstLine="840" w:firstLineChars="400"/>
        <w:rPr>
          <w:rFonts w:ascii="宋体" w:hAnsi="宋体"/>
          <w:sz w:val="21"/>
          <w:szCs w:val="21"/>
        </w:rPr>
      </w:pPr>
      <w:r>
        <w:rPr>
          <w:rFonts w:hint="eastAsia" w:ascii="宋体" w:hAnsi="宋体"/>
          <w:sz w:val="21"/>
          <w:szCs w:val="21"/>
        </w:rPr>
        <w:t>经济性质：</w:t>
      </w:r>
    </w:p>
    <w:p>
      <w:pPr>
        <w:spacing w:line="480" w:lineRule="auto"/>
        <w:ind w:firstLine="840" w:firstLineChars="400"/>
        <w:rPr>
          <w:rFonts w:ascii="宋体" w:hAnsi="宋体"/>
          <w:sz w:val="21"/>
          <w:szCs w:val="21"/>
        </w:rPr>
      </w:pPr>
      <w:r>
        <w:rPr>
          <w:rFonts w:hint="eastAsia" w:ascii="宋体" w:hAnsi="宋体"/>
          <w:sz w:val="21"/>
          <w:szCs w:val="21"/>
        </w:rPr>
        <w:t>主营（产）：</w:t>
      </w:r>
    </w:p>
    <w:p>
      <w:pPr>
        <w:spacing w:line="480" w:lineRule="auto"/>
        <w:ind w:firstLine="840" w:firstLineChars="400"/>
        <w:rPr>
          <w:rFonts w:ascii="宋体" w:hAnsi="宋体"/>
          <w:sz w:val="21"/>
          <w:szCs w:val="21"/>
        </w:rPr>
      </w:pPr>
      <w:r>
        <w:rPr>
          <w:rFonts w:hint="eastAsia" w:ascii="宋体" w:hAnsi="宋体"/>
          <w:sz w:val="21"/>
          <w:szCs w:val="21"/>
        </w:rPr>
        <w:t>兼营（产）：</w:t>
      </w:r>
    </w:p>
    <w:p>
      <w:pPr>
        <w:spacing w:line="480" w:lineRule="auto"/>
        <w:ind w:firstLine="880" w:firstLineChars="400"/>
        <w:rPr>
          <w:rFonts w:ascii="宋体" w:hAnsi="宋体"/>
          <w:sz w:val="21"/>
          <w:szCs w:val="21"/>
        </w:rPr>
      </w:pPr>
      <w:r>
        <mc:AlternateContent>
          <mc:Choice Requires="wps">
            <w:drawing>
              <wp:anchor distT="0" distB="0" distL="114300" distR="114300" simplePos="0" relativeHeight="251662336" behindDoc="0" locked="0" layoutInCell="1" allowOverlap="1">
                <wp:simplePos x="0" y="0"/>
                <wp:positionH relativeFrom="column">
                  <wp:posOffset>43180</wp:posOffset>
                </wp:positionH>
                <wp:positionV relativeFrom="paragraph">
                  <wp:posOffset>243840</wp:posOffset>
                </wp:positionV>
                <wp:extent cx="3086100" cy="1882140"/>
                <wp:effectExtent l="4445" t="4445" r="14605" b="18415"/>
                <wp:wrapNone/>
                <wp:docPr id="8" name="矩形 8"/>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rPr>
                                <w:sz w:val="21"/>
                                <w:szCs w:val="21"/>
                              </w:rPr>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（正面）</w:t>
                            </w:r>
                          </w:p>
                          <w:p>
                            <w:pPr>
                              <w:ind w:firstLine="1100" w:firstLineChars="500"/>
                            </w:pPr>
                          </w:p>
                        </w:txbxContent>
                      </wps:txbx>
                      <wps:bodyPr upright="1"/>
                    </wps:wsp>
                  </a:graphicData>
                </a:graphic>
              </wp:anchor>
            </w:drawing>
          </mc:Choice>
          <mc:Fallback>
            <w:pict>
              <v:rect id="_x0000_s1026" o:spid="_x0000_s1026" o:spt="1" style="position:absolute;left:0pt;margin-left:3.4pt;margin-top:19.2pt;height:148.2pt;width:243pt;z-index:251662336;mso-width-relative:page;mso-height-relative:page;" fillcolor="#FFFFFF" filled="t" stroked="t" coordsize="21600,21600" o:gfxdata="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&#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753I1gAAAAgBAAAPAAAAAAAAAAEAIAAAACIAAABk&#10;cnMvZG93bnJldi54bWxQSwECFAAUAAAACACHTuJAUBnk1ggCAAA4BAAADgAAAAAAAAABACAAAAAl&#10;AQAAZHJzL2Uyb0RvYy54bWxQSwUGAAAAAAYABgBZAQAAnwUAAAAA&#10;">
                <v:fill on="t" focussize="0,0"/>
                <v:stroke color="#000000" joinstyle="miter"/>
                <v:imagedata o:title=""/>
                <o:lock v:ext="edit" aspectratio="f"/>
                <v:textbox>
                  <w:txbxContent>
                    <w:p>
                      <w:pPr>
                        <w:ind w:firstLine="840" w:firstLineChars="400"/>
                        <w:rPr>
                          <w:sz w:val="21"/>
                          <w:szCs w:val="21"/>
                        </w:rPr>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（正面）</w:t>
                      </w:r>
                    </w:p>
                    <w:p>
                      <w:pPr>
                        <w:ind w:firstLine="1100" w:firstLineChars="500"/>
                      </w:pPr>
                    </w:p>
                  </w:txbxContent>
                </v:textbox>
              </v:rect>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3295650</wp:posOffset>
                </wp:positionH>
                <wp:positionV relativeFrom="paragraph">
                  <wp:posOffset>243840</wp:posOffset>
                </wp:positionV>
                <wp:extent cx="3086100" cy="1882140"/>
                <wp:effectExtent l="4445" t="4445" r="14605" b="18415"/>
                <wp:wrapNone/>
                <wp:docPr id="9" name="矩形 9"/>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80" w:firstLineChars="400"/>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（反面）</w:t>
                            </w:r>
                          </w:p>
                          <w:p>
                            <w:pPr>
                              <w:ind w:firstLine="1100" w:firstLineChars="500"/>
                            </w:pPr>
                          </w:p>
                        </w:txbxContent>
                      </wps:txbx>
                      <wps:bodyPr upright="1"/>
                    </wps:wsp>
                  </a:graphicData>
                </a:graphic>
              </wp:anchor>
            </w:drawing>
          </mc:Choice>
          <mc:Fallback>
            <w:pict>
              <v:rect id="_x0000_s1026" o:spid="_x0000_s1026" o:spt="1" style="position:absolute;left:0pt;margin-left:259.5pt;margin-top:19.2pt;height:148.2pt;width:243pt;z-index:251663360;mso-width-relative:page;mso-height-relative:page;" fillcolor="#FFFFFF" filled="t" stroked="t" coordsize="21600,21600" o:gfxdata="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UInS9kAAAALAQAADwAAAAAAAAABACAAAAAi&#10;AAAAZHJzL2Rvd25yZXYueG1sUEsBAhQAFAAAAAgAh07iQMBbWwIJAgAAOAQAAA4AAAAAAAAAAQAg&#10;AAAAKAEAAGRycy9lMm9Eb2MueG1sUEsFBgAAAAAGAAYAWQEAAKMFAAAAAA==&#10;">
                <v:fill on="t" focussize="0,0"/>
                <v:stroke color="#000000" joinstyle="miter"/>
                <v:imagedata o:title=""/>
                <o:lock v:ext="edit" aspectratio="f"/>
                <v:textbox>
                  <w:txbxContent>
                    <w:p>
                      <w:pPr>
                        <w:ind w:firstLine="880" w:firstLineChars="400"/>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（反面）</w:t>
                      </w:r>
                    </w:p>
                    <w:p>
                      <w:pPr>
                        <w:ind w:firstLine="1100" w:firstLineChars="500"/>
                      </w:pPr>
                    </w:p>
                  </w:txbxContent>
                </v:textbox>
              </v:rect>
            </w:pict>
          </mc:Fallback>
        </mc:AlternateContent>
      </w: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r>
        <w:rPr>
          <w:rFonts w:hint="eastAsia" w:ascii="宋体"/>
          <w:b/>
          <w:bCs/>
          <w:sz w:val="21"/>
          <w:szCs w:val="21"/>
        </w:rPr>
        <w:t xml:space="preserve"> </w:t>
      </w:r>
      <w:r>
        <w:rPr>
          <w:rFonts w:hint="eastAsia" w:ascii="宋体" w:hAnsi="宋体"/>
          <w:sz w:val="21"/>
          <w:szCs w:val="21"/>
        </w:rPr>
        <w:t>投标人名称：（盖公章）：</w:t>
      </w:r>
    </w:p>
    <w:p>
      <w:pPr>
        <w:spacing w:line="500" w:lineRule="exact"/>
        <w:rPr>
          <w:rFonts w:ascii="宋体" w:hAnsi="宋体"/>
          <w:sz w:val="21"/>
          <w:szCs w:val="21"/>
        </w:rPr>
      </w:pPr>
      <w:r>
        <w:rPr>
          <w:rFonts w:hint="eastAsia" w:ascii="宋体" w:hAnsi="宋体"/>
          <w:sz w:val="21"/>
          <w:szCs w:val="21"/>
        </w:rPr>
        <w:t xml:space="preserve"> 地址：</w:t>
      </w:r>
    </w:p>
    <w:p>
      <w:pPr>
        <w:spacing w:line="500" w:lineRule="exact"/>
        <w:ind w:firstLine="105" w:firstLineChars="50"/>
        <w:jc w:val="both"/>
        <w:rPr>
          <w:rFonts w:ascii="宋体" w:hAnsi="宋体"/>
          <w:b/>
          <w:bCs/>
          <w:sz w:val="21"/>
          <w:szCs w:val="21"/>
        </w:rPr>
      </w:pPr>
      <w:r>
        <w:rPr>
          <w:rFonts w:hint="eastAsia" w:ascii="宋体" w:hAnsi="宋体"/>
          <w:sz w:val="21"/>
          <w:szCs w:val="21"/>
        </w:rPr>
        <w:t>日期：</w:t>
      </w:r>
    </w:p>
    <w:p>
      <w:pPr>
        <w:spacing w:line="360" w:lineRule="auto"/>
        <w:rPr>
          <w:bCs/>
        </w:rPr>
      </w:pPr>
      <w:r>
        <w:rPr>
          <w:rFonts w:hint="eastAsia" w:ascii="宋体" w:hAnsi="宋体"/>
          <w:b/>
          <w:color w:val="000000"/>
        </w:rPr>
        <w:br w:type="page"/>
      </w:r>
      <w:r>
        <w:rPr>
          <w:rFonts w:hint="eastAsia" w:ascii="黑体" w:eastAsia="黑体"/>
          <w:bCs/>
          <w:sz w:val="28"/>
        </w:rPr>
        <w:t>格式7</w:t>
      </w:r>
    </w:p>
    <w:p>
      <w:pPr>
        <w:pStyle w:val="5"/>
        <w:adjustRightInd w:val="0"/>
        <w:snapToGrid w:val="0"/>
        <w:spacing w:before="120" w:beforeLines="50" w:after="120" w:afterLines="50" w:line="360" w:lineRule="auto"/>
        <w:jc w:val="center"/>
        <w:rPr>
          <w:b w:val="0"/>
        </w:rPr>
      </w:pPr>
      <w:bookmarkStart w:id="1157" w:name="_Toc453957433"/>
      <w:r>
        <w:rPr>
          <w:rFonts w:hint="eastAsia"/>
          <w:b w:val="0"/>
        </w:rPr>
        <w:t>开标一览表</w:t>
      </w:r>
      <w:r>
        <w:rPr>
          <w:b w:val="0"/>
        </w:rPr>
        <w:t>(</w:t>
      </w:r>
      <w:r>
        <w:rPr>
          <w:rFonts w:hint="eastAsia"/>
          <w:b w:val="0"/>
        </w:rPr>
        <w:t>报价表</w:t>
      </w:r>
      <w:r>
        <w:rPr>
          <w:b w:val="0"/>
        </w:rPr>
        <w:t>)</w:t>
      </w:r>
      <w:bookmarkEnd w:id="1157"/>
    </w:p>
    <w:p>
      <w:pPr>
        <w:tabs>
          <w:tab w:val="left" w:pos="7740"/>
        </w:tabs>
        <w:ind w:firstLine="315" w:firstLineChars="150"/>
        <w:rPr>
          <w:rFonts w:ascii="宋体" w:hAnsi="宋体"/>
          <w:sz w:val="21"/>
          <w:szCs w:val="21"/>
        </w:rPr>
      </w:pPr>
      <w:r>
        <w:rPr>
          <w:rFonts w:hint="eastAsia" w:ascii="宋体" w:hAnsi="宋体"/>
          <w:sz w:val="21"/>
          <w:szCs w:val="21"/>
        </w:rPr>
        <w:t>投标人名称：                                                   项目编号：</w:t>
      </w:r>
    </w:p>
    <w:tbl>
      <w:tblPr>
        <w:tblStyle w:val="17"/>
        <w:tblW w:w="66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47"/>
        <w:gridCol w:w="2433"/>
        <w:gridCol w:w="2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4" w:hRule="atLeast"/>
          <w:jc w:val="center"/>
        </w:trPr>
        <w:tc>
          <w:tcPr>
            <w:tcW w:w="2147" w:type="dxa"/>
            <w:tcBorders>
              <w:top w:val="single" w:color="auto" w:sz="12" w:space="0"/>
              <w:left w:val="single" w:color="auto" w:sz="12" w:space="0"/>
              <w:bottom w:val="single" w:color="auto" w:sz="12" w:space="0"/>
              <w:right w:val="single" w:color="auto" w:sz="4" w:space="0"/>
            </w:tcBorders>
            <w:shd w:val="clear" w:color="auto" w:fill="EEECE1"/>
            <w:noWrap w:val="0"/>
            <w:vAlign w:val="center"/>
          </w:tcPr>
          <w:p>
            <w:pPr>
              <w:spacing w:line="360" w:lineRule="auto"/>
              <w:jc w:val="center"/>
              <w:rPr>
                <w:rFonts w:ascii="宋体"/>
                <w:b/>
                <w:sz w:val="21"/>
                <w:szCs w:val="21"/>
              </w:rPr>
            </w:pPr>
            <w:r>
              <w:rPr>
                <w:rFonts w:hint="eastAsia" w:ascii="宋体"/>
                <w:b/>
                <w:sz w:val="21"/>
                <w:szCs w:val="21"/>
              </w:rPr>
              <w:t>项目内容</w:t>
            </w:r>
          </w:p>
        </w:tc>
        <w:tc>
          <w:tcPr>
            <w:tcW w:w="2433" w:type="dxa"/>
            <w:tcBorders>
              <w:top w:val="single" w:color="auto" w:sz="12" w:space="0"/>
              <w:left w:val="single" w:color="auto" w:sz="12" w:space="0"/>
              <w:bottom w:val="single" w:color="auto" w:sz="12" w:space="0"/>
              <w:right w:val="single" w:color="auto" w:sz="12" w:space="0"/>
            </w:tcBorders>
            <w:shd w:val="clear" w:color="auto" w:fill="EEECE1"/>
            <w:noWrap w:val="0"/>
            <w:vAlign w:val="center"/>
          </w:tcPr>
          <w:p>
            <w:pPr>
              <w:spacing w:line="360" w:lineRule="auto"/>
              <w:jc w:val="center"/>
              <w:rPr>
                <w:rFonts w:ascii="宋体" w:hAnsi="宋体" w:eastAsia="宋体" w:cs="宋体"/>
                <w:b/>
                <w:color w:val="000000"/>
                <w:sz w:val="20"/>
                <w:szCs w:val="20"/>
              </w:rPr>
            </w:pPr>
            <w:r>
              <w:rPr>
                <w:rFonts w:hint="eastAsia" w:ascii="宋体" w:hAnsi="宋体" w:eastAsia="宋体" w:cs="宋体"/>
                <w:b/>
                <w:color w:val="000000"/>
                <w:sz w:val="20"/>
                <w:szCs w:val="20"/>
                <w:lang w:eastAsia="zh-CN"/>
              </w:rPr>
              <w:t>投标</w:t>
            </w:r>
            <w:r>
              <w:rPr>
                <w:rFonts w:hint="eastAsia" w:ascii="宋体" w:hAnsi="宋体" w:eastAsia="宋体" w:cs="宋体"/>
                <w:b/>
                <w:color w:val="000000"/>
                <w:sz w:val="20"/>
                <w:szCs w:val="20"/>
              </w:rPr>
              <w:t>报价</w:t>
            </w:r>
          </w:p>
          <w:p>
            <w:pPr>
              <w:spacing w:line="360" w:lineRule="auto"/>
              <w:jc w:val="center"/>
              <w:rPr>
                <w:rFonts w:ascii="宋体"/>
                <w:b/>
                <w:sz w:val="21"/>
                <w:szCs w:val="21"/>
              </w:rPr>
            </w:pPr>
            <w:r>
              <w:rPr>
                <w:rFonts w:hint="eastAsia" w:ascii="宋体"/>
                <w:b/>
                <w:sz w:val="21"/>
                <w:szCs w:val="21"/>
              </w:rPr>
              <w:t>（人民币 元）</w:t>
            </w:r>
          </w:p>
        </w:tc>
        <w:tc>
          <w:tcPr>
            <w:tcW w:w="2118" w:type="dxa"/>
            <w:tcBorders>
              <w:top w:val="single" w:color="auto" w:sz="12" w:space="0"/>
              <w:left w:val="single" w:color="auto" w:sz="12" w:space="0"/>
              <w:bottom w:val="single" w:color="auto" w:sz="12" w:space="0"/>
              <w:right w:val="single" w:color="auto" w:sz="12" w:space="0"/>
            </w:tcBorders>
            <w:shd w:val="clear" w:color="auto" w:fill="EEECE1"/>
            <w:noWrap w:val="0"/>
            <w:vAlign w:val="center"/>
          </w:tcPr>
          <w:p>
            <w:pPr>
              <w:spacing w:line="360" w:lineRule="auto"/>
              <w:jc w:val="center"/>
              <w:rPr>
                <w:rFonts w:hint="default" w:ascii="宋体"/>
                <w:b/>
                <w:sz w:val="21"/>
                <w:szCs w:val="21"/>
                <w:lang w:val="en-US"/>
              </w:rPr>
            </w:pPr>
            <w:r>
              <w:rPr>
                <w:rFonts w:hint="eastAsia" w:ascii="宋体"/>
                <w:b/>
                <w:sz w:val="21"/>
                <w:szCs w:val="21"/>
                <w:lang w:eastAsia="zh-CN"/>
              </w:rPr>
              <w:t>供货期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685" w:hRule="atLeast"/>
          <w:jc w:val="center"/>
        </w:trPr>
        <w:tc>
          <w:tcPr>
            <w:tcW w:w="2147" w:type="dxa"/>
            <w:tcBorders>
              <w:top w:val="single" w:color="auto" w:sz="12" w:space="0"/>
              <w:left w:val="single" w:color="auto" w:sz="12" w:space="0"/>
              <w:bottom w:val="single" w:color="auto" w:sz="12" w:space="0"/>
              <w:right w:val="single" w:color="auto" w:sz="4" w:space="0"/>
            </w:tcBorders>
            <w:noWrap w:val="0"/>
            <w:vAlign w:val="center"/>
          </w:tcPr>
          <w:p>
            <w:pPr>
              <w:jc w:val="both"/>
              <w:rPr>
                <w:spacing w:val="4"/>
                <w:sz w:val="21"/>
                <w:szCs w:val="21"/>
              </w:rPr>
            </w:pPr>
          </w:p>
        </w:tc>
        <w:tc>
          <w:tcPr>
            <w:tcW w:w="2433" w:type="dxa"/>
            <w:tcBorders>
              <w:top w:val="single" w:color="auto" w:sz="12" w:space="0"/>
              <w:left w:val="single" w:color="auto" w:sz="12" w:space="0"/>
              <w:bottom w:val="single" w:color="auto" w:sz="12" w:space="0"/>
              <w:right w:val="single" w:color="auto" w:sz="12" w:space="0"/>
            </w:tcBorders>
            <w:noWrap w:val="0"/>
            <w:vAlign w:val="center"/>
          </w:tcPr>
          <w:p>
            <w:pPr>
              <w:spacing w:line="360" w:lineRule="auto"/>
              <w:rPr>
                <w:rFonts w:ascii="宋体"/>
                <w:bCs/>
                <w:sz w:val="21"/>
                <w:szCs w:val="21"/>
                <w:u w:val="single"/>
              </w:rPr>
            </w:pPr>
            <w:r>
              <w:rPr>
                <w:rFonts w:hint="eastAsia" w:ascii="宋体"/>
                <w:bCs/>
                <w:sz w:val="21"/>
                <w:szCs w:val="21"/>
              </w:rPr>
              <w:t>小写：</w:t>
            </w:r>
            <w:r>
              <w:rPr>
                <w:rFonts w:hint="eastAsia" w:ascii="宋体"/>
                <w:bCs/>
                <w:sz w:val="21"/>
                <w:szCs w:val="21"/>
                <w:u w:val="single"/>
              </w:rPr>
              <w:t xml:space="preserve">                         </w:t>
            </w:r>
          </w:p>
          <w:p>
            <w:pPr>
              <w:jc w:val="both"/>
              <w:rPr>
                <w:rFonts w:ascii="宋体"/>
                <w:bCs/>
                <w:sz w:val="21"/>
                <w:szCs w:val="21"/>
              </w:rPr>
            </w:pPr>
            <w:r>
              <w:rPr>
                <w:rFonts w:hint="eastAsia" w:ascii="宋体"/>
                <w:bCs/>
                <w:sz w:val="21"/>
                <w:szCs w:val="21"/>
              </w:rPr>
              <w:t>大写：</w:t>
            </w:r>
            <w:r>
              <w:rPr>
                <w:rFonts w:hint="eastAsia" w:ascii="宋体"/>
                <w:bCs/>
                <w:sz w:val="21"/>
                <w:szCs w:val="21"/>
                <w:u w:val="single"/>
              </w:rPr>
              <w:t xml:space="preserve">                  </w:t>
            </w:r>
          </w:p>
        </w:tc>
        <w:tc>
          <w:tcPr>
            <w:tcW w:w="2118" w:type="dxa"/>
            <w:tcBorders>
              <w:top w:val="single" w:color="auto" w:sz="12" w:space="0"/>
              <w:left w:val="single" w:color="auto" w:sz="12" w:space="0"/>
              <w:bottom w:val="single" w:color="auto" w:sz="12" w:space="0"/>
              <w:right w:val="single" w:color="auto" w:sz="12" w:space="0"/>
            </w:tcBorders>
            <w:noWrap w:val="0"/>
            <w:vAlign w:val="center"/>
          </w:tcPr>
          <w:p>
            <w:pPr>
              <w:jc w:val="center"/>
              <w:rPr>
                <w:spacing w:val="4"/>
                <w:sz w:val="21"/>
                <w:szCs w:val="21"/>
              </w:rPr>
            </w:pPr>
          </w:p>
        </w:tc>
      </w:tr>
    </w:tbl>
    <w:p>
      <w:pPr>
        <w:spacing w:line="500" w:lineRule="exact"/>
        <w:ind w:firstLine="327" w:firstLineChars="150"/>
        <w:rPr>
          <w:b/>
          <w:spacing w:val="4"/>
          <w:sz w:val="21"/>
          <w:szCs w:val="21"/>
        </w:rPr>
      </w:pPr>
    </w:p>
    <w:p>
      <w:pPr>
        <w:spacing w:line="500" w:lineRule="exact"/>
        <w:ind w:firstLine="327" w:firstLineChars="150"/>
        <w:rPr>
          <w:b/>
          <w:spacing w:val="4"/>
          <w:sz w:val="21"/>
          <w:szCs w:val="21"/>
        </w:rPr>
      </w:pPr>
      <w:r>
        <w:rPr>
          <w:rFonts w:hint="eastAsia"/>
          <w:b/>
          <w:spacing w:val="4"/>
          <w:sz w:val="21"/>
          <w:szCs w:val="21"/>
        </w:rPr>
        <w:t>说明：</w:t>
      </w:r>
      <w:r>
        <w:rPr>
          <w:b/>
          <w:color w:val="FF0000"/>
          <w:spacing w:val="4"/>
          <w:sz w:val="21"/>
          <w:szCs w:val="21"/>
        </w:rPr>
        <w:t>1</w:t>
      </w:r>
      <w:r>
        <w:rPr>
          <w:rFonts w:hint="eastAsia"/>
          <w:b/>
          <w:color w:val="FF0000"/>
          <w:spacing w:val="4"/>
          <w:sz w:val="21"/>
          <w:szCs w:val="21"/>
        </w:rPr>
        <w:t>、各投标单位报价时须同时提供开标一览表（报价表）及项目</w:t>
      </w:r>
      <w:r>
        <w:rPr>
          <w:rFonts w:hint="eastAsia"/>
          <w:b/>
          <w:color w:val="FF0000"/>
          <w:spacing w:val="4"/>
          <w:sz w:val="21"/>
          <w:szCs w:val="21"/>
          <w:lang w:eastAsia="zh-CN"/>
        </w:rPr>
        <w:t>报价</w:t>
      </w:r>
      <w:r>
        <w:rPr>
          <w:rFonts w:hint="eastAsia"/>
          <w:b/>
          <w:color w:val="FF0000"/>
          <w:spacing w:val="4"/>
          <w:sz w:val="21"/>
          <w:szCs w:val="21"/>
        </w:rPr>
        <w:t>明细表，否则报价无效。</w:t>
      </w:r>
    </w:p>
    <w:p>
      <w:pPr>
        <w:numPr>
          <w:ilvl w:val="0"/>
          <w:numId w:val="13"/>
        </w:numPr>
        <w:spacing w:line="500" w:lineRule="exact"/>
        <w:ind w:firstLine="981" w:firstLineChars="450"/>
        <w:rPr>
          <w:b/>
          <w:color w:val="FF0000"/>
          <w:spacing w:val="4"/>
          <w:sz w:val="21"/>
          <w:szCs w:val="21"/>
        </w:rPr>
      </w:pPr>
      <w:r>
        <w:rPr>
          <w:rFonts w:hint="eastAsia"/>
          <w:b/>
          <w:color w:val="FF0000"/>
          <w:spacing w:val="4"/>
          <w:sz w:val="21"/>
          <w:szCs w:val="21"/>
        </w:rPr>
        <w:t>各投标单位须在电子文档中提交</w:t>
      </w:r>
      <w:r>
        <w:rPr>
          <w:b/>
          <w:color w:val="FF0000"/>
          <w:spacing w:val="4"/>
          <w:sz w:val="21"/>
          <w:szCs w:val="21"/>
        </w:rPr>
        <w:t>EXCEL</w:t>
      </w:r>
      <w:r>
        <w:rPr>
          <w:rFonts w:hint="eastAsia"/>
          <w:b/>
          <w:color w:val="FF0000"/>
          <w:spacing w:val="4"/>
          <w:sz w:val="21"/>
          <w:szCs w:val="21"/>
        </w:rPr>
        <w:t>版本的汇总表以便验算。</w:t>
      </w:r>
    </w:p>
    <w:p>
      <w:pPr>
        <w:spacing w:line="500" w:lineRule="exact"/>
        <w:rPr>
          <w:b/>
          <w:spacing w:val="4"/>
          <w:sz w:val="21"/>
          <w:szCs w:val="21"/>
        </w:rPr>
      </w:pPr>
    </w:p>
    <w:p>
      <w:pPr>
        <w:spacing w:line="500" w:lineRule="exact"/>
        <w:ind w:firstLine="436" w:firstLineChars="200"/>
        <w:rPr>
          <w:rFonts w:ascii="宋体" w:hAnsi="宋体"/>
          <w:sz w:val="21"/>
          <w:szCs w:val="21"/>
          <w:u w:val="single"/>
        </w:rPr>
      </w:pPr>
      <w:r>
        <w:rPr>
          <w:rFonts w:hint="eastAsia"/>
          <w:spacing w:val="4"/>
          <w:sz w:val="21"/>
          <w:szCs w:val="21"/>
        </w:rPr>
        <w:t>投标人名称（盖公章）：</w:t>
      </w:r>
      <w:r>
        <w:rPr>
          <w:spacing w:val="4"/>
          <w:sz w:val="21"/>
          <w:szCs w:val="21"/>
          <w:u w:val="single"/>
        </w:rPr>
        <w:t xml:space="preserve">                             </w:t>
      </w:r>
    </w:p>
    <w:p>
      <w:pPr>
        <w:ind w:firstLine="436" w:firstLineChars="200"/>
        <w:rPr>
          <w:spacing w:val="4"/>
          <w:sz w:val="21"/>
          <w:szCs w:val="21"/>
        </w:rPr>
      </w:pPr>
    </w:p>
    <w:p>
      <w:pPr>
        <w:spacing w:line="520" w:lineRule="exact"/>
        <w:ind w:firstLine="420" w:firstLineChars="200"/>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spacing w:line="400" w:lineRule="exact"/>
        <w:rPr>
          <w:rFonts w:ascii="宋体" w:hAnsi="宋体"/>
          <w:b/>
          <w:bCs/>
          <w:sz w:val="21"/>
          <w:szCs w:val="21"/>
        </w:rPr>
      </w:pPr>
    </w:p>
    <w:p>
      <w:pPr>
        <w:spacing w:line="400" w:lineRule="exact"/>
        <w:rPr>
          <w:b/>
          <w:sz w:val="21"/>
          <w:szCs w:val="21"/>
        </w:rPr>
      </w:pPr>
      <w:r>
        <w:rPr>
          <w:rFonts w:hint="eastAsia" w:ascii="宋体" w:hAnsi="宋体"/>
          <w:b/>
          <w:bCs/>
          <w:sz w:val="21"/>
          <w:szCs w:val="21"/>
        </w:rPr>
        <w:t>备注：</w:t>
      </w:r>
      <w:r>
        <w:rPr>
          <w:rFonts w:hint="eastAsia"/>
          <w:b/>
          <w:sz w:val="21"/>
          <w:szCs w:val="21"/>
        </w:rPr>
        <w:t>在正、副本的投标文件中，并另封装一份于开标小信封中。</w:t>
      </w:r>
    </w:p>
    <w:p>
      <w:pPr>
        <w:spacing w:line="400" w:lineRule="exact"/>
        <w:rPr>
          <w:rFonts w:ascii="宋体" w:hAnsi="宋体"/>
          <w:b/>
          <w:bCs/>
          <w:sz w:val="21"/>
          <w:szCs w:val="21"/>
        </w:rPr>
      </w:pPr>
    </w:p>
    <w:p>
      <w:pPr>
        <w:spacing w:line="400" w:lineRule="exact"/>
        <w:jc w:val="center"/>
        <w:rPr>
          <w:b/>
          <w:sz w:val="21"/>
          <w:szCs w:val="21"/>
        </w:rPr>
      </w:pPr>
    </w:p>
    <w:p>
      <w:pPr>
        <w:spacing w:line="400" w:lineRule="exact"/>
        <w:jc w:val="center"/>
        <w:rPr>
          <w:b/>
          <w:sz w:val="21"/>
          <w:szCs w:val="21"/>
        </w:rPr>
      </w:pPr>
    </w:p>
    <w:p>
      <w:pPr>
        <w:spacing w:line="400" w:lineRule="exact"/>
        <w:jc w:val="center"/>
        <w:rPr>
          <w:b/>
          <w:sz w:val="21"/>
          <w:szCs w:val="21"/>
        </w:rPr>
      </w:pPr>
    </w:p>
    <w:p>
      <w:pPr>
        <w:spacing w:line="400" w:lineRule="exact"/>
        <w:rPr>
          <w:b/>
          <w:sz w:val="21"/>
          <w:szCs w:val="21"/>
        </w:rPr>
      </w:pPr>
    </w:p>
    <w:p>
      <w:pPr>
        <w:pStyle w:val="5"/>
        <w:jc w:val="center"/>
        <w:rPr>
          <w:rFonts w:hint="eastAsia"/>
        </w:rPr>
      </w:pPr>
      <w:r>
        <w:rPr>
          <w:rFonts w:hint="eastAsia"/>
        </w:rPr>
        <w:t>项目</w:t>
      </w:r>
      <w:r>
        <w:rPr>
          <w:rFonts w:hint="eastAsia"/>
          <w:lang w:eastAsia="zh-CN"/>
        </w:rPr>
        <w:t>报价</w:t>
      </w:r>
      <w:r>
        <w:rPr>
          <w:rFonts w:hint="eastAsia"/>
        </w:rPr>
        <w:t>明细表</w:t>
      </w:r>
    </w:p>
    <w:tbl>
      <w:tblPr>
        <w:tblStyle w:val="17"/>
        <w:tblW w:w="4998" w:type="pct"/>
        <w:tblInd w:w="0" w:type="dxa"/>
        <w:shd w:val="clear" w:color="auto" w:fill="auto"/>
        <w:tblLayout w:type="autofit"/>
        <w:tblCellMar>
          <w:top w:w="0" w:type="dxa"/>
          <w:left w:w="108" w:type="dxa"/>
          <w:bottom w:w="0" w:type="dxa"/>
          <w:right w:w="108" w:type="dxa"/>
        </w:tblCellMar>
      </w:tblPr>
      <w:tblGrid>
        <w:gridCol w:w="1976"/>
        <w:gridCol w:w="1640"/>
        <w:gridCol w:w="1149"/>
        <w:gridCol w:w="1205"/>
        <w:gridCol w:w="1561"/>
        <w:gridCol w:w="1611"/>
        <w:gridCol w:w="1536"/>
      </w:tblGrid>
      <w:tr>
        <w:tblPrEx>
          <w:shd w:val="clear" w:color="auto" w:fill="auto"/>
          <w:tblCellMar>
            <w:top w:w="0" w:type="dxa"/>
            <w:left w:w="108" w:type="dxa"/>
            <w:bottom w:w="0" w:type="dxa"/>
            <w:right w:w="108" w:type="dxa"/>
          </w:tblCellMar>
        </w:tblPrEx>
        <w:trPr>
          <w:trHeight w:val="1015" w:hRule="atLeast"/>
        </w:trPr>
        <w:tc>
          <w:tcPr>
            <w:tcW w:w="9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768"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538"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564"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采购数量</w:t>
            </w:r>
          </w:p>
        </w:tc>
        <w:tc>
          <w:tcPr>
            <w:tcW w:w="729"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含税单价限价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c>
          <w:tcPr>
            <w:tcW w:w="754"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含税单价报价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c>
          <w:tcPr>
            <w:tcW w:w="719"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报价小计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弹性座封闸阀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2575.00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3157.00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8925.00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磁性加密防盗闸阀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980.00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1418.00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1979.00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2958.00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3468.00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伸缩过滤器</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2316.00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5042.00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6856.00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Y型过滤器</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486.00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3443.00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4295.00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立式蝶阀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4870.00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9550.00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16524.00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25462.00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36779.00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DN1400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67473.00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DN1600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91494.00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DN1800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165222.00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196843.00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减压阀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3183.00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3763.00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5900.00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9364.00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15316.00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17748.00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橡胶瓣止回阀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899.00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1122.00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1763.00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2617.00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4657.00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7112.00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2451.00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遥控浮球阀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3200.00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5644.00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9655.00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排气阀</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2157.00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2639.00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4271.00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6553.00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15585.00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倒流防止器</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4585.00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5795.00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9079.00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12658.00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18632.00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92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 PN10</w:t>
            </w: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5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23053.00 </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00" w:hRule="atLeast"/>
        </w:trPr>
        <w:tc>
          <w:tcPr>
            <w:tcW w:w="3526" w:type="pct"/>
            <w:gridSpan w:val="5"/>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投标总价限价：</w:t>
            </w:r>
          </w:p>
        </w:tc>
        <w:tc>
          <w:tcPr>
            <w:tcW w:w="14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人民币3865677元</w:t>
            </w:r>
          </w:p>
        </w:tc>
      </w:tr>
      <w:tr>
        <w:tblPrEx>
          <w:tblCellMar>
            <w:top w:w="0" w:type="dxa"/>
            <w:left w:w="108" w:type="dxa"/>
            <w:bottom w:w="0" w:type="dxa"/>
            <w:right w:w="108" w:type="dxa"/>
          </w:tblCellMar>
        </w:tblPrEx>
        <w:trPr>
          <w:trHeight w:val="600" w:hRule="atLeast"/>
        </w:trPr>
        <w:tc>
          <w:tcPr>
            <w:tcW w:w="352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投标总价报价：</w:t>
            </w:r>
          </w:p>
        </w:tc>
        <w:tc>
          <w:tcPr>
            <w:tcW w:w="14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rPr>
          <w:rFonts w:hint="eastAsia"/>
        </w:rPr>
      </w:pPr>
    </w:p>
    <w:p>
      <w:pPr>
        <w:spacing w:line="500" w:lineRule="exact"/>
        <w:rPr>
          <w:rFonts w:hint="eastAsia"/>
          <w:b/>
          <w:color w:val="FF0000"/>
          <w:spacing w:val="4"/>
          <w:sz w:val="21"/>
          <w:szCs w:val="21"/>
        </w:rPr>
      </w:pPr>
    </w:p>
    <w:p>
      <w:pPr>
        <w:spacing w:line="500" w:lineRule="exact"/>
        <w:rPr>
          <w:b/>
          <w:color w:val="FF0000"/>
          <w:spacing w:val="4"/>
          <w:sz w:val="21"/>
          <w:szCs w:val="21"/>
        </w:rPr>
      </w:pPr>
      <w:r>
        <w:rPr>
          <w:rFonts w:hint="eastAsia"/>
          <w:b/>
          <w:color w:val="FF0000"/>
          <w:spacing w:val="4"/>
          <w:sz w:val="21"/>
          <w:szCs w:val="21"/>
        </w:rPr>
        <w:t xml:space="preserve">备注： </w:t>
      </w:r>
    </w:p>
    <w:p>
      <w:pPr>
        <w:numPr>
          <w:ilvl w:val="0"/>
          <w:numId w:val="14"/>
        </w:numPr>
        <w:spacing w:line="500" w:lineRule="exact"/>
        <w:ind w:firstLine="327" w:firstLineChars="150"/>
        <w:rPr>
          <w:b/>
          <w:bCs w:val="0"/>
          <w:color w:val="FF0000"/>
          <w:spacing w:val="4"/>
          <w:sz w:val="21"/>
          <w:szCs w:val="21"/>
        </w:rPr>
      </w:pPr>
      <w:r>
        <w:rPr>
          <w:rFonts w:hint="eastAsia"/>
          <w:b/>
          <w:bCs w:val="0"/>
          <w:color w:val="FF0000"/>
          <w:spacing w:val="4"/>
          <w:sz w:val="21"/>
          <w:szCs w:val="21"/>
        </w:rPr>
        <w:t>各投标单位报价时须同时提供开标一览表（报价表）及项目</w:t>
      </w:r>
      <w:r>
        <w:rPr>
          <w:rFonts w:hint="eastAsia"/>
          <w:b/>
          <w:bCs w:val="0"/>
          <w:color w:val="FF0000"/>
          <w:spacing w:val="4"/>
          <w:sz w:val="21"/>
          <w:szCs w:val="21"/>
          <w:lang w:eastAsia="zh-CN"/>
        </w:rPr>
        <w:t>报价</w:t>
      </w:r>
      <w:r>
        <w:rPr>
          <w:rFonts w:hint="eastAsia"/>
          <w:b/>
          <w:bCs w:val="0"/>
          <w:color w:val="FF0000"/>
          <w:spacing w:val="4"/>
          <w:sz w:val="21"/>
          <w:szCs w:val="21"/>
        </w:rPr>
        <w:t>明细表，否则报价无效。</w:t>
      </w:r>
    </w:p>
    <w:p>
      <w:pPr>
        <w:numPr>
          <w:ilvl w:val="0"/>
          <w:numId w:val="14"/>
        </w:numPr>
        <w:spacing w:line="500" w:lineRule="exact"/>
        <w:ind w:firstLine="327" w:firstLineChars="150"/>
        <w:rPr>
          <w:b/>
          <w:bCs w:val="0"/>
          <w:color w:val="FF0000"/>
        </w:rPr>
      </w:pPr>
      <w:r>
        <w:rPr>
          <w:rFonts w:hint="eastAsia"/>
          <w:b/>
          <w:bCs w:val="0"/>
          <w:color w:val="FF0000"/>
          <w:spacing w:val="4"/>
          <w:sz w:val="21"/>
          <w:szCs w:val="21"/>
        </w:rPr>
        <w:t>各投标单位所报单价、总价不得高于项目</w:t>
      </w:r>
      <w:r>
        <w:rPr>
          <w:rFonts w:hint="eastAsia"/>
          <w:b/>
          <w:bCs w:val="0"/>
          <w:color w:val="FF0000"/>
          <w:spacing w:val="4"/>
          <w:sz w:val="21"/>
          <w:szCs w:val="21"/>
          <w:lang w:eastAsia="zh-CN"/>
        </w:rPr>
        <w:t>报价</w:t>
      </w:r>
      <w:r>
        <w:rPr>
          <w:rFonts w:hint="eastAsia"/>
          <w:b/>
          <w:bCs w:val="0"/>
          <w:color w:val="FF0000"/>
          <w:spacing w:val="4"/>
          <w:sz w:val="21"/>
          <w:szCs w:val="21"/>
        </w:rPr>
        <w:t>明细表的限价，否则报价无效。</w:t>
      </w:r>
    </w:p>
    <w:p>
      <w:pPr>
        <w:numPr>
          <w:ilvl w:val="0"/>
          <w:numId w:val="14"/>
        </w:numPr>
        <w:spacing w:line="500" w:lineRule="exact"/>
        <w:ind w:firstLine="327" w:firstLineChars="150"/>
        <w:rPr>
          <w:rFonts w:hint="eastAsia" w:eastAsia="微软雅黑" w:cs="Times New Roman"/>
          <w:b/>
          <w:bCs w:val="0"/>
          <w:color w:val="FF0000"/>
          <w:spacing w:val="4"/>
          <w:sz w:val="21"/>
          <w:szCs w:val="21"/>
          <w:lang w:val="en-US" w:eastAsia="zh-CN"/>
        </w:rPr>
      </w:pPr>
      <w:r>
        <w:rPr>
          <w:rFonts w:hint="eastAsia" w:cs="Times New Roman"/>
          <w:b/>
          <w:bCs w:val="0"/>
          <w:color w:val="FF0000"/>
          <w:spacing w:val="4"/>
          <w:sz w:val="21"/>
          <w:szCs w:val="21"/>
        </w:rPr>
        <w:t>各投标单位须在电子文档中提交EXCEL版本的汇总表以便验算。</w:t>
      </w:r>
    </w:p>
    <w:p>
      <w:pPr>
        <w:numPr>
          <w:ilvl w:val="0"/>
          <w:numId w:val="14"/>
        </w:numPr>
        <w:spacing w:line="500" w:lineRule="exact"/>
        <w:ind w:firstLine="327" w:firstLineChars="150"/>
        <w:rPr>
          <w:rFonts w:hint="eastAsia" w:cs="Times New Roman"/>
          <w:b/>
          <w:color w:val="FF0000"/>
          <w:spacing w:val="4"/>
          <w:sz w:val="21"/>
          <w:szCs w:val="21"/>
        </w:rPr>
      </w:pPr>
      <w:r>
        <w:rPr>
          <w:rFonts w:hint="eastAsia" w:cs="Times New Roman"/>
          <w:b/>
          <w:color w:val="FF0000"/>
          <w:spacing w:val="4"/>
          <w:sz w:val="21"/>
          <w:szCs w:val="21"/>
          <w:lang w:val="en-US" w:eastAsia="zh-CN"/>
        </w:rPr>
        <w:t>本项目采购人不承诺每项货物的采购数量，供应商取得任务的数量以采购人审批确定。供应商对产品数量无支配权。结算价格按照中标单价乘以实际供货数量据实结算。</w:t>
      </w:r>
    </w:p>
    <w:p>
      <w:pPr>
        <w:pStyle w:val="2"/>
        <w:rPr>
          <w:rFonts w:hint="eastAsia" w:eastAsia="宋体"/>
          <w:lang w:val="en-US" w:eastAsia="zh-CN"/>
        </w:rPr>
      </w:pPr>
    </w:p>
    <w:p>
      <w:pPr>
        <w:spacing w:line="400" w:lineRule="exact"/>
        <w:jc w:val="center"/>
        <w:rPr>
          <w:b/>
          <w:sz w:val="32"/>
          <w:szCs w:val="32"/>
        </w:rPr>
      </w:pPr>
    </w:p>
    <w:p>
      <w:pPr>
        <w:pStyle w:val="16"/>
        <w:ind w:left="0" w:leftChars="0" w:firstLine="0" w:firstLineChars="0"/>
        <w:rPr>
          <w:rFonts w:hint="eastAsia"/>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pPr>
      <w:r>
        <w:rPr>
          <w:rFonts w:hint="eastAsia" w:ascii="黑体" w:eastAsia="黑体"/>
          <w:bCs/>
          <w:sz w:val="28"/>
        </w:rPr>
        <w:t>格式8</w:t>
      </w:r>
    </w:p>
    <w:p>
      <w:pPr>
        <w:pStyle w:val="5"/>
        <w:adjustRightInd w:val="0"/>
        <w:snapToGrid w:val="0"/>
        <w:spacing w:before="120" w:beforeLines="50" w:after="120" w:afterLines="50" w:line="360" w:lineRule="auto"/>
        <w:jc w:val="center"/>
        <w:rPr>
          <w:b w:val="0"/>
        </w:rPr>
      </w:pPr>
      <w:bookmarkStart w:id="1158" w:name="_Toc453957434"/>
      <w:bookmarkStart w:id="1159" w:name="_Toc275865614"/>
      <w:r>
        <w:rPr>
          <w:rFonts w:hint="eastAsia"/>
          <w:b w:val="0"/>
        </w:rPr>
        <w:t>投标服务方案</w:t>
      </w:r>
      <w:bookmarkEnd w:id="1158"/>
      <w:bookmarkEnd w:id="1159"/>
    </w:p>
    <w:p>
      <w:pPr>
        <w:spacing w:before="120" w:beforeLines="50" w:after="120" w:afterLines="50" w:line="360" w:lineRule="auto"/>
        <w:rPr>
          <w:rFonts w:ascii="宋体" w:hAnsi="宋体"/>
          <w:b/>
          <w:bCs w:val="0"/>
          <w:sz w:val="21"/>
          <w:szCs w:val="21"/>
        </w:rPr>
      </w:pPr>
      <w:r>
        <w:rPr>
          <w:rFonts w:hint="eastAsia" w:ascii="宋体" w:hAnsi="宋体"/>
          <w:b/>
          <w:color w:val="000000"/>
          <w:sz w:val="21"/>
          <w:szCs w:val="21"/>
        </w:rPr>
        <w:t>主要</w:t>
      </w:r>
      <w:r>
        <w:rPr>
          <w:rFonts w:hint="eastAsia" w:ascii="宋体" w:hAnsi="宋体"/>
          <w:b/>
          <w:bCs w:val="0"/>
          <w:color w:val="000000"/>
          <w:sz w:val="21"/>
          <w:szCs w:val="21"/>
        </w:rPr>
        <w:t>内容</w:t>
      </w:r>
      <w:r>
        <w:rPr>
          <w:rFonts w:hint="eastAsia" w:ascii="宋体" w:hAnsi="宋体"/>
          <w:b/>
          <w:bCs w:val="0"/>
          <w:sz w:val="21"/>
          <w:szCs w:val="21"/>
        </w:rPr>
        <w:t>应包括但不限于以下内容（格式自定）：</w:t>
      </w:r>
    </w:p>
    <w:p>
      <w:pPr>
        <w:numPr>
          <w:ilvl w:val="0"/>
          <w:numId w:val="15"/>
        </w:numPr>
        <w:spacing w:before="120" w:beforeLines="50" w:after="120" w:afterLines="50" w:line="360" w:lineRule="auto"/>
        <w:rPr>
          <w:rFonts w:ascii="微软雅黑" w:hAnsi="微软雅黑" w:cs="微软雅黑"/>
          <w:b/>
          <w:bCs w:val="0"/>
          <w:color w:val="000000"/>
          <w:sz w:val="21"/>
          <w:szCs w:val="21"/>
        </w:rPr>
      </w:pPr>
      <w:r>
        <w:rPr>
          <w:rFonts w:hint="eastAsia" w:ascii="微软雅黑" w:hAnsi="微软雅黑" w:cs="微软雅黑"/>
          <w:b/>
          <w:bCs w:val="0"/>
          <w:sz w:val="21"/>
          <w:szCs w:val="21"/>
        </w:rPr>
        <w:t>售后服务方案</w:t>
      </w:r>
      <w:r>
        <w:rPr>
          <w:rFonts w:hint="eastAsia" w:ascii="微软雅黑" w:hAnsi="微软雅黑" w:cs="微软雅黑"/>
          <w:b/>
          <w:bCs w:val="0"/>
          <w:color w:val="000000"/>
          <w:sz w:val="21"/>
          <w:szCs w:val="21"/>
        </w:rPr>
        <w:t>；（详见  页）</w:t>
      </w:r>
    </w:p>
    <w:p>
      <w:pPr>
        <w:numPr>
          <w:ilvl w:val="0"/>
          <w:numId w:val="15"/>
        </w:numPr>
        <w:spacing w:before="120" w:beforeLines="50" w:after="120" w:afterLines="50" w:line="360" w:lineRule="auto"/>
        <w:rPr>
          <w:rFonts w:ascii="微软雅黑" w:hAnsi="微软雅黑" w:cs="微软雅黑"/>
          <w:b/>
          <w:bCs w:val="0"/>
          <w:color w:val="000000"/>
          <w:sz w:val="21"/>
          <w:szCs w:val="21"/>
        </w:rPr>
      </w:pPr>
      <w:r>
        <w:rPr>
          <w:rFonts w:hint="eastAsia" w:ascii="微软雅黑" w:hAnsi="微软雅黑" w:cs="微软雅黑"/>
          <w:b/>
          <w:bCs w:val="0"/>
          <w:sz w:val="21"/>
          <w:szCs w:val="21"/>
        </w:rPr>
        <w:t>主要零部件原材料质量控制</w:t>
      </w:r>
      <w:r>
        <w:rPr>
          <w:rFonts w:hint="eastAsia" w:ascii="微软雅黑" w:hAnsi="微软雅黑" w:cs="微软雅黑"/>
          <w:b/>
          <w:bCs w:val="0"/>
          <w:color w:val="000000"/>
          <w:sz w:val="21"/>
          <w:szCs w:val="21"/>
        </w:rPr>
        <w:t>；（详见  页）</w:t>
      </w:r>
    </w:p>
    <w:p>
      <w:pPr>
        <w:numPr>
          <w:ilvl w:val="0"/>
          <w:numId w:val="15"/>
        </w:numPr>
        <w:spacing w:before="120" w:beforeLines="50" w:after="120" w:afterLines="50" w:line="360" w:lineRule="auto"/>
        <w:rPr>
          <w:rFonts w:ascii="微软雅黑" w:hAnsi="微软雅黑" w:cs="微软雅黑"/>
          <w:b/>
          <w:bCs w:val="0"/>
          <w:color w:val="000000"/>
          <w:sz w:val="21"/>
          <w:szCs w:val="21"/>
        </w:rPr>
      </w:pPr>
      <w:r>
        <w:rPr>
          <w:rFonts w:hint="eastAsia" w:ascii="微软雅黑" w:hAnsi="微软雅黑" w:cs="微软雅黑"/>
          <w:b/>
          <w:bCs w:val="0"/>
          <w:sz w:val="21"/>
          <w:szCs w:val="21"/>
        </w:rPr>
        <w:t>密封性能的要求</w:t>
      </w:r>
      <w:r>
        <w:rPr>
          <w:rFonts w:hint="eastAsia" w:ascii="微软雅黑" w:hAnsi="微软雅黑" w:cs="微软雅黑"/>
          <w:b/>
          <w:bCs w:val="0"/>
          <w:color w:val="000000"/>
          <w:sz w:val="21"/>
          <w:szCs w:val="21"/>
        </w:rPr>
        <w:t>；（详见  页）</w:t>
      </w:r>
    </w:p>
    <w:p>
      <w:pPr>
        <w:numPr>
          <w:ilvl w:val="0"/>
          <w:numId w:val="15"/>
        </w:numPr>
        <w:spacing w:before="120" w:beforeLines="50" w:after="120" w:afterLines="50" w:line="360" w:lineRule="auto"/>
        <w:rPr>
          <w:rFonts w:ascii="微软雅黑" w:hAnsi="微软雅黑" w:cs="微软雅黑"/>
          <w:b/>
          <w:bCs w:val="0"/>
          <w:color w:val="000000"/>
          <w:sz w:val="21"/>
          <w:szCs w:val="21"/>
        </w:rPr>
      </w:pPr>
      <w:r>
        <w:rPr>
          <w:rFonts w:hint="eastAsia" w:ascii="微软雅黑" w:hAnsi="微软雅黑" w:cs="微软雅黑"/>
          <w:b/>
          <w:bCs w:val="0"/>
          <w:sz w:val="21"/>
          <w:szCs w:val="21"/>
        </w:rPr>
        <w:t>防腐保护的要求</w:t>
      </w:r>
      <w:r>
        <w:rPr>
          <w:rFonts w:hint="eastAsia" w:ascii="微软雅黑" w:hAnsi="微软雅黑" w:cs="微软雅黑"/>
          <w:b/>
          <w:bCs w:val="0"/>
          <w:color w:val="000000"/>
          <w:sz w:val="21"/>
          <w:szCs w:val="21"/>
        </w:rPr>
        <w:t>；（详见  页）</w:t>
      </w:r>
    </w:p>
    <w:p>
      <w:pPr>
        <w:numPr>
          <w:ilvl w:val="0"/>
          <w:numId w:val="15"/>
        </w:numPr>
        <w:spacing w:before="120" w:beforeLines="50" w:after="120" w:afterLines="50" w:line="360" w:lineRule="auto"/>
        <w:rPr>
          <w:rFonts w:ascii="微软雅黑" w:hAnsi="微软雅黑" w:cs="微软雅黑"/>
          <w:b/>
          <w:bCs w:val="0"/>
          <w:color w:val="000000"/>
          <w:sz w:val="21"/>
          <w:szCs w:val="21"/>
        </w:rPr>
      </w:pPr>
      <w:r>
        <w:rPr>
          <w:rFonts w:hint="eastAsia" w:ascii="微软雅黑" w:hAnsi="微软雅黑" w:cs="微软雅黑"/>
          <w:b/>
          <w:bCs w:val="0"/>
          <w:sz w:val="21"/>
          <w:szCs w:val="21"/>
        </w:rPr>
        <w:t>传动机构的要求</w:t>
      </w:r>
      <w:r>
        <w:rPr>
          <w:rFonts w:hint="eastAsia" w:ascii="微软雅黑" w:hAnsi="微软雅黑" w:cs="微软雅黑"/>
          <w:b/>
          <w:bCs w:val="0"/>
          <w:color w:val="000000"/>
          <w:sz w:val="21"/>
          <w:szCs w:val="21"/>
        </w:rPr>
        <w:t>；（详见  页）</w:t>
      </w:r>
    </w:p>
    <w:p>
      <w:pPr>
        <w:numPr>
          <w:ilvl w:val="0"/>
          <w:numId w:val="15"/>
        </w:numPr>
        <w:spacing w:before="120" w:beforeLines="50" w:after="120" w:afterLines="50" w:line="360" w:lineRule="auto"/>
        <w:rPr>
          <w:rFonts w:hint="eastAsia" w:ascii="微软雅黑" w:hAnsi="微软雅黑" w:cs="微软雅黑"/>
          <w:b/>
          <w:bCs w:val="0"/>
          <w:sz w:val="21"/>
          <w:szCs w:val="21"/>
        </w:rPr>
      </w:pPr>
      <w:r>
        <w:rPr>
          <w:rFonts w:hint="eastAsia" w:ascii="微软雅黑" w:hAnsi="微软雅黑" w:cs="微软雅黑"/>
          <w:b/>
          <w:bCs w:val="0"/>
          <w:sz w:val="21"/>
          <w:szCs w:val="21"/>
        </w:rPr>
        <w:t>产品卫生性能的要求；（详见  页）</w:t>
      </w:r>
    </w:p>
    <w:p>
      <w:pPr>
        <w:numPr>
          <w:ilvl w:val="0"/>
          <w:numId w:val="15"/>
        </w:numPr>
        <w:spacing w:before="120" w:beforeLines="50" w:after="120" w:afterLines="50" w:line="360" w:lineRule="auto"/>
        <w:rPr>
          <w:rFonts w:hint="eastAsia" w:ascii="微软雅黑" w:hAnsi="微软雅黑" w:cs="微软雅黑"/>
          <w:b/>
          <w:bCs w:val="0"/>
          <w:sz w:val="21"/>
          <w:szCs w:val="21"/>
        </w:rPr>
      </w:pPr>
      <w:r>
        <w:rPr>
          <w:rFonts w:hint="eastAsia" w:ascii="微软雅黑" w:hAnsi="微软雅黑" w:cs="微软雅黑"/>
          <w:b/>
          <w:bCs w:val="0"/>
          <w:sz w:val="21"/>
          <w:szCs w:val="21"/>
        </w:rPr>
        <w:t>复合式排气阀技术性能要求；（详见  页）</w:t>
      </w:r>
    </w:p>
    <w:p>
      <w:pPr>
        <w:numPr>
          <w:ilvl w:val="0"/>
          <w:numId w:val="15"/>
        </w:numPr>
        <w:spacing w:before="120" w:beforeLines="50" w:after="120" w:afterLines="50" w:line="360" w:lineRule="auto"/>
        <w:rPr>
          <w:rFonts w:hint="default" w:ascii="微软雅黑" w:hAnsi="微软雅黑" w:cs="微软雅黑"/>
          <w:b/>
          <w:bCs w:val="0"/>
          <w:sz w:val="21"/>
          <w:szCs w:val="21"/>
          <w:lang w:val="en-US" w:eastAsia="zh-CN"/>
        </w:rPr>
      </w:pPr>
      <w:r>
        <w:rPr>
          <w:rFonts w:hint="eastAsia" w:ascii="微软雅黑" w:hAnsi="微软雅黑" w:cs="微软雅黑"/>
          <w:b/>
          <w:bCs w:val="0"/>
          <w:sz w:val="21"/>
          <w:szCs w:val="21"/>
        </w:rPr>
        <w:t>法兰式蝶阀技术性能要求；（详见  页）</w:t>
      </w:r>
    </w:p>
    <w:p>
      <w:pPr>
        <w:spacing w:line="500" w:lineRule="exact"/>
        <w:rPr>
          <w:spacing w:val="4"/>
          <w:sz w:val="21"/>
          <w:szCs w:val="21"/>
        </w:rPr>
      </w:pPr>
    </w:p>
    <w:p>
      <w:pPr>
        <w:spacing w:line="400" w:lineRule="exact"/>
        <w:rPr>
          <w:rFonts w:ascii="宋体" w:hAnsi="宋体"/>
          <w:sz w:val="21"/>
          <w:szCs w:val="21"/>
        </w:rPr>
      </w:pPr>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spacing w:line="400" w:lineRule="exact"/>
        <w:rPr>
          <w:rFonts w:ascii="宋体" w:hAnsi="宋体"/>
          <w:sz w:val="21"/>
          <w:szCs w:val="21"/>
        </w:rPr>
      </w:pPr>
    </w:p>
    <w:p>
      <w:pPr>
        <w:spacing w:line="440" w:lineRule="exact"/>
        <w:rPr>
          <w:rFonts w:ascii="黑体" w:eastAsia="黑体"/>
          <w:bCs/>
        </w:rPr>
      </w:pPr>
      <w:r>
        <w:rPr>
          <w:rFonts w:hint="eastAsia" w:ascii="黑体" w:eastAsia="黑体"/>
          <w:bCs/>
          <w:sz w:val="28"/>
        </w:rPr>
        <w:br w:type="page"/>
      </w:r>
      <w:bookmarkStart w:id="1160" w:name="_Toc50691037"/>
      <w:bookmarkStart w:id="1161" w:name="_Toc50703730"/>
      <w:bookmarkStart w:id="1162" w:name="_Toc43264518"/>
      <w:r>
        <w:rPr>
          <w:rFonts w:hint="eastAsia" w:ascii="黑体" w:eastAsia="黑体"/>
          <w:bCs/>
          <w:sz w:val="28"/>
        </w:rPr>
        <w:t>格式9</w:t>
      </w:r>
    </w:p>
    <w:p>
      <w:pPr>
        <w:pStyle w:val="5"/>
        <w:adjustRightInd w:val="0"/>
        <w:snapToGrid w:val="0"/>
        <w:spacing w:before="120" w:beforeLines="50" w:after="120" w:afterLines="50" w:line="360" w:lineRule="auto"/>
        <w:jc w:val="center"/>
        <w:rPr>
          <w:b w:val="0"/>
        </w:rPr>
      </w:pPr>
      <w:bookmarkStart w:id="1163" w:name="_Toc453957435"/>
      <w:bookmarkStart w:id="1164" w:name="_Toc173553182"/>
      <w:bookmarkStart w:id="1165" w:name="_Toc275865616"/>
      <w:r>
        <w:rPr>
          <w:rFonts w:hint="eastAsia"/>
          <w:b w:val="0"/>
        </w:rPr>
        <w:t>投标人基本情况表</w:t>
      </w:r>
      <w:bookmarkEnd w:id="1163"/>
      <w:bookmarkEnd w:id="1164"/>
      <w:bookmarkEnd w:id="1165"/>
    </w:p>
    <w:p>
      <w:pPr>
        <w:widowControl w:val="0"/>
        <w:numPr>
          <w:ilvl w:val="0"/>
          <w:numId w:val="16"/>
        </w:numPr>
        <w:autoSpaceDN w:val="0"/>
        <w:adjustRightInd/>
        <w:snapToGrid/>
        <w:spacing w:after="0" w:line="360" w:lineRule="auto"/>
        <w:jc w:val="both"/>
        <w:rPr>
          <w:rFonts w:ascii="宋体" w:hAnsi="宋体" w:cs="Arial"/>
          <w:sz w:val="21"/>
          <w:szCs w:val="21"/>
        </w:rPr>
      </w:pPr>
      <w:r>
        <w:rPr>
          <w:rFonts w:hint="eastAsia" w:ascii="宋体" w:hAnsi="宋体" w:cs="Arial"/>
          <w:sz w:val="21"/>
          <w:szCs w:val="21"/>
        </w:rPr>
        <w:t>公司基本情况</w:t>
      </w:r>
    </w:p>
    <w:p>
      <w:pPr>
        <w:widowControl w:val="0"/>
        <w:numPr>
          <w:ilvl w:val="1"/>
          <w:numId w:val="16"/>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公司名称：</w:t>
      </w:r>
      <w:r>
        <w:rPr>
          <w:rFonts w:hint="eastAsia" w:ascii="宋体" w:hAnsi="宋体" w:cs="Arial"/>
          <w:sz w:val="21"/>
          <w:szCs w:val="21"/>
          <w:u w:val="single"/>
        </w:rPr>
        <w:t xml:space="preserve">                              </w:t>
      </w:r>
      <w:r>
        <w:rPr>
          <w:rFonts w:hint="eastAsia" w:ascii="宋体" w:hAnsi="宋体" w:cs="Arial"/>
          <w:sz w:val="21"/>
          <w:szCs w:val="21"/>
        </w:rPr>
        <w:t xml:space="preserve">  电话号码：</w:t>
      </w:r>
      <w:r>
        <w:rPr>
          <w:rFonts w:hint="eastAsia" w:ascii="宋体" w:hAnsi="宋体" w:cs="Arial"/>
          <w:sz w:val="21"/>
          <w:szCs w:val="21"/>
          <w:u w:val="single"/>
        </w:rPr>
        <w:t xml:space="preserve">                            </w:t>
      </w:r>
    </w:p>
    <w:p>
      <w:pPr>
        <w:widowControl w:val="0"/>
        <w:numPr>
          <w:ilvl w:val="1"/>
          <w:numId w:val="16"/>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地    址：</w:t>
      </w:r>
      <w:r>
        <w:rPr>
          <w:rFonts w:hint="eastAsia" w:ascii="宋体" w:hAnsi="宋体" w:cs="Arial"/>
          <w:sz w:val="21"/>
          <w:szCs w:val="21"/>
          <w:u w:val="single"/>
        </w:rPr>
        <w:t xml:space="preserve">                              </w:t>
      </w:r>
      <w:r>
        <w:rPr>
          <w:rFonts w:hint="eastAsia" w:ascii="宋体" w:hAnsi="宋体" w:cs="Arial"/>
          <w:sz w:val="21"/>
          <w:szCs w:val="21"/>
        </w:rPr>
        <w:t xml:space="preserve">  传    真：</w:t>
      </w:r>
      <w:r>
        <w:rPr>
          <w:rFonts w:hint="eastAsia" w:ascii="宋体" w:hAnsi="宋体" w:cs="Arial"/>
          <w:sz w:val="21"/>
          <w:szCs w:val="21"/>
          <w:u w:val="single"/>
        </w:rPr>
        <w:t xml:space="preserve">                            </w:t>
      </w:r>
      <w:r>
        <w:rPr>
          <w:rFonts w:hint="eastAsia" w:ascii="宋体" w:hAnsi="宋体" w:cs="Arial"/>
          <w:sz w:val="21"/>
          <w:szCs w:val="21"/>
        </w:rPr>
        <w:t xml:space="preserve"> </w:t>
      </w:r>
    </w:p>
    <w:p>
      <w:pPr>
        <w:widowControl w:val="0"/>
        <w:numPr>
          <w:ilvl w:val="1"/>
          <w:numId w:val="16"/>
        </w:numPr>
        <w:tabs>
          <w:tab w:val="left" w:pos="420"/>
        </w:tabs>
        <w:autoSpaceDN w:val="0"/>
        <w:adjustRightInd/>
        <w:snapToGrid/>
        <w:spacing w:after="0" w:line="360" w:lineRule="auto"/>
        <w:ind w:left="420"/>
        <w:jc w:val="both"/>
        <w:rPr>
          <w:rFonts w:ascii="宋体" w:hAnsi="宋体" w:cs="Arial"/>
          <w:sz w:val="21"/>
          <w:szCs w:val="21"/>
          <w:u w:val="single"/>
        </w:rPr>
      </w:pPr>
      <w:r>
        <w:rPr>
          <w:rFonts w:hint="eastAsia" w:ascii="宋体" w:hAnsi="宋体" w:cs="Arial"/>
          <w:sz w:val="21"/>
          <w:szCs w:val="21"/>
        </w:rPr>
        <w:t>注册资金：</w:t>
      </w:r>
      <w:r>
        <w:rPr>
          <w:rFonts w:hint="eastAsia" w:ascii="宋体" w:hAnsi="宋体" w:cs="Arial"/>
          <w:sz w:val="21"/>
          <w:szCs w:val="21"/>
          <w:u w:val="single"/>
        </w:rPr>
        <w:t xml:space="preserve">                              </w:t>
      </w:r>
      <w:r>
        <w:rPr>
          <w:rFonts w:hint="eastAsia" w:ascii="宋体" w:hAnsi="宋体" w:cs="Arial"/>
          <w:sz w:val="21"/>
          <w:szCs w:val="21"/>
        </w:rPr>
        <w:t xml:space="preserve">  经济性质：</w:t>
      </w:r>
      <w:r>
        <w:rPr>
          <w:rFonts w:hint="eastAsia" w:ascii="宋体" w:hAnsi="宋体" w:cs="Arial"/>
          <w:sz w:val="21"/>
          <w:szCs w:val="21"/>
          <w:u w:val="single"/>
        </w:rPr>
        <w:t xml:space="preserve">                            </w:t>
      </w:r>
    </w:p>
    <w:p>
      <w:pPr>
        <w:widowControl w:val="0"/>
        <w:numPr>
          <w:ilvl w:val="1"/>
          <w:numId w:val="16"/>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 xml:space="preserve">公司开户银行名称及账号：     </w:t>
      </w:r>
    </w:p>
    <w:p>
      <w:pPr>
        <w:widowControl w:val="0"/>
        <w:numPr>
          <w:ilvl w:val="1"/>
          <w:numId w:val="16"/>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 xml:space="preserve">营业注册执照号：   </w:t>
      </w:r>
    </w:p>
    <w:p>
      <w:pPr>
        <w:widowControl w:val="0"/>
        <w:numPr>
          <w:ilvl w:val="1"/>
          <w:numId w:val="16"/>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公司简介</w:t>
      </w:r>
    </w:p>
    <w:p>
      <w:pPr>
        <w:spacing w:line="360" w:lineRule="auto"/>
        <w:ind w:left="360"/>
        <w:rPr>
          <w:rFonts w:ascii="宋体" w:hAnsi="宋体"/>
          <w:sz w:val="21"/>
          <w:szCs w:val="21"/>
        </w:rPr>
      </w:pPr>
      <w:r>
        <w:rPr>
          <w:rFonts w:hint="eastAsia" w:ascii="宋体" w:hAnsi="宋体"/>
          <w:sz w:val="21"/>
          <w:szCs w:val="21"/>
        </w:rPr>
        <w:t>文字描述：</w:t>
      </w:r>
      <w:r>
        <w:rPr>
          <w:rFonts w:hint="eastAsia" w:ascii="宋体" w:hAnsi="宋体"/>
          <w:bCs/>
          <w:sz w:val="21"/>
          <w:szCs w:val="21"/>
          <w:lang w:val="en-GB"/>
        </w:rPr>
        <w:t>发展历程、经营规模及服务理念</w:t>
      </w:r>
      <w:r>
        <w:rPr>
          <w:rFonts w:hint="eastAsia" w:ascii="宋体" w:hAnsi="宋体"/>
          <w:sz w:val="21"/>
          <w:szCs w:val="21"/>
        </w:rPr>
        <w:t>、技术力量、财务状况、管理水平等方面进行阐述。</w:t>
      </w:r>
    </w:p>
    <w:p>
      <w:pPr>
        <w:widowControl w:val="0"/>
        <w:numPr>
          <w:ilvl w:val="0"/>
          <w:numId w:val="16"/>
        </w:numPr>
        <w:autoSpaceDN w:val="0"/>
        <w:adjustRightInd/>
        <w:snapToGrid/>
        <w:spacing w:after="0" w:line="360" w:lineRule="auto"/>
        <w:jc w:val="both"/>
        <w:rPr>
          <w:rFonts w:ascii="宋体" w:hAnsi="宋体" w:cs="Arial"/>
          <w:sz w:val="21"/>
          <w:szCs w:val="21"/>
        </w:rPr>
      </w:pPr>
      <w:r>
        <w:rPr>
          <w:rFonts w:hint="eastAsia" w:ascii="宋体" w:hAnsi="宋体" w:cs="Arial"/>
          <w:sz w:val="21"/>
          <w:szCs w:val="21"/>
        </w:rPr>
        <w:t>投标人获得国家有关部门颁发的资质：</w:t>
      </w:r>
    </w:p>
    <w:tbl>
      <w:tblPr>
        <w:tblStyle w:val="17"/>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3"/>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7" w:hRule="atLeast"/>
        </w:trPr>
        <w:tc>
          <w:tcPr>
            <w:tcW w:w="2463" w:type="dxa"/>
            <w:tcBorders>
              <w:top w:val="single" w:color="auto" w:sz="12" w:space="0"/>
              <w:left w:val="single" w:color="auto" w:sz="12" w:space="0"/>
              <w:bottom w:val="single" w:color="auto" w:sz="4" w:space="0"/>
              <w:right w:val="single" w:color="auto" w:sz="4"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 xml:space="preserve">  证书名称</w:t>
            </w:r>
          </w:p>
        </w:tc>
        <w:tc>
          <w:tcPr>
            <w:tcW w:w="2463" w:type="dxa"/>
            <w:tcBorders>
              <w:top w:val="single" w:color="auto" w:sz="12"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发证单位</w:t>
            </w:r>
          </w:p>
        </w:tc>
        <w:tc>
          <w:tcPr>
            <w:tcW w:w="2464" w:type="dxa"/>
            <w:tcBorders>
              <w:top w:val="single" w:color="auto" w:sz="12"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证书等级</w:t>
            </w:r>
          </w:p>
        </w:tc>
        <w:tc>
          <w:tcPr>
            <w:tcW w:w="2464" w:type="dxa"/>
            <w:tcBorders>
              <w:top w:val="single" w:color="auto" w:sz="12" w:space="0"/>
              <w:left w:val="single" w:color="auto" w:sz="4" w:space="0"/>
              <w:bottom w:val="single" w:color="auto" w:sz="4" w:space="0"/>
              <w:right w:val="single" w:color="auto" w:sz="12"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3" w:type="dxa"/>
            <w:tcBorders>
              <w:top w:val="single" w:color="auto" w:sz="4" w:space="0"/>
              <w:left w:val="single" w:color="auto" w:sz="12" w:space="0"/>
              <w:bottom w:val="single" w:color="auto" w:sz="4" w:space="0"/>
              <w:right w:val="single" w:color="auto" w:sz="4" w:space="0"/>
            </w:tcBorders>
            <w:noWrap w:val="0"/>
            <w:vAlign w:val="top"/>
          </w:tcPr>
          <w:p>
            <w:pPr>
              <w:spacing w:line="360" w:lineRule="auto"/>
              <w:jc w:val="center"/>
              <w:rPr>
                <w:rFonts w:ascii="宋体" w:hAnsi="宋体" w:cs="Arial"/>
                <w:sz w:val="21"/>
                <w:szCs w:val="21"/>
              </w:rPr>
            </w:pPr>
          </w:p>
        </w:tc>
        <w:tc>
          <w:tcPr>
            <w:tcW w:w="246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4" w:space="0"/>
              <w:right w:val="single" w:color="auto" w:sz="12" w:space="0"/>
            </w:tcBorders>
            <w:noWrap w:val="0"/>
            <w:vAlign w:val="top"/>
          </w:tcPr>
          <w:p>
            <w:pPr>
              <w:spacing w:line="360" w:lineRule="auto"/>
              <w:jc w:val="center"/>
              <w:rPr>
                <w:rFonts w:ascii="宋体" w:hAnsi="宋体"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63" w:type="dxa"/>
            <w:tcBorders>
              <w:top w:val="single" w:color="auto" w:sz="4" w:space="0"/>
              <w:left w:val="single" w:color="auto" w:sz="12" w:space="0"/>
              <w:bottom w:val="single" w:color="auto" w:sz="12" w:space="0"/>
              <w:right w:val="single" w:color="auto" w:sz="4" w:space="0"/>
            </w:tcBorders>
            <w:noWrap w:val="0"/>
            <w:vAlign w:val="top"/>
          </w:tcPr>
          <w:p>
            <w:pPr>
              <w:spacing w:line="360" w:lineRule="auto"/>
              <w:jc w:val="center"/>
              <w:rPr>
                <w:rFonts w:ascii="宋体" w:hAnsi="宋体" w:cs="Arial"/>
                <w:sz w:val="21"/>
                <w:szCs w:val="21"/>
              </w:rPr>
            </w:pPr>
          </w:p>
        </w:tc>
        <w:tc>
          <w:tcPr>
            <w:tcW w:w="2463" w:type="dxa"/>
            <w:tcBorders>
              <w:top w:val="single" w:color="auto" w:sz="4" w:space="0"/>
              <w:left w:val="single" w:color="auto" w:sz="4" w:space="0"/>
              <w:bottom w:val="single" w:color="auto" w:sz="12"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12"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12" w:space="0"/>
              <w:right w:val="single" w:color="auto" w:sz="12" w:space="0"/>
            </w:tcBorders>
            <w:noWrap w:val="0"/>
            <w:vAlign w:val="top"/>
          </w:tcPr>
          <w:p>
            <w:pPr>
              <w:spacing w:line="360" w:lineRule="auto"/>
              <w:jc w:val="center"/>
              <w:rPr>
                <w:rFonts w:ascii="宋体" w:hAnsi="宋体" w:cs="Arial"/>
                <w:sz w:val="21"/>
                <w:szCs w:val="21"/>
              </w:rPr>
            </w:pPr>
          </w:p>
        </w:tc>
      </w:tr>
    </w:tbl>
    <w:p>
      <w:pPr>
        <w:spacing w:line="360" w:lineRule="auto"/>
        <w:rPr>
          <w:rFonts w:ascii="宋体" w:hAnsi="宋体" w:cs="Arial"/>
          <w:sz w:val="21"/>
          <w:szCs w:val="21"/>
        </w:rPr>
      </w:pPr>
      <w:r>
        <w:rPr>
          <w:rFonts w:hint="eastAsia" w:ascii="宋体" w:hAnsi="宋体" w:cs="Arial"/>
          <w:sz w:val="21"/>
          <w:szCs w:val="21"/>
        </w:rPr>
        <w:t xml:space="preserve">                                                                                                </w:t>
      </w:r>
    </w:p>
    <w:p>
      <w:pPr>
        <w:spacing w:line="360" w:lineRule="auto"/>
        <w:rPr>
          <w:rFonts w:ascii="宋体" w:hAnsi="宋体" w:cs="Arial"/>
          <w:sz w:val="21"/>
          <w:szCs w:val="21"/>
        </w:rPr>
      </w:pPr>
      <w:r>
        <w:rPr>
          <w:rFonts w:hint="eastAsia" w:ascii="宋体" w:hAnsi="宋体" w:cs="Arial"/>
          <w:sz w:val="21"/>
          <w:szCs w:val="21"/>
        </w:rPr>
        <w:t xml:space="preserve">   我/我们声明以上所述是正确无误的，您有权进行您认为必要的所有调查。</w:t>
      </w:r>
    </w:p>
    <w:p>
      <w:pPr>
        <w:spacing w:line="500" w:lineRule="exact"/>
        <w:ind w:firstLine="420" w:firstLineChars="200"/>
        <w:rPr>
          <w:rFonts w:ascii="宋体" w:hAnsi="宋体" w:cs="Arial"/>
          <w:sz w:val="21"/>
          <w:szCs w:val="21"/>
        </w:rPr>
      </w:pPr>
      <w:bookmarkStart w:id="1166" w:name="_Toc43264525"/>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adjustRightInd/>
        <w:spacing w:line="360" w:lineRule="auto"/>
        <w:rPr>
          <w:rFonts w:ascii="黑体" w:eastAsia="黑体"/>
          <w:b/>
          <w:bCs/>
          <w:sz w:val="28"/>
        </w:rPr>
        <w:sectPr>
          <w:pgSz w:w="11906" w:h="16838"/>
          <w:pgMar w:top="720" w:right="720" w:bottom="720" w:left="720" w:header="657" w:footer="481" w:gutter="0"/>
          <w:cols w:space="720" w:num="1"/>
          <w:docGrid w:linePitch="272" w:charSpace="0"/>
        </w:sectPr>
      </w:pPr>
    </w:p>
    <w:bookmarkEnd w:id="1160"/>
    <w:bookmarkEnd w:id="1161"/>
    <w:bookmarkEnd w:id="1166"/>
    <w:p>
      <w:pPr>
        <w:spacing w:line="440" w:lineRule="exact"/>
        <w:rPr>
          <w:rFonts w:ascii="黑体" w:hAnsi="黑体" w:eastAsia="黑体" w:cs="黑体"/>
          <w:sz w:val="28"/>
          <w:szCs w:val="28"/>
        </w:rPr>
      </w:pPr>
      <w:bookmarkStart w:id="1167" w:name="_Toc259022219"/>
      <w:r>
        <w:rPr>
          <w:rFonts w:hint="eastAsia" w:ascii="黑体" w:hAnsi="黑体" w:eastAsia="黑体" w:cs="黑体"/>
          <w:sz w:val="28"/>
          <w:szCs w:val="28"/>
        </w:rPr>
        <w:t>格式10</w:t>
      </w:r>
    </w:p>
    <w:p>
      <w:pPr>
        <w:spacing w:line="440" w:lineRule="exact"/>
        <w:ind w:left="-2" w:leftChars="-1"/>
        <w:rPr>
          <w:spacing w:val="4"/>
        </w:rPr>
      </w:pPr>
    </w:p>
    <w:p>
      <w:pPr>
        <w:pStyle w:val="5"/>
        <w:adjustRightInd w:val="0"/>
        <w:snapToGrid w:val="0"/>
        <w:spacing w:before="156" w:beforeLines="50" w:after="156" w:afterLines="50" w:line="360" w:lineRule="auto"/>
        <w:jc w:val="center"/>
        <w:rPr>
          <w:b w:val="0"/>
        </w:rPr>
      </w:pPr>
      <w:bookmarkStart w:id="1168" w:name="_Toc275865621"/>
      <w:bookmarkStart w:id="1169" w:name="_Toc453957439"/>
      <w:r>
        <w:rPr>
          <w:rFonts w:hint="eastAsia"/>
          <w:b w:val="0"/>
        </w:rPr>
        <w:t>用户需求响应一览表</w:t>
      </w:r>
      <w:bookmarkEnd w:id="1167"/>
      <w:bookmarkEnd w:id="1168"/>
      <w:bookmarkEnd w:id="1169"/>
    </w:p>
    <w:p>
      <w:pPr>
        <w:spacing w:line="360" w:lineRule="auto"/>
        <w:ind w:left="945" w:hanging="945" w:hangingChars="450"/>
        <w:rPr>
          <w:rFonts w:ascii="宋体" w:hAnsi="宋体"/>
          <w:sz w:val="21"/>
          <w:szCs w:val="21"/>
        </w:rPr>
      </w:pPr>
      <w:r>
        <w:rPr>
          <w:rFonts w:hint="eastAsia" w:ascii="宋体" w:hAnsi="宋体"/>
          <w:sz w:val="21"/>
          <w:szCs w:val="21"/>
        </w:rPr>
        <w:t>说明：投标人必须对应招标文件的</w:t>
      </w:r>
      <w:r>
        <w:rPr>
          <w:rFonts w:hint="eastAsia"/>
          <w:sz w:val="21"/>
          <w:szCs w:val="21"/>
        </w:rPr>
        <w:t>用户需求书</w:t>
      </w:r>
      <w:r>
        <w:rPr>
          <w:rFonts w:hint="eastAsia" w:ascii="宋体" w:hAnsi="宋体"/>
          <w:sz w:val="21"/>
          <w:szCs w:val="21"/>
        </w:rPr>
        <w:t>条款逐条应答并按要求填写下表。</w:t>
      </w:r>
    </w:p>
    <w:p>
      <w:pPr>
        <w:wordWrap w:val="0"/>
        <w:spacing w:line="360" w:lineRule="auto"/>
        <w:rPr>
          <w:rFonts w:hint="eastAsia" w:ascii="宋体" w:hAnsi="宋体" w:eastAsia="微软雅黑"/>
          <w:sz w:val="21"/>
          <w:szCs w:val="21"/>
          <w:lang w:eastAsia="zh-CN"/>
        </w:rPr>
      </w:pPr>
      <w:r>
        <w:rPr>
          <w:rFonts w:hint="eastAsia" w:ascii="宋体" w:hAnsi="宋体"/>
          <w:sz w:val="21"/>
          <w:szCs w:val="21"/>
        </w:rPr>
        <w:t>投标人名称：                                            项目编号：</w:t>
      </w:r>
      <w:r>
        <w:rPr>
          <w:rFonts w:hint="eastAsia" w:ascii="宋体" w:hAnsi="宋体"/>
          <w:sz w:val="21"/>
          <w:szCs w:val="21"/>
          <w:lang w:eastAsia="zh-CN"/>
        </w:rPr>
        <w:t>GZBC21HG08004</w:t>
      </w:r>
    </w:p>
    <w:tbl>
      <w:tblPr>
        <w:tblStyle w:val="17"/>
        <w:tblW w:w="101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6"/>
        <w:gridCol w:w="4728"/>
        <w:gridCol w:w="1729"/>
        <w:gridCol w:w="29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2" w:hRule="atLeast"/>
          <w:jc w:val="center"/>
        </w:trPr>
        <w:tc>
          <w:tcPr>
            <w:tcW w:w="706" w:type="dxa"/>
            <w:tcBorders>
              <w:top w:val="single" w:color="auto" w:sz="12" w:space="0"/>
              <w:left w:val="single" w:color="auto" w:sz="12" w:space="0"/>
              <w:bottom w:val="single" w:color="auto" w:sz="6" w:space="0"/>
              <w:right w:val="single" w:color="auto" w:sz="6" w:space="0"/>
            </w:tcBorders>
            <w:shd w:val="clear" w:color="auto" w:fill="EEECE1"/>
            <w:noWrap w:val="0"/>
            <w:vAlign w:val="center"/>
          </w:tcPr>
          <w:p>
            <w:pPr>
              <w:spacing w:line="4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序号</w:t>
            </w:r>
          </w:p>
        </w:tc>
        <w:tc>
          <w:tcPr>
            <w:tcW w:w="4728" w:type="dxa"/>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原条款描述</w:t>
            </w:r>
          </w:p>
        </w:tc>
        <w:tc>
          <w:tcPr>
            <w:tcW w:w="1729" w:type="dxa"/>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投标人响应描述</w:t>
            </w:r>
          </w:p>
        </w:tc>
        <w:tc>
          <w:tcPr>
            <w:tcW w:w="2945" w:type="dxa"/>
            <w:tcBorders>
              <w:top w:val="single" w:color="auto" w:sz="12"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偏离情况说明</w:t>
            </w:r>
          </w:p>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both"/>
              <w:rPr>
                <w:rFonts w:hint="eastAsia" w:ascii="微软雅黑" w:hAnsi="微软雅黑" w:eastAsia="微软雅黑" w:cs="微软雅黑"/>
                <w:b/>
                <w:bCs/>
                <w:sz w:val="20"/>
                <w:szCs w:val="20"/>
                <w:lang w:eastAsia="zh-CN"/>
              </w:rPr>
            </w:pPr>
            <w:r>
              <w:rPr>
                <w:rFonts w:hint="eastAsia" w:ascii="微软雅黑" w:hAnsi="微软雅黑" w:eastAsia="微软雅黑" w:cs="微软雅黑"/>
                <w:b/>
                <w:bCs/>
                <w:sz w:val="20"/>
                <w:szCs w:val="20"/>
              </w:rPr>
              <w:t>遥控浮球阀</w:t>
            </w:r>
            <w:r>
              <w:rPr>
                <w:rFonts w:hint="eastAsia" w:ascii="微软雅黑" w:hAnsi="微软雅黑" w:cs="微软雅黑"/>
                <w:b/>
                <w:bCs/>
                <w:sz w:val="20"/>
                <w:szCs w:val="20"/>
                <w:lang w:eastAsia="zh-CN"/>
              </w:rPr>
              <w:t>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lang w:val="zh-TW" w:eastAsia="zh-TW"/>
              </w:rPr>
            </w:pPr>
            <w:r>
              <w:rPr>
                <w:rFonts w:hint="eastAsia" w:ascii="微软雅黑" w:hAnsi="微软雅黑" w:eastAsia="微软雅黑" w:cs="微软雅黑"/>
                <w:b/>
                <w:bCs/>
                <w:sz w:val="20"/>
                <w:szCs w:val="20"/>
              </w:rPr>
              <w:t>微量排气阀技术要求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lang w:val="zh-TW" w:eastAsia="zh-TW"/>
              </w:rPr>
            </w:pPr>
            <w:r>
              <w:rPr>
                <w:rFonts w:hint="eastAsia" w:ascii="微软雅黑" w:hAnsi="微软雅黑" w:eastAsia="微软雅黑" w:cs="微软雅黑"/>
                <w:b/>
                <w:bCs/>
                <w:sz w:val="20"/>
                <w:szCs w:val="20"/>
              </w:rPr>
              <w:t>减压阀</w:t>
            </w:r>
            <w:r>
              <w:rPr>
                <w:rFonts w:hint="eastAsia" w:ascii="微软雅黑" w:hAnsi="微软雅黑" w:cs="微软雅黑"/>
                <w:b/>
                <w:bCs/>
                <w:sz w:val="20"/>
                <w:szCs w:val="20"/>
                <w:lang w:eastAsia="zh-CN"/>
              </w:rPr>
              <w:t>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中线型法兰式蝶阀技术要求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偏心法兰式蝶阀技术要求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锁控弹性座封闸阀技术要求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暗杆弹性座封闸阀技术要求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橡胶瓣逆止阀技术要求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Y型过滤器技术要求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复合式排气阀技术要求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倒流防止器技术要求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color w:val="auto"/>
                <w:sz w:val="20"/>
                <w:szCs w:val="20"/>
                <w:lang w:val="en-US" w:eastAsia="zh-CN"/>
              </w:rPr>
              <w:t>伸缩</w:t>
            </w:r>
            <w:r>
              <w:rPr>
                <w:rFonts w:hint="eastAsia" w:ascii="微软雅黑" w:hAnsi="微软雅黑" w:eastAsia="微软雅黑" w:cs="微软雅黑"/>
                <w:b/>
                <w:color w:val="auto"/>
                <w:sz w:val="20"/>
                <w:szCs w:val="20"/>
              </w:rPr>
              <w:t>过滤器的技术要求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17"/>
              </w:numPr>
              <w:autoSpaceDN w:val="0"/>
              <w:adjustRightInd/>
              <w:snapToGrid/>
              <w:spacing w:after="0" w:line="400" w:lineRule="exact"/>
              <w:ind w:left="182"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宋体" w:hAnsi="宋体" w:eastAsia="宋体" w:cs="宋体"/>
                <w:b/>
                <w:bCs/>
                <w:sz w:val="21"/>
                <w:szCs w:val="21"/>
              </w:rPr>
              <w:t>橡胶瓣逆止阀技术要求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bl>
    <w:p>
      <w:pPr>
        <w:spacing w:line="500" w:lineRule="exact"/>
        <w:rPr>
          <w:rFonts w:hint="eastAsia"/>
          <w:spacing w:val="4"/>
          <w:sz w:val="21"/>
          <w:szCs w:val="21"/>
        </w:rPr>
      </w:pPr>
    </w:p>
    <w:p>
      <w:pPr>
        <w:spacing w:line="500" w:lineRule="exact"/>
        <w:rPr>
          <w:rFonts w:hint="eastAsia"/>
          <w:spacing w:val="4"/>
          <w:sz w:val="21"/>
          <w:szCs w:val="21"/>
        </w:rPr>
      </w:pPr>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u w:val="single"/>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bookmarkEnd w:id="1162"/>
    <w:p>
      <w:pPr>
        <w:spacing w:line="360" w:lineRule="auto"/>
        <w:rPr>
          <w:rFonts w:ascii="黑体" w:hAnsi="黑体" w:eastAsia="黑体" w:cs="黑体"/>
          <w:sz w:val="28"/>
          <w:szCs w:val="28"/>
        </w:rPr>
      </w:pPr>
      <w:bookmarkStart w:id="1170" w:name="_Toc275865624"/>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pStyle w:val="16"/>
        <w:ind w:left="0" w:leftChars="0" w:firstLine="0" w:firstLineChars="0"/>
        <w:rPr>
          <w:rFonts w:hint="eastAsia" w:ascii="黑体" w:hAnsi="黑体" w:eastAsia="黑体" w:cs="黑体"/>
          <w:sz w:val="28"/>
          <w:szCs w:val="28"/>
        </w:rPr>
      </w:pPr>
    </w:p>
    <w:p>
      <w:pPr>
        <w:pStyle w:val="16"/>
        <w:ind w:left="0" w:leftChars="0" w:firstLine="0" w:firstLineChars="0"/>
        <w:rPr>
          <w:rFonts w:hint="eastAsia" w:ascii="黑体" w:hAnsi="黑体" w:eastAsia="黑体" w:cs="黑体"/>
          <w:sz w:val="28"/>
          <w:szCs w:val="28"/>
        </w:rPr>
      </w:pPr>
    </w:p>
    <w:p>
      <w:pPr>
        <w:spacing w:line="360" w:lineRule="auto"/>
        <w:rPr>
          <w:rFonts w:hint="eastAsia" w:ascii="黑体" w:hAnsi="黑体" w:eastAsia="黑体" w:cs="黑体"/>
          <w:sz w:val="28"/>
          <w:szCs w:val="28"/>
        </w:rPr>
      </w:pPr>
    </w:p>
    <w:p>
      <w:pPr>
        <w:spacing w:line="360" w:lineRule="auto"/>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lang w:val="en-US" w:eastAsia="zh-CN"/>
        </w:rPr>
      </w:pPr>
      <w:r>
        <w:rPr>
          <w:rFonts w:hint="eastAsia" w:ascii="黑体" w:hAnsi="黑体" w:eastAsia="黑体" w:cs="黑体"/>
          <w:sz w:val="28"/>
          <w:szCs w:val="28"/>
        </w:rPr>
        <w:t>格式11</w:t>
      </w:r>
      <w:r>
        <w:rPr>
          <w:rFonts w:hint="eastAsia" w:ascii="黑体" w:hAnsi="黑体" w:eastAsia="黑体" w:cs="黑体"/>
          <w:sz w:val="28"/>
          <w:szCs w:val="28"/>
          <w:lang w:val="en-US" w:eastAsia="zh-CN"/>
        </w:rPr>
        <w:t xml:space="preserve">           </w:t>
      </w:r>
    </w:p>
    <w:p>
      <w:pPr>
        <w:pStyle w:val="5"/>
        <w:bidi w:val="0"/>
        <w:jc w:val="center"/>
      </w:pPr>
      <w:r>
        <w:rPr>
          <w:rFonts w:hint="eastAsia"/>
          <w:b w:val="0"/>
          <w:bCs w:val="0"/>
          <w:lang w:val="en-GB"/>
        </w:rPr>
        <w:t>实质性响应条款一览表</w:t>
      </w:r>
    </w:p>
    <w:p>
      <w:pPr>
        <w:spacing w:line="360" w:lineRule="auto"/>
        <w:ind w:firstLine="200" w:firstLineChars="100"/>
        <w:rPr>
          <w:rFonts w:hint="eastAsia" w:ascii="微软雅黑" w:hAnsi="微软雅黑" w:eastAsia="微软雅黑" w:cs="微软雅黑"/>
          <w:kern w:val="2"/>
          <w:sz w:val="20"/>
          <w:szCs w:val="20"/>
        </w:rPr>
      </w:pPr>
      <w:r>
        <w:rPr>
          <w:rFonts w:hint="eastAsia" w:ascii="微软雅黑" w:hAnsi="微软雅黑" w:eastAsia="微软雅黑" w:cs="微软雅黑"/>
          <w:kern w:val="2"/>
          <w:sz w:val="20"/>
          <w:szCs w:val="20"/>
        </w:rPr>
        <w:t xml:space="preserve">项目名称：**** </w:t>
      </w:r>
    </w:p>
    <w:tbl>
      <w:tblPr>
        <w:tblStyle w:val="17"/>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807"/>
        <w:gridCol w:w="2880"/>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序号</w:t>
            </w:r>
          </w:p>
        </w:tc>
        <w:tc>
          <w:tcPr>
            <w:tcW w:w="3807"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实质性响应条款</w:t>
            </w:r>
          </w:p>
        </w:tc>
        <w:tc>
          <w:tcPr>
            <w:tcW w:w="2880"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投标人响应情况</w:t>
            </w:r>
          </w:p>
        </w:tc>
        <w:tc>
          <w:tcPr>
            <w:tcW w:w="1807"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偏离情况说明</w:t>
            </w:r>
          </w:p>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（正偏离/完全响应/负偏离）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28"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3807" w:type="dxa"/>
            <w:tcBorders>
              <w:top w:val="single" w:color="auto" w:sz="4" w:space="0"/>
              <w:left w:val="single" w:color="auto" w:sz="4" w:space="0"/>
              <w:bottom w:val="single" w:color="auto" w:sz="4" w:space="0"/>
              <w:right w:val="single" w:color="auto" w:sz="4" w:space="0"/>
            </w:tcBorders>
            <w:vAlign w:val="center"/>
          </w:tcPr>
          <w:p>
            <w:pPr>
              <w:pStyle w:val="23"/>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以下内容根据本招标文件带“★”号条款详细列举</w:t>
            </w:r>
          </w:p>
        </w:tc>
        <w:tc>
          <w:tcPr>
            <w:tcW w:w="2880"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3807"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c>
          <w:tcPr>
            <w:tcW w:w="2880" w:type="dxa"/>
            <w:tcBorders>
              <w:top w:val="single" w:color="auto" w:sz="4" w:space="0"/>
              <w:left w:val="single" w:color="auto" w:sz="4" w:space="0"/>
              <w:bottom w:val="single" w:color="auto" w:sz="4" w:space="0"/>
              <w:right w:val="single" w:color="auto" w:sz="4" w:space="0"/>
            </w:tcBorders>
          </w:tcPr>
          <w:p>
            <w:pPr>
              <w:pStyle w:val="23"/>
              <w:spacing w:line="360" w:lineRule="auto"/>
              <w:ind w:firstLine="100" w:firstLineChars="50"/>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p>
        </w:tc>
        <w:tc>
          <w:tcPr>
            <w:tcW w:w="3807"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c>
          <w:tcPr>
            <w:tcW w:w="2880"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3"/>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w:t>
            </w:r>
          </w:p>
        </w:tc>
        <w:tc>
          <w:tcPr>
            <w:tcW w:w="3807"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c>
          <w:tcPr>
            <w:tcW w:w="2880"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3"/>
              <w:spacing w:line="360" w:lineRule="auto"/>
              <w:rPr>
                <w:rFonts w:hint="eastAsia" w:ascii="微软雅黑" w:hAnsi="微软雅黑" w:eastAsia="微软雅黑" w:cs="微软雅黑"/>
                <w:sz w:val="20"/>
                <w:szCs w:val="20"/>
              </w:rPr>
            </w:pPr>
          </w:p>
        </w:tc>
      </w:tr>
    </w:tbl>
    <w:p>
      <w:pPr>
        <w:pStyle w:val="23"/>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说明：</w:t>
      </w:r>
    </w:p>
    <w:p>
      <w:pPr>
        <w:pStyle w:val="23"/>
        <w:numPr>
          <w:ilvl w:val="0"/>
          <w:numId w:val="18"/>
        </w:numPr>
        <w:tabs>
          <w:tab w:val="left" w:pos="-426"/>
        </w:tabs>
        <w:spacing w:line="360" w:lineRule="auto"/>
        <w:ind w:left="0" w:right="-59" w:rightChars="-27" w:firstLine="0"/>
        <w:rPr>
          <w:rFonts w:hint="eastAsia" w:ascii="微软雅黑" w:hAnsi="微软雅黑" w:eastAsia="微软雅黑" w:cs="微软雅黑"/>
          <w:sz w:val="20"/>
          <w:szCs w:val="20"/>
        </w:rPr>
      </w:pPr>
      <w:r>
        <w:rPr>
          <w:rFonts w:hint="eastAsia" w:ascii="微软雅黑" w:hAnsi="微软雅黑" w:eastAsia="微软雅黑" w:cs="微软雅黑"/>
          <w:sz w:val="20"/>
          <w:szCs w:val="20"/>
        </w:rPr>
        <w:t>本表所列条款必须一一予以响应（留空视同响应），“实质性响应条款”一栏应填写具体的响应内容。</w:t>
      </w:r>
    </w:p>
    <w:p>
      <w:pPr>
        <w:pStyle w:val="23"/>
        <w:numPr>
          <w:ilvl w:val="0"/>
          <w:numId w:val="18"/>
        </w:numPr>
        <w:tabs>
          <w:tab w:val="left" w:pos="-426"/>
        </w:tabs>
        <w:spacing w:line="360" w:lineRule="auto"/>
        <w:ind w:left="0" w:right="-59" w:rightChars="-27" w:firstLine="0"/>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“投标人响应情况”中有差异的要具体说明；填写响应、完全响应或留空均视同响应。</w:t>
      </w:r>
    </w:p>
    <w:p>
      <w:pPr>
        <w:pStyle w:val="23"/>
        <w:numPr>
          <w:ilvl w:val="0"/>
          <w:numId w:val="18"/>
        </w:numPr>
        <w:tabs>
          <w:tab w:val="left" w:pos="-426"/>
        </w:tabs>
        <w:spacing w:line="360" w:lineRule="auto"/>
        <w:ind w:left="0" w:right="-59" w:rightChars="-27" w:firstLine="0"/>
        <w:rPr>
          <w:rFonts w:hint="eastAsia" w:ascii="微软雅黑" w:hAnsi="微软雅黑" w:eastAsia="微软雅黑" w:cs="微软雅黑"/>
          <w:sz w:val="20"/>
          <w:szCs w:val="20"/>
        </w:rPr>
      </w:pPr>
      <w:r>
        <w:rPr>
          <w:rFonts w:hint="eastAsia" w:ascii="微软雅黑" w:hAnsi="微软雅黑" w:eastAsia="微软雅黑" w:cs="微软雅黑"/>
          <w:sz w:val="20"/>
          <w:szCs w:val="20"/>
        </w:rPr>
        <w:t>“差异”有差异的要具体说明，如无差异可填写“无差异”或留空。</w:t>
      </w:r>
    </w:p>
    <w:p>
      <w:pPr>
        <w:numPr>
          <w:ilvl w:val="0"/>
          <w:numId w:val="18"/>
        </w:numPr>
        <w:adjustRightInd w:val="0"/>
        <w:snapToGrid w:val="0"/>
        <w:spacing w:line="360" w:lineRule="auto"/>
        <w:ind w:left="0" w:leftChars="0" w:right="420" w:firstLine="0" w:firstLineChars="0"/>
        <w:jc w:val="both"/>
        <w:rPr>
          <w:rFonts w:hint="eastAsia" w:asciiTheme="minorEastAsia" w:hAnsiTheme="minorEastAsia" w:eastAsiaTheme="minorEastAsia"/>
          <w:sz w:val="24"/>
          <w:szCs w:val="24"/>
        </w:rPr>
      </w:pPr>
      <w:r>
        <w:rPr>
          <w:rFonts w:hint="eastAsia" w:ascii="微软雅黑" w:hAnsi="微软雅黑" w:cs="微软雅黑"/>
          <w:sz w:val="20"/>
          <w:szCs w:val="20"/>
          <w:lang w:val="en-US" w:eastAsia="zh-CN"/>
        </w:rPr>
        <w:t xml:space="preserve">  </w:t>
      </w:r>
      <w:r>
        <w:rPr>
          <w:rFonts w:hint="eastAsia" w:ascii="微软雅黑" w:hAnsi="微软雅黑" w:eastAsia="微软雅黑" w:cs="微软雅黑"/>
          <w:sz w:val="20"/>
          <w:szCs w:val="20"/>
        </w:rPr>
        <w:t>请投标人认真填写本表内容，如填写错误将可能导致投标无效。</w:t>
      </w:r>
      <w:r>
        <w:rPr>
          <w:rFonts w:hint="eastAsia" w:asciiTheme="minorEastAsia" w:hAnsiTheme="minorEastAsia" w:eastAsiaTheme="minorEastAsia"/>
          <w:sz w:val="24"/>
          <w:szCs w:val="24"/>
        </w:rPr>
        <w:t xml:space="preserve">   </w:t>
      </w:r>
    </w:p>
    <w:p>
      <w:pPr>
        <w:adjustRightInd w:val="0"/>
        <w:snapToGrid w:val="0"/>
        <w:spacing w:line="360" w:lineRule="auto"/>
        <w:ind w:right="420"/>
        <w:jc w:val="center"/>
        <w:rPr>
          <w:rFonts w:hint="eastAsia" w:ascii="微软雅黑" w:hAnsi="微软雅黑" w:eastAsia="微软雅黑" w:cs="微软雅黑"/>
          <w:sz w:val="20"/>
          <w:szCs w:val="20"/>
          <w:u w:val="single"/>
        </w:rPr>
      </w:pPr>
      <w:r>
        <w:rPr>
          <w:rFonts w:hint="eastAsia" w:ascii="微软雅黑" w:hAnsi="微软雅黑" w:eastAsia="微软雅黑" w:cs="微软雅黑"/>
          <w:sz w:val="20"/>
          <w:szCs w:val="20"/>
        </w:rPr>
        <w:t>法定代表人/负责人/委托代理人（签字或盖章）：</w:t>
      </w:r>
    </w:p>
    <w:p>
      <w:pPr>
        <w:adjustRightInd w:val="0"/>
        <w:snapToGrid w:val="0"/>
        <w:spacing w:line="360" w:lineRule="auto"/>
        <w:ind w:right="420"/>
        <w:jc w:val="center"/>
        <w:rPr>
          <w:rFonts w:hint="eastAsia" w:ascii="微软雅黑" w:hAnsi="微软雅黑" w:eastAsia="微软雅黑" w:cs="微软雅黑"/>
          <w:sz w:val="20"/>
          <w:szCs w:val="20"/>
          <w:u w:val="single"/>
        </w:rPr>
      </w:pPr>
      <w:r>
        <w:rPr>
          <w:rFonts w:hint="eastAsia" w:ascii="微软雅黑" w:hAnsi="微软雅黑" w:eastAsia="微软雅黑" w:cs="微软雅黑"/>
          <w:sz w:val="20"/>
          <w:szCs w:val="20"/>
        </w:rPr>
        <w:t xml:space="preserve">              投标人名称（签章）：</w:t>
      </w:r>
    </w:p>
    <w:p>
      <w:pPr>
        <w:adjustRightInd w:val="0"/>
        <w:snapToGrid w:val="0"/>
        <w:spacing w:line="360" w:lineRule="auto"/>
        <w:ind w:right="420"/>
        <w:jc w:val="center"/>
        <w:rPr>
          <w:rFonts w:hint="eastAsia" w:ascii="微软雅黑" w:hAnsi="微软雅黑" w:eastAsia="微软雅黑" w:cs="微软雅黑"/>
          <w:b/>
          <w:sz w:val="20"/>
          <w:szCs w:val="20"/>
          <w:lang w:val="en-GB"/>
        </w:rPr>
      </w:pPr>
      <w:r>
        <w:rPr>
          <w:rFonts w:hint="eastAsia" w:ascii="微软雅黑" w:hAnsi="微软雅黑" w:eastAsia="微软雅黑" w:cs="微软雅黑"/>
          <w:sz w:val="20"/>
          <w:szCs w:val="20"/>
        </w:rPr>
        <w:t xml:space="preserve">                   日期：年月日</w:t>
      </w:r>
    </w:p>
    <w:p>
      <w:pPr>
        <w:spacing w:line="360" w:lineRule="auto"/>
        <w:rPr>
          <w:rFonts w:hint="eastAsia" w:ascii="微软雅黑" w:hAnsi="微软雅黑" w:eastAsia="微软雅黑" w:cs="微软雅黑"/>
          <w:sz w:val="20"/>
          <w:szCs w:val="20"/>
        </w:rPr>
      </w:pPr>
    </w:p>
    <w:p>
      <w:pPr>
        <w:outlineLvl w:val="9"/>
        <w:rPr>
          <w:rFonts w:hint="eastAsia" w:ascii="黑体" w:hAnsi="黑体" w:eastAsia="黑体" w:cs="黑体"/>
          <w:sz w:val="28"/>
          <w:szCs w:val="28"/>
        </w:rPr>
      </w:pPr>
    </w:p>
    <w:bookmarkEnd w:id="1170"/>
    <w:p>
      <w:pPr>
        <w:spacing w:line="520" w:lineRule="exact"/>
        <w:ind w:left="1"/>
        <w:rPr>
          <w:rFonts w:hint="eastAsia" w:ascii="黑体" w:hAnsi="黑体" w:eastAsia="黑体" w:cs="黑体"/>
          <w:sz w:val="28"/>
          <w:szCs w:val="28"/>
        </w:rPr>
      </w:pPr>
    </w:p>
    <w:p>
      <w:pPr>
        <w:spacing w:line="520" w:lineRule="exact"/>
        <w:rPr>
          <w:rFonts w:hint="eastAsia" w:eastAsia="黑体"/>
          <w:lang w:eastAsia="zh-CN"/>
        </w:rPr>
      </w:pPr>
      <w:r>
        <w:rPr>
          <w:rFonts w:hint="eastAsia" w:ascii="黑体" w:hAnsi="黑体" w:eastAsia="黑体" w:cs="黑体"/>
          <w:sz w:val="28"/>
          <w:szCs w:val="28"/>
        </w:rPr>
        <w:t>格式1</w:t>
      </w:r>
      <w:r>
        <w:rPr>
          <w:rFonts w:hint="eastAsia" w:ascii="黑体" w:hAnsi="黑体" w:eastAsia="黑体" w:cs="黑体"/>
          <w:sz w:val="28"/>
          <w:szCs w:val="28"/>
          <w:lang w:val="en-US" w:eastAsia="zh-CN"/>
        </w:rPr>
        <w:t>2</w:t>
      </w:r>
    </w:p>
    <w:p>
      <w:pPr>
        <w:pStyle w:val="5"/>
        <w:adjustRightInd w:val="0"/>
        <w:snapToGrid w:val="0"/>
        <w:spacing w:before="156" w:beforeLines="50" w:after="156" w:afterLines="50" w:line="360" w:lineRule="auto"/>
        <w:jc w:val="center"/>
        <w:rPr>
          <w:b w:val="0"/>
        </w:rPr>
      </w:pPr>
      <w:bookmarkStart w:id="1171" w:name="_Toc173553195"/>
      <w:bookmarkStart w:id="1172" w:name="_Toc275865626"/>
      <w:bookmarkStart w:id="1173" w:name="_Toc453957442"/>
      <w:r>
        <w:rPr>
          <w:rFonts w:hint="eastAsia"/>
          <w:b w:val="0"/>
        </w:rPr>
        <w:t>退投标保证金说明</w:t>
      </w:r>
      <w:bookmarkEnd w:id="1171"/>
      <w:bookmarkEnd w:id="1172"/>
      <w:bookmarkEnd w:id="1173"/>
    </w:p>
    <w:p>
      <w:pPr>
        <w:spacing w:line="360" w:lineRule="auto"/>
        <w:ind w:firstLine="420"/>
        <w:rPr>
          <w:rFonts w:ascii="宋体"/>
          <w:sz w:val="21"/>
          <w:szCs w:val="21"/>
        </w:rPr>
      </w:pPr>
      <w:r>
        <w:rPr>
          <w:rFonts w:hint="eastAsia" w:ascii="宋体"/>
          <w:sz w:val="21"/>
          <w:szCs w:val="21"/>
        </w:rPr>
        <w:t>我方为</w:t>
      </w:r>
      <w:r>
        <w:rPr>
          <w:rFonts w:hint="eastAsia" w:ascii="微软雅黑" w:hAnsi="微软雅黑" w:cs="微软雅黑"/>
          <w:bCs/>
          <w:sz w:val="21"/>
          <w:szCs w:val="21"/>
          <w:lang w:eastAsia="zh-CN"/>
        </w:rPr>
        <w:t>广州市增城自来水安装工程有限公司2021~2022年度阀门(大口径)采购项目</w:t>
      </w:r>
      <w:r>
        <w:rPr>
          <w:rFonts w:hint="eastAsia" w:ascii="宋体"/>
          <w:sz w:val="21"/>
          <w:szCs w:val="21"/>
        </w:rPr>
        <w:t>的投标</w:t>
      </w:r>
    </w:p>
    <w:p>
      <w:pPr>
        <w:spacing w:line="360" w:lineRule="auto"/>
        <w:ind w:firstLine="420"/>
        <w:rPr>
          <w:rFonts w:ascii="宋体"/>
          <w:sz w:val="21"/>
          <w:szCs w:val="21"/>
        </w:rPr>
      </w:pPr>
      <w:r>
        <w:rPr>
          <w:rFonts w:hint="eastAsia" w:ascii="宋体"/>
          <w:sz w:val="21"/>
          <w:szCs w:val="21"/>
        </w:rPr>
        <w:t>（项目编号为：</w:t>
      </w:r>
      <w:r>
        <w:rPr>
          <w:rFonts w:hint="eastAsia" w:ascii="宋体"/>
          <w:sz w:val="21"/>
          <w:szCs w:val="21"/>
          <w:lang w:eastAsia="zh-CN"/>
        </w:rPr>
        <w:t>GZBC21HG08004</w:t>
      </w:r>
      <w:r>
        <w:rPr>
          <w:rFonts w:hint="eastAsia" w:ascii="宋体"/>
          <w:sz w:val="21"/>
          <w:szCs w:val="21"/>
        </w:rPr>
        <w:t>）所提交的投标保证金</w:t>
      </w:r>
      <w:r>
        <w:rPr>
          <w:rFonts w:hint="eastAsia" w:ascii="宋体"/>
          <w:sz w:val="21"/>
          <w:szCs w:val="21"/>
          <w:u w:val="single"/>
        </w:rPr>
        <w:t xml:space="preserve">   （大写金额）   </w:t>
      </w:r>
      <w:r>
        <w:rPr>
          <w:rFonts w:hint="eastAsia" w:ascii="宋体"/>
          <w:sz w:val="21"/>
          <w:szCs w:val="21"/>
        </w:rPr>
        <w:t>元，请退还投标保证金</w:t>
      </w:r>
      <w:r>
        <w:rPr>
          <w:rFonts w:hint="eastAsia" w:ascii="宋体"/>
          <w:sz w:val="21"/>
          <w:szCs w:val="21"/>
          <w:u w:val="single"/>
        </w:rPr>
        <w:t xml:space="preserve">   （小写金额）     </w:t>
      </w:r>
      <w:r>
        <w:rPr>
          <w:rFonts w:hint="eastAsia" w:ascii="宋体"/>
          <w:sz w:val="21"/>
          <w:szCs w:val="21"/>
        </w:rPr>
        <w:t>元，请划到以下</w:t>
      </w:r>
      <w:r>
        <w:rPr>
          <w:rFonts w:hint="eastAsia"/>
          <w:sz w:val="21"/>
          <w:szCs w:val="21"/>
        </w:rPr>
        <w:t>账户</w:t>
      </w:r>
      <w:r>
        <w:rPr>
          <w:rFonts w:hint="eastAsia" w:ascii="宋体"/>
          <w:sz w:val="21"/>
          <w:szCs w:val="21"/>
        </w:rPr>
        <w:t>：</w:t>
      </w:r>
    </w:p>
    <w:tbl>
      <w:tblPr>
        <w:tblStyle w:val="17"/>
        <w:tblW w:w="945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3"/>
        <w:gridCol w:w="4660"/>
        <w:gridCol w:w="1229"/>
        <w:gridCol w:w="17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00" w:hRule="atLeast"/>
          <w:jc w:val="center"/>
        </w:trPr>
        <w:tc>
          <w:tcPr>
            <w:tcW w:w="1833" w:type="dxa"/>
            <w:tcBorders>
              <w:top w:val="single" w:color="auto" w:sz="12" w:space="0"/>
              <w:left w:val="single" w:color="auto" w:sz="12"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收款人名称</w:t>
            </w:r>
          </w:p>
        </w:tc>
        <w:tc>
          <w:tcPr>
            <w:tcW w:w="7623" w:type="dxa"/>
            <w:gridSpan w:val="3"/>
            <w:tcBorders>
              <w:top w:val="single" w:color="auto" w:sz="12" w:space="0"/>
              <w:left w:val="single" w:color="auto" w:sz="4" w:space="0"/>
              <w:bottom w:val="single" w:color="auto" w:sz="4" w:space="0"/>
              <w:right w:val="single" w:color="auto" w:sz="12" w:space="0"/>
            </w:tcBorders>
            <w:noWrap w:val="0"/>
            <w:vAlign w:val="center"/>
          </w:tcPr>
          <w:p>
            <w:pPr>
              <w:jc w:val="center"/>
              <w:rPr>
                <w:rFonts w:asci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833"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收款人地址</w:t>
            </w:r>
          </w:p>
        </w:tc>
        <w:tc>
          <w:tcPr>
            <w:tcW w:w="7623" w:type="dxa"/>
            <w:gridSpan w:val="3"/>
            <w:tcBorders>
              <w:top w:val="single" w:color="auto" w:sz="4" w:space="0"/>
              <w:left w:val="single" w:color="auto" w:sz="4" w:space="0"/>
              <w:bottom w:val="single" w:color="auto" w:sz="4" w:space="0"/>
              <w:right w:val="single" w:color="auto" w:sz="12" w:space="0"/>
            </w:tcBorders>
            <w:noWrap w:val="0"/>
            <w:vAlign w:val="center"/>
          </w:tcPr>
          <w:p>
            <w:pPr>
              <w:jc w:val="center"/>
              <w:rPr>
                <w:rFonts w:asci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4" w:hRule="atLeast"/>
          <w:jc w:val="center"/>
        </w:trPr>
        <w:tc>
          <w:tcPr>
            <w:tcW w:w="1833"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开户银行</w:t>
            </w:r>
            <w:r>
              <w:rPr>
                <w:rFonts w:hint="eastAsia" w:ascii="宋体"/>
                <w:sz w:val="21"/>
                <w:szCs w:val="21"/>
              </w:rPr>
              <w:br w:type="textWrapping"/>
            </w:r>
            <w:r>
              <w:rPr>
                <w:rFonts w:hint="eastAsia" w:ascii="宋体"/>
                <w:sz w:val="21"/>
                <w:szCs w:val="21"/>
              </w:rPr>
              <w:t>（含汇入地点）</w:t>
            </w:r>
          </w:p>
        </w:tc>
        <w:tc>
          <w:tcPr>
            <w:tcW w:w="46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sz w:val="21"/>
                <w:szCs w:val="21"/>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联系人</w:t>
            </w:r>
          </w:p>
        </w:tc>
        <w:tc>
          <w:tcPr>
            <w:tcW w:w="1734"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833" w:type="dxa"/>
            <w:tcBorders>
              <w:top w:val="single" w:color="auto" w:sz="4" w:space="0"/>
              <w:left w:val="single" w:color="auto" w:sz="12" w:space="0"/>
              <w:bottom w:val="single" w:color="auto" w:sz="12" w:space="0"/>
              <w:right w:val="single" w:color="auto" w:sz="4" w:space="0"/>
            </w:tcBorders>
            <w:noWrap w:val="0"/>
            <w:vAlign w:val="center"/>
          </w:tcPr>
          <w:p>
            <w:pPr>
              <w:jc w:val="center"/>
              <w:rPr>
                <w:rFonts w:ascii="宋体"/>
                <w:sz w:val="21"/>
                <w:szCs w:val="21"/>
              </w:rPr>
            </w:pPr>
            <w:r>
              <w:rPr>
                <w:rFonts w:hint="eastAsia" w:ascii="宋体"/>
                <w:sz w:val="21"/>
                <w:szCs w:val="21"/>
              </w:rPr>
              <w:t>账    号</w:t>
            </w:r>
          </w:p>
        </w:tc>
        <w:tc>
          <w:tcPr>
            <w:tcW w:w="4660" w:type="dxa"/>
            <w:tcBorders>
              <w:top w:val="single" w:color="auto" w:sz="4" w:space="0"/>
              <w:left w:val="single" w:color="auto" w:sz="4" w:space="0"/>
              <w:bottom w:val="single" w:color="auto" w:sz="12" w:space="0"/>
              <w:right w:val="single" w:color="auto" w:sz="4" w:space="0"/>
            </w:tcBorders>
            <w:noWrap w:val="0"/>
            <w:vAlign w:val="center"/>
          </w:tcPr>
          <w:p>
            <w:pPr>
              <w:jc w:val="center"/>
              <w:rPr>
                <w:rFonts w:ascii="宋体"/>
                <w:sz w:val="21"/>
                <w:szCs w:val="21"/>
              </w:rPr>
            </w:pPr>
          </w:p>
        </w:tc>
        <w:tc>
          <w:tcPr>
            <w:tcW w:w="1229" w:type="dxa"/>
            <w:tcBorders>
              <w:top w:val="single" w:color="auto" w:sz="4" w:space="0"/>
              <w:left w:val="single" w:color="auto" w:sz="4" w:space="0"/>
              <w:bottom w:val="single" w:color="auto" w:sz="12" w:space="0"/>
              <w:right w:val="single" w:color="auto" w:sz="4" w:space="0"/>
            </w:tcBorders>
            <w:noWrap w:val="0"/>
            <w:vAlign w:val="center"/>
          </w:tcPr>
          <w:p>
            <w:pPr>
              <w:jc w:val="center"/>
              <w:rPr>
                <w:rFonts w:ascii="宋体"/>
                <w:sz w:val="21"/>
                <w:szCs w:val="21"/>
              </w:rPr>
            </w:pPr>
            <w:r>
              <w:rPr>
                <w:rFonts w:hint="eastAsia" w:ascii="宋体"/>
                <w:sz w:val="21"/>
                <w:szCs w:val="21"/>
              </w:rPr>
              <w:t>联系电话</w:t>
            </w:r>
          </w:p>
        </w:tc>
        <w:tc>
          <w:tcPr>
            <w:tcW w:w="1734" w:type="dxa"/>
            <w:tcBorders>
              <w:top w:val="single" w:color="auto" w:sz="4" w:space="0"/>
              <w:left w:val="single" w:color="auto" w:sz="4" w:space="0"/>
              <w:bottom w:val="single" w:color="auto" w:sz="12" w:space="0"/>
              <w:right w:val="single" w:color="auto" w:sz="12" w:space="0"/>
            </w:tcBorders>
            <w:noWrap w:val="0"/>
            <w:vAlign w:val="center"/>
          </w:tcPr>
          <w:p>
            <w:pPr>
              <w:jc w:val="center"/>
              <w:rPr>
                <w:rFonts w:ascii="宋体"/>
                <w:sz w:val="21"/>
                <w:szCs w:val="21"/>
              </w:rPr>
            </w:pPr>
          </w:p>
        </w:tc>
      </w:tr>
    </w:tbl>
    <w:p>
      <w:pPr>
        <w:tabs>
          <w:tab w:val="left" w:pos="676"/>
          <w:tab w:val="left" w:pos="2330"/>
          <w:tab w:val="left" w:pos="9230"/>
        </w:tabs>
        <w:spacing w:line="360" w:lineRule="auto"/>
        <w:ind w:left="939" w:leftChars="150" w:hanging="609" w:hangingChars="290"/>
        <w:rPr>
          <w:rFonts w:ascii="宋体"/>
          <w:sz w:val="21"/>
          <w:szCs w:val="21"/>
        </w:rPr>
      </w:pPr>
      <w:r>
        <w:rPr>
          <w:rFonts w:hint="eastAsia" w:ascii="宋体"/>
          <w:sz w:val="21"/>
          <w:szCs w:val="21"/>
        </w:rPr>
        <w:t>备注：</w:t>
      </w:r>
      <w:r>
        <w:rPr>
          <w:rFonts w:hint="eastAsia"/>
          <w:sz w:val="21"/>
          <w:szCs w:val="21"/>
        </w:rPr>
        <w:t>此表须附在开标小信封中。</w:t>
      </w:r>
      <w:r>
        <w:rPr>
          <w:rFonts w:hint="eastAsia" w:ascii="宋体"/>
          <w:sz w:val="21"/>
          <w:szCs w:val="21"/>
        </w:rPr>
        <w:t>当投标人收到中标通知书或招标结果通知书，申请退还投标保证金</w:t>
      </w:r>
    </w:p>
    <w:p>
      <w:pPr>
        <w:tabs>
          <w:tab w:val="left" w:pos="676"/>
          <w:tab w:val="left" w:pos="2330"/>
          <w:tab w:val="left" w:pos="9230"/>
        </w:tabs>
        <w:spacing w:line="360" w:lineRule="auto"/>
        <w:ind w:left="939" w:leftChars="150" w:hanging="609" w:hangingChars="290"/>
        <w:rPr>
          <w:rFonts w:ascii="宋体"/>
          <w:sz w:val="21"/>
          <w:szCs w:val="21"/>
        </w:rPr>
      </w:pPr>
      <w:r>
        <w:rPr>
          <w:rFonts w:hint="eastAsia" w:ascii="宋体"/>
          <w:sz w:val="21"/>
          <w:szCs w:val="21"/>
        </w:rPr>
        <w:t>时，</w:t>
      </w:r>
      <w:r>
        <w:rPr>
          <w:rFonts w:hint="eastAsia" w:ascii="宋体"/>
          <w:bCs/>
          <w:sz w:val="21"/>
          <w:szCs w:val="21"/>
        </w:rPr>
        <w:t>招标采购单位</w:t>
      </w:r>
      <w:r>
        <w:rPr>
          <w:rFonts w:hint="eastAsia" w:ascii="宋体"/>
          <w:sz w:val="21"/>
          <w:szCs w:val="21"/>
        </w:rPr>
        <w:t>按其填写在“退投标保证金说明”上的内容，按规定退还投标人的投标保证金。</w:t>
      </w:r>
    </w:p>
    <w:p>
      <w:pPr>
        <w:tabs>
          <w:tab w:val="left" w:pos="676"/>
          <w:tab w:val="left" w:pos="2330"/>
          <w:tab w:val="left" w:pos="9230"/>
        </w:tabs>
        <w:spacing w:before="120" w:line="360" w:lineRule="auto"/>
        <w:rPr>
          <w:rFonts w:ascii="宋体"/>
          <w:sz w:val="21"/>
          <w:szCs w:val="21"/>
        </w:rPr>
      </w:pPr>
    </w:p>
    <w:p>
      <w:pPr>
        <w:tabs>
          <w:tab w:val="left" w:pos="676"/>
          <w:tab w:val="left" w:pos="2330"/>
          <w:tab w:val="left" w:pos="9230"/>
        </w:tabs>
        <w:spacing w:before="120" w:line="360" w:lineRule="auto"/>
        <w:rPr>
          <w:rFonts w:ascii="宋体"/>
          <w:sz w:val="21"/>
          <w:szCs w:val="21"/>
        </w:rPr>
      </w:pPr>
      <w:r>
        <w:rPr>
          <w:rFonts w:hint="eastAsia" w:ascii="宋体"/>
          <w:sz w:val="21"/>
          <w:szCs w:val="21"/>
        </w:rPr>
        <w:t>投标人（公章）：</w:t>
      </w:r>
    </w:p>
    <w:p>
      <w:pPr>
        <w:pStyle w:val="11"/>
        <w:spacing w:line="360" w:lineRule="auto"/>
      </w:pPr>
      <w:r>
        <w:rPr>
          <w:rFonts w:hint="eastAsia" w:ascii="微软雅黑" w:hAnsi="微软雅黑" w:eastAsia="微软雅黑"/>
        </w:rPr>
        <w:t>日  期：</w:t>
      </w:r>
    </w:p>
    <w:p>
      <w:pPr>
        <w:spacing w:line="220" w:lineRule="atLeast"/>
      </w:pPr>
    </w:p>
    <w:p/>
    <w:p/>
    <w:p>
      <w:pPr>
        <w:bidi w:val="0"/>
        <w:jc w:val="left"/>
        <w:outlineLvl w:val="9"/>
        <w:rPr>
          <w:rFonts w:hint="eastAsia" w:ascii="黑体" w:hAnsi="黑体" w:eastAsia="黑体" w:cs="黑体"/>
          <w:sz w:val="28"/>
          <w:szCs w:val="28"/>
        </w:rPr>
      </w:pPr>
    </w:p>
    <w:p>
      <w:pPr>
        <w:bidi w:val="0"/>
        <w:jc w:val="left"/>
        <w:outlineLvl w:val="9"/>
        <w:rPr>
          <w:rFonts w:hint="eastAsia" w:ascii="黑体" w:hAnsi="黑体" w:eastAsia="黑体" w:cs="黑体"/>
          <w:sz w:val="28"/>
          <w:szCs w:val="28"/>
        </w:rPr>
      </w:pPr>
    </w:p>
    <w:p>
      <w:pPr>
        <w:bidi w:val="0"/>
        <w:jc w:val="left"/>
        <w:outlineLvl w:val="9"/>
        <w:rPr>
          <w:rFonts w:hint="eastAsia" w:ascii="黑体" w:hAnsi="黑体" w:eastAsia="黑体" w:cs="黑体"/>
          <w:sz w:val="28"/>
          <w:szCs w:val="28"/>
        </w:rPr>
      </w:pPr>
    </w:p>
    <w:p>
      <w:pPr>
        <w:bidi w:val="0"/>
        <w:jc w:val="left"/>
        <w:outlineLvl w:val="9"/>
        <w:rPr>
          <w:rFonts w:hint="eastAsia" w:ascii="黑体" w:hAnsi="黑体" w:eastAsia="黑体" w:cs="黑体"/>
          <w:sz w:val="28"/>
          <w:szCs w:val="28"/>
          <w:lang w:val="en-US" w:eastAsia="zh-CN"/>
        </w:rPr>
      </w:pPr>
      <w:r>
        <w:rPr>
          <w:rFonts w:hint="eastAsia" w:ascii="黑体" w:hAnsi="黑体" w:eastAsia="黑体" w:cs="黑体"/>
          <w:sz w:val="28"/>
          <w:szCs w:val="28"/>
        </w:rPr>
        <w:t>格式</w:t>
      </w:r>
      <w:r>
        <w:rPr>
          <w:rFonts w:hint="eastAsia" w:ascii="黑体" w:hAnsi="黑体" w:eastAsia="黑体" w:cs="黑体"/>
          <w:sz w:val="28"/>
          <w:szCs w:val="28"/>
          <w:lang w:val="en-US" w:eastAsia="zh-CN"/>
        </w:rPr>
        <w:t>13</w:t>
      </w:r>
    </w:p>
    <w:p>
      <w:pPr>
        <w:pStyle w:val="5"/>
        <w:bidi w:val="0"/>
        <w:jc w:val="center"/>
        <w:outlineLvl w:val="1"/>
        <w:rPr>
          <w:rFonts w:hint="eastAsia" w:ascii="微软雅黑" w:hAnsi="微软雅黑" w:eastAsia="微软雅黑" w:cs="微软雅黑"/>
          <w:b w:val="0"/>
          <w:bCs w:val="0"/>
          <w:sz w:val="32"/>
          <w:szCs w:val="32"/>
        </w:rPr>
      </w:pPr>
      <w:r>
        <w:rPr>
          <w:rFonts w:hint="eastAsia" w:ascii="微软雅黑" w:hAnsi="微软雅黑" w:eastAsia="微软雅黑" w:cs="微软雅黑"/>
          <w:b w:val="0"/>
          <w:bCs w:val="0"/>
          <w:sz w:val="32"/>
          <w:szCs w:val="32"/>
        </w:rPr>
        <w:t>信用记录承诺函</w:t>
      </w:r>
    </w:p>
    <w:p>
      <w:pPr>
        <w:spacing w:line="360" w:lineRule="auto"/>
        <w:rPr>
          <w:rFonts w:hint="eastAsia" w:ascii="微软雅黑" w:hAnsi="微软雅黑" w:eastAsia="微软雅黑" w:cs="微软雅黑"/>
          <w:color w:val="000000" w:themeColor="text1"/>
          <w:kern w:val="2"/>
          <w:sz w:val="21"/>
          <w:szCs w:val="21"/>
          <w:lang w:val="en-GB"/>
          <w14:textFill>
            <w14:solidFill>
              <w14:schemeClr w14:val="tx1"/>
            </w14:solidFill>
          </w14:textFill>
        </w:rPr>
      </w:pPr>
    </w:p>
    <w:p>
      <w:pPr>
        <w:spacing w:line="360" w:lineRule="auto"/>
        <w:rPr>
          <w:rFonts w:hint="eastAsia" w:ascii="微软雅黑" w:hAnsi="微软雅黑" w:eastAsia="微软雅黑" w:cs="微软雅黑"/>
          <w:color w:val="000000" w:themeColor="text1"/>
          <w:kern w:val="2"/>
          <w:sz w:val="21"/>
          <w:szCs w:val="21"/>
          <w:lang w:val="en-GB"/>
          <w14:textFill>
            <w14:solidFill>
              <w14:schemeClr w14:val="tx1"/>
            </w14:solidFill>
          </w14:textFill>
        </w:rPr>
      </w:pPr>
      <w:r>
        <w:rPr>
          <w:rFonts w:hint="eastAsia" w:ascii="微软雅黑" w:hAnsi="微软雅黑" w:eastAsia="微软雅黑" w:cs="微软雅黑"/>
          <w:color w:val="000000" w:themeColor="text1"/>
          <w:kern w:val="2"/>
          <w:sz w:val="21"/>
          <w:szCs w:val="21"/>
          <w:lang w:val="en-GB"/>
          <w14:textFill>
            <w14:solidFill>
              <w14:schemeClr w14:val="tx1"/>
            </w14:solidFill>
          </w14:textFill>
        </w:rPr>
        <w:t>致：</w:t>
      </w:r>
      <w:r>
        <w:rPr>
          <w:rFonts w:hint="eastAsia" w:ascii="微软雅黑" w:hAnsi="微软雅黑" w:eastAsia="微软雅黑" w:cs="微软雅黑"/>
          <w:b/>
          <w:bCs/>
          <w:color w:val="000000" w:themeColor="text1"/>
          <w:sz w:val="21"/>
          <w:szCs w:val="21"/>
          <w:shd w:val="clear" w:color="auto" w:fill="FFFFFF"/>
          <w:lang w:eastAsia="zh-CN"/>
          <w14:textFill>
            <w14:solidFill>
              <w14:schemeClr w14:val="tx1"/>
            </w14:solidFill>
          </w14:textFill>
        </w:rPr>
        <w:t>广州宝诚招标代理咨询有限公司</w:t>
      </w:r>
    </w:p>
    <w:p>
      <w:pPr>
        <w:spacing w:line="360" w:lineRule="auto"/>
        <w:ind w:firstLine="420" w:firstLineChars="200"/>
        <w:rPr>
          <w:rFonts w:hint="eastAsia" w:ascii="微软雅黑" w:hAnsi="微软雅黑" w:eastAsia="微软雅黑" w:cs="微软雅黑"/>
          <w:color w:val="000000" w:themeColor="text1"/>
          <w:kern w:val="2"/>
          <w:sz w:val="21"/>
          <w:szCs w:val="21"/>
          <w:lang w:val="en-GB"/>
          <w14:textFill>
            <w14:solidFill>
              <w14:schemeClr w14:val="tx1"/>
            </w14:solidFill>
          </w14:textFill>
        </w:rPr>
      </w:pPr>
      <w:r>
        <w:rPr>
          <w:rFonts w:hint="eastAsia" w:ascii="微软雅黑" w:hAnsi="微软雅黑" w:eastAsia="微软雅黑" w:cs="微软雅黑"/>
          <w:color w:val="000000" w:themeColor="text1"/>
          <w:kern w:val="2"/>
          <w:sz w:val="21"/>
          <w:szCs w:val="21"/>
          <w:lang w:val="en-GB"/>
          <w14:textFill>
            <w14:solidFill>
              <w14:schemeClr w14:val="tx1"/>
            </w14:solidFill>
          </w14:textFill>
        </w:rPr>
        <w:t>我方郑重承诺，在参与</w:t>
      </w:r>
      <w:r>
        <w:rPr>
          <w:rFonts w:hint="eastAsia" w:ascii="微软雅黑" w:hAnsi="微软雅黑" w:eastAsia="微软雅黑" w:cs="微软雅黑"/>
          <w:color w:val="000000" w:themeColor="text1"/>
          <w:kern w:val="2"/>
          <w:sz w:val="21"/>
          <w:szCs w:val="21"/>
          <w:lang w:val="en-US" w:eastAsia="zh-CN"/>
          <w14:textFill>
            <w14:solidFill>
              <w14:schemeClr w14:val="tx1"/>
            </w14:solidFill>
          </w14:textFill>
        </w:rPr>
        <w:t>xxxxx</w:t>
      </w:r>
      <w:r>
        <w:rPr>
          <w:rFonts w:hint="eastAsia" w:ascii="微软雅黑" w:hAnsi="微软雅黑" w:eastAsia="微软雅黑" w:cs="微软雅黑"/>
          <w:color w:val="000000" w:themeColor="text1"/>
          <w:kern w:val="2"/>
          <w:sz w:val="21"/>
          <w:szCs w:val="21"/>
          <w:lang w:val="en-GB"/>
          <w14:textFill>
            <w14:solidFill>
              <w14:schemeClr w14:val="tx1"/>
            </w14:solidFill>
          </w14:textFill>
        </w:rPr>
        <w:t>采购项目（项目编号：</w:t>
      </w:r>
      <w:r>
        <w:rPr>
          <w:rFonts w:hint="eastAsia" w:ascii="微软雅黑" w:hAnsi="微软雅黑" w:eastAsia="微软雅黑" w:cs="微软雅黑"/>
          <w:sz w:val="21"/>
          <w:szCs w:val="21"/>
        </w:rPr>
        <w:t>******</w:t>
      </w:r>
      <w:r>
        <w:rPr>
          <w:rFonts w:hint="eastAsia" w:ascii="微软雅黑" w:hAnsi="微软雅黑" w:eastAsia="微软雅黑" w:cs="微软雅黑"/>
          <w:color w:val="000000" w:themeColor="text1"/>
          <w:kern w:val="2"/>
          <w:sz w:val="21"/>
          <w:szCs w:val="21"/>
          <w:lang w:val="en-GB"/>
          <w14:textFill>
            <w14:solidFill>
              <w14:schemeClr w14:val="tx1"/>
            </w14:solidFill>
          </w14:textFill>
        </w:rPr>
        <w:t>）采购期间，未被《信用中国》网站（</w:t>
      </w: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"http://mail.163.com/js6/read/www.creditchina.gov.cn%EF%BC%89%E5%85%AC%E7%A4%BA%E5%AD%98%E5%9C%A8%E4%B8%8D%E8%89%AF%E4%BF%A1%E7%94%A8%E8%AE%B0%E5%BD%95%E3%80%82" </w:instrText>
      </w:r>
      <w:r>
        <w:rPr>
          <w:rFonts w:hint="eastAsia" w:ascii="微软雅黑" w:hAnsi="微软雅黑" w:eastAsia="微软雅黑" w:cs="微软雅黑"/>
          <w:sz w:val="21"/>
          <w:szCs w:val="21"/>
        </w:rPr>
        <w:fldChar w:fldCharType="separate"/>
      </w:r>
      <w:r>
        <w:rPr>
          <w:rFonts w:hint="eastAsia" w:ascii="微软雅黑" w:hAnsi="微软雅黑" w:eastAsia="微软雅黑" w:cs="微软雅黑"/>
          <w:color w:val="000000" w:themeColor="text1"/>
          <w:kern w:val="2"/>
          <w:sz w:val="21"/>
          <w:szCs w:val="21"/>
          <w:lang w:val="en-GB"/>
          <w14:textFill>
            <w14:solidFill>
              <w14:schemeClr w14:val="tx1"/>
            </w14:solidFill>
          </w14:textFill>
        </w:rPr>
        <w:t>www.creditchina.gov.cn）公示存在不良信用记录。</w:t>
      </w:r>
      <w:r>
        <w:rPr>
          <w:rFonts w:hint="eastAsia" w:ascii="微软雅黑" w:hAnsi="微软雅黑" w:eastAsia="微软雅黑" w:cs="微软雅黑"/>
          <w:color w:val="000000" w:themeColor="text1"/>
          <w:kern w:val="2"/>
          <w:sz w:val="21"/>
          <w:szCs w:val="21"/>
          <w:lang w:val="en-GB"/>
          <w14:textFill>
            <w14:solidFill>
              <w14:schemeClr w14:val="tx1"/>
            </w14:solidFill>
          </w14:textFill>
        </w:rPr>
        <w:fldChar w:fldCharType="end"/>
      </w:r>
      <w:r>
        <w:rPr>
          <w:rFonts w:hint="eastAsia" w:ascii="微软雅黑" w:hAnsi="微软雅黑" w:eastAsia="微软雅黑" w:cs="微软雅黑"/>
          <w:color w:val="000000" w:themeColor="text1"/>
          <w:kern w:val="2"/>
          <w:sz w:val="21"/>
          <w:szCs w:val="21"/>
          <w:lang w:val="en-GB"/>
          <w14:textFill>
            <w14:solidFill>
              <w14:schemeClr w14:val="tx1"/>
            </w14:solidFill>
          </w14:textFill>
        </w:rPr>
        <w:br w:type="textWrapping"/>
      </w:r>
      <w:r>
        <w:rPr>
          <w:rFonts w:hint="eastAsia" w:ascii="微软雅黑" w:hAnsi="微软雅黑" w:eastAsia="微软雅黑" w:cs="微软雅黑"/>
          <w:color w:val="000000" w:themeColor="text1"/>
          <w:kern w:val="2"/>
          <w:sz w:val="21"/>
          <w:szCs w:val="21"/>
          <w:lang w:val="en-GB"/>
          <w14:textFill>
            <w14:solidFill>
              <w14:schemeClr w14:val="tx1"/>
            </w14:solidFill>
          </w14:textFill>
        </w:rPr>
        <w:t>（附我方在上述网站查询结果截图）</w:t>
      </w:r>
    </w:p>
    <w:p>
      <w:pPr>
        <w:spacing w:line="360" w:lineRule="auto"/>
        <w:jc w:val="right"/>
        <w:rPr>
          <w:rFonts w:hint="eastAsia" w:ascii="微软雅黑" w:hAnsi="微软雅黑" w:eastAsia="微软雅黑" w:cs="微软雅黑"/>
          <w:color w:val="000000" w:themeColor="text1"/>
          <w:kern w:val="2"/>
          <w:sz w:val="21"/>
          <w:szCs w:val="21"/>
          <w:lang w:val="en-GB"/>
          <w14:textFill>
            <w14:solidFill>
              <w14:schemeClr w14:val="tx1"/>
            </w14:solidFill>
          </w14:textFill>
        </w:rPr>
      </w:pPr>
      <w:r>
        <w:rPr>
          <w:rFonts w:hint="eastAsia" w:ascii="微软雅黑" w:hAnsi="微软雅黑" w:eastAsia="微软雅黑" w:cs="微软雅黑"/>
          <w:color w:val="000000" w:themeColor="text1"/>
          <w:kern w:val="2"/>
          <w:sz w:val="21"/>
          <w:szCs w:val="21"/>
          <w:lang w:val="en-GB"/>
          <w14:textFill>
            <w14:solidFill>
              <w14:schemeClr w14:val="tx1"/>
            </w14:solidFill>
          </w14:textFill>
        </w:rPr>
        <w:t xml:space="preserve">投标人名称（加盖公章）： </w:t>
      </w:r>
    </w:p>
    <w:p>
      <w:pPr>
        <w:spacing w:line="360" w:lineRule="auto"/>
        <w:jc w:val="right"/>
        <w:rPr>
          <w:rFonts w:hint="eastAsia" w:ascii="微软雅黑" w:hAnsi="微软雅黑" w:eastAsia="微软雅黑" w:cs="微软雅黑"/>
          <w:color w:val="000000" w:themeColor="text1"/>
          <w:kern w:val="2"/>
          <w:sz w:val="21"/>
          <w:szCs w:val="21"/>
          <w:lang w:val="en-GB"/>
          <w14:textFill>
            <w14:solidFill>
              <w14:schemeClr w14:val="tx1"/>
            </w14:solidFill>
          </w14:textFill>
        </w:rPr>
      </w:pPr>
      <w:r>
        <w:rPr>
          <w:rFonts w:hint="eastAsia" w:ascii="微软雅黑" w:hAnsi="微软雅黑" w:eastAsia="微软雅黑" w:cs="微软雅黑"/>
          <w:color w:val="000000" w:themeColor="text1"/>
          <w:kern w:val="2"/>
          <w:sz w:val="21"/>
          <w:szCs w:val="21"/>
          <w:lang w:val="en-GB"/>
          <w14:textFill>
            <w14:solidFill>
              <w14:schemeClr w14:val="tx1"/>
            </w14:solidFill>
          </w14:textFill>
        </w:rPr>
        <w:t>年  月  日</w:t>
      </w:r>
    </w:p>
    <w:p>
      <w:pPr>
        <w:spacing w:line="360" w:lineRule="auto"/>
        <w:rPr>
          <w:rFonts w:hint="eastAsia" w:ascii="微软雅黑" w:hAnsi="微软雅黑" w:eastAsia="微软雅黑" w:cs="微软雅黑"/>
          <w:b/>
          <w:color w:val="000000" w:themeColor="text1"/>
          <w:sz w:val="21"/>
          <w:szCs w:val="21"/>
          <w14:textFill>
            <w14:solidFill>
              <w14:schemeClr w14:val="tx1"/>
            </w14:solidFill>
          </w14:textFill>
        </w:rPr>
      </w:pPr>
      <w:r>
        <w:rPr>
          <w:rFonts w:hint="eastAsia" w:ascii="微软雅黑" w:hAnsi="微软雅黑" w:eastAsia="微软雅黑" w:cs="微软雅黑"/>
          <w:b/>
          <w:color w:val="000000" w:themeColor="text1"/>
          <w:sz w:val="21"/>
          <w:szCs w:val="21"/>
          <w14:textFill>
            <w14:solidFill>
              <w14:schemeClr w14:val="tx1"/>
            </w14:solidFill>
          </w14:textFill>
        </w:rPr>
        <w:t>注：</w:t>
      </w:r>
    </w:p>
    <w:p>
      <w:pPr>
        <w:spacing w:line="360" w:lineRule="auto"/>
        <w:rPr>
          <w:rFonts w:hint="eastAsia" w:ascii="微软雅黑" w:hAnsi="微软雅黑" w:eastAsia="微软雅黑" w:cs="微软雅黑"/>
          <w:b/>
          <w:color w:val="000000" w:themeColor="text1"/>
          <w:sz w:val="21"/>
          <w:szCs w:val="21"/>
          <w14:textFill>
            <w14:solidFill>
              <w14:schemeClr w14:val="tx1"/>
            </w14:solidFill>
          </w14:textFill>
        </w:rPr>
      </w:pPr>
      <w:r>
        <w:rPr>
          <w:rFonts w:hint="eastAsia" w:ascii="微软雅黑" w:hAnsi="微软雅黑" w:eastAsia="微软雅黑" w:cs="微软雅黑"/>
          <w:b/>
          <w:color w:val="000000" w:themeColor="text1"/>
          <w:sz w:val="21"/>
          <w:szCs w:val="21"/>
          <w14:textFill>
            <w14:solidFill>
              <w14:schemeClr w14:val="tx1"/>
            </w14:solidFill>
          </w14:textFill>
        </w:rPr>
        <w:t xml:space="preserve">1、网站截图为“信用中国”网站（www.creditchina.gov.cn）首页“信用信息”搜索一栏输入企业全称后得出的查询结果页面。信用记录承诺必须附网站截图。2、截图中可显示网站域名，页面信息必须明确显示参与本项目的企业全称 </w:t>
      </w:r>
    </w:p>
    <w:p>
      <w:pPr>
        <w:spacing w:line="360" w:lineRule="auto"/>
        <w:rPr>
          <w:rFonts w:hint="eastAsia" w:ascii="微软雅黑" w:hAnsi="微软雅黑" w:eastAsia="微软雅黑" w:cs="微软雅黑"/>
          <w:b/>
          <w:color w:val="000000" w:themeColor="text1"/>
          <w:sz w:val="21"/>
          <w:szCs w:val="21"/>
          <w14:textFill>
            <w14:solidFill>
              <w14:schemeClr w14:val="tx1"/>
            </w14:solidFill>
          </w14:textFill>
        </w:rPr>
      </w:pPr>
    </w:p>
    <w:p>
      <w:pPr>
        <w:spacing w:line="360" w:lineRule="auto"/>
        <w:rPr>
          <w:rFonts w:hint="eastAsia" w:ascii="微软雅黑" w:hAnsi="微软雅黑" w:eastAsia="微软雅黑" w:cs="微软雅黑"/>
          <w:b/>
          <w:color w:val="000000" w:themeColor="text1"/>
          <w:sz w:val="21"/>
          <w:szCs w:val="21"/>
          <w14:textFill>
            <w14:solidFill>
              <w14:schemeClr w14:val="tx1"/>
            </w14:solidFill>
          </w14:textFill>
        </w:rPr>
      </w:pPr>
      <w:r>
        <w:rPr>
          <w:rFonts w:hint="eastAsia" w:ascii="微软雅黑" w:hAnsi="微软雅黑" w:eastAsia="微软雅黑" w:cs="微软雅黑"/>
          <w:b/>
          <w:color w:val="000000" w:themeColor="text1"/>
          <w:sz w:val="21"/>
          <w:szCs w:val="21"/>
          <w14:textFill>
            <w14:solidFill>
              <w14:schemeClr w14:val="tx1"/>
            </w14:solidFill>
          </w14:textFill>
        </w:rPr>
        <w:t>附件：</w:t>
      </w:r>
    </w:p>
    <w:p>
      <w:pPr>
        <w:spacing w:line="360" w:lineRule="auto"/>
        <w:rPr>
          <w:rFonts w:hint="eastAsia" w:ascii="微软雅黑" w:hAnsi="微软雅黑" w:eastAsia="微软雅黑" w:cs="微软雅黑"/>
          <w:sz w:val="21"/>
          <w:szCs w:val="21"/>
          <w:lang w:val="en-US" w:eastAsia="zh-CN"/>
        </w:rPr>
      </w:pPr>
      <w:r>
        <w:rPr>
          <w:rFonts w:hint="eastAsia" w:ascii="微软雅黑" w:hAnsi="微软雅黑" w:eastAsia="微软雅黑" w:cs="微软雅黑"/>
          <w:color w:val="000000" w:themeColor="text1"/>
          <w:sz w:val="21"/>
          <w:szCs w:val="21"/>
          <w14:textFill>
            <w14:solidFill>
              <w14:schemeClr w14:val="tx1"/>
            </w14:solidFill>
          </w14:textFill>
        </w:rPr>
        <w:t>“信用中国”网页截图</w:t>
      </w:r>
    </w:p>
    <w:p>
      <w:pPr>
        <w:pStyle w:val="4"/>
        <w:bidi w:val="0"/>
        <w:jc w:val="center"/>
        <w:rPr>
          <w:rFonts w:ascii="黑体" w:hAnsi="黑体" w:eastAsia="黑体" w:cs="黑体"/>
          <w:sz w:val="32"/>
          <w:szCs w:val="32"/>
        </w:rPr>
      </w:pPr>
      <w:r>
        <w:br w:type="page"/>
      </w:r>
      <w:bookmarkStart w:id="1174" w:name="_Toc453956620"/>
      <w:bookmarkStart w:id="1175" w:name="_Toc453957380"/>
      <w:r>
        <w:rPr>
          <w:rFonts w:hint="eastAsia" w:ascii="黑体" w:hAnsi="黑体" w:eastAsia="黑体" w:cs="黑体"/>
          <w:sz w:val="32"/>
          <w:szCs w:val="32"/>
        </w:rPr>
        <w:t>第六章 投标人须知</w:t>
      </w:r>
      <w:bookmarkEnd w:id="1174"/>
      <w:bookmarkEnd w:id="1175"/>
    </w:p>
    <w:p>
      <w:pPr>
        <w:spacing w:before="312" w:beforeLines="100" w:after="312" w:afterLines="100" w:line="360" w:lineRule="auto"/>
        <w:jc w:val="both"/>
        <w:outlineLvl w:val="0"/>
        <w:rPr>
          <w:b/>
        </w:rPr>
      </w:pPr>
      <w:bookmarkStart w:id="1176" w:name="_Toc453957381"/>
      <w:bookmarkStart w:id="1177" w:name="_Toc453956621"/>
      <w:r>
        <w:rPr>
          <w:rFonts w:hint="eastAsia" w:ascii="宋体" w:hAnsi="宋体" w:cs="楷体_GB2312"/>
          <w:b/>
          <w:sz w:val="28"/>
          <w:szCs w:val="28"/>
          <w:lang w:eastAsia="zh-TW"/>
        </w:rPr>
        <w:t>一、说明</w:t>
      </w:r>
      <w:bookmarkEnd w:id="1176"/>
      <w:bookmarkEnd w:id="1177"/>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78" w:name="_Toc453957382"/>
      <w:bookmarkStart w:id="1179" w:name="_Toc453956622"/>
      <w:r>
        <w:rPr>
          <w:rFonts w:hint="eastAsia" w:ascii="微软雅黑" w:hAnsi="微软雅黑" w:eastAsia="微软雅黑" w:cs="微软雅黑"/>
          <w:b/>
          <w:bCs/>
          <w:sz w:val="20"/>
          <w:szCs w:val="20"/>
        </w:rPr>
        <w:t>适用范围</w:t>
      </w:r>
      <w:bookmarkEnd w:id="1178"/>
      <w:bookmarkEnd w:id="1179"/>
    </w:p>
    <w:p>
      <w:pPr>
        <w:widowControl w:val="0"/>
        <w:numPr>
          <w:ilvl w:val="1"/>
          <w:numId w:val="20"/>
        </w:numPr>
        <w:autoSpaceDE w:val="0"/>
        <w:autoSpaceDN w:val="0"/>
        <w:spacing w:after="0" w:line="360" w:lineRule="auto"/>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本招标文件适用于本投标邀请中所述项目的采购招标。</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80" w:name="_Toc453957383"/>
      <w:bookmarkStart w:id="1181" w:name="_Toc453956623"/>
      <w:r>
        <w:rPr>
          <w:rFonts w:hint="eastAsia" w:ascii="微软雅黑" w:hAnsi="微软雅黑" w:eastAsia="微软雅黑" w:cs="微软雅黑"/>
          <w:b/>
          <w:bCs/>
          <w:sz w:val="20"/>
          <w:szCs w:val="20"/>
        </w:rPr>
        <w:t>监管部门及招标采购单位</w:t>
      </w:r>
      <w:bookmarkEnd w:id="1180"/>
      <w:bookmarkEnd w:id="1181"/>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监管部门指同级或上级主管部门。</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招标采购单位指采购人及采购代理机构。</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采购人指依法进行本次采购的国家机关、事业单位和团体组织。</w:t>
      </w:r>
      <w:r>
        <w:rPr>
          <w:rFonts w:hint="eastAsia" w:ascii="微软雅黑" w:hAnsi="微软雅黑" w:eastAsia="微软雅黑" w:cs="微软雅黑"/>
          <w:b/>
          <w:sz w:val="20"/>
          <w:szCs w:val="20"/>
          <w:lang w:eastAsia="zh-TW"/>
        </w:rPr>
        <w:t>本招标文件投标资料表中所述的采购人已拥有一笔</w:t>
      </w:r>
      <w:r>
        <w:rPr>
          <w:rFonts w:hint="eastAsia" w:ascii="微软雅黑" w:hAnsi="微软雅黑" w:eastAsia="微软雅黑" w:cs="微软雅黑"/>
          <w:b/>
          <w:sz w:val="20"/>
          <w:szCs w:val="20"/>
        </w:rPr>
        <w:t>资金来源已落实</w:t>
      </w:r>
      <w:r>
        <w:rPr>
          <w:rFonts w:hint="eastAsia" w:ascii="微软雅黑" w:hAnsi="微软雅黑" w:eastAsia="微软雅黑" w:cs="微软雅黑"/>
          <w:b/>
          <w:sz w:val="20"/>
          <w:szCs w:val="20"/>
          <w:lang w:eastAsia="zh-TW"/>
        </w:rPr>
        <w:t>。</w:t>
      </w:r>
      <w:r>
        <w:rPr>
          <w:rFonts w:hint="eastAsia" w:ascii="微软雅黑" w:hAnsi="微软雅黑" w:eastAsia="微软雅黑" w:cs="微软雅黑"/>
          <w:sz w:val="20"/>
          <w:szCs w:val="20"/>
          <w:lang w:eastAsia="zh-TW"/>
        </w:rPr>
        <w:t>采购人计划将一部分</w:t>
      </w:r>
      <w:r>
        <w:rPr>
          <w:rFonts w:hint="eastAsia" w:ascii="微软雅黑" w:hAnsi="微软雅黑" w:eastAsia="微软雅黑" w:cs="微软雅黑"/>
          <w:sz w:val="20"/>
          <w:szCs w:val="20"/>
        </w:rPr>
        <w:t>或全部</w:t>
      </w:r>
      <w:r>
        <w:rPr>
          <w:rFonts w:hint="eastAsia" w:ascii="微软雅黑" w:hAnsi="微软雅黑" w:eastAsia="微软雅黑" w:cs="微软雅黑"/>
          <w:sz w:val="20"/>
          <w:szCs w:val="20"/>
          <w:lang w:eastAsia="zh-TW"/>
        </w:rPr>
        <w:t>资金用于支付本次</w:t>
      </w:r>
      <w:r>
        <w:rPr>
          <w:rFonts w:hint="eastAsia" w:ascii="微软雅黑" w:hAnsi="微软雅黑" w:eastAsia="微软雅黑" w:cs="微软雅黑"/>
          <w:sz w:val="20"/>
          <w:szCs w:val="20"/>
        </w:rPr>
        <w:t>采购</w:t>
      </w:r>
      <w:r>
        <w:rPr>
          <w:rFonts w:hint="eastAsia" w:ascii="微软雅黑" w:hAnsi="微软雅黑" w:eastAsia="微软雅黑" w:cs="微软雅黑"/>
          <w:sz w:val="20"/>
          <w:szCs w:val="20"/>
          <w:lang w:eastAsia="zh-TW"/>
        </w:rPr>
        <w:t>后所签订合同项下的款项</w:t>
      </w:r>
      <w:r>
        <w:rPr>
          <w:rFonts w:hint="eastAsia" w:ascii="微软雅黑" w:hAnsi="微软雅黑" w:eastAsia="微软雅黑" w:cs="微软雅黑"/>
          <w:sz w:val="20"/>
          <w:szCs w:val="20"/>
        </w:rPr>
        <w:t>。</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采购代理机构指依照中华人民共和国财政部令2010年第61号《政府采购代理机构资格认定办法》</w:t>
      </w:r>
      <w:r>
        <w:rPr>
          <w:rFonts w:hint="eastAsia" w:ascii="微软雅黑" w:hAnsi="微软雅黑" w:eastAsia="微软雅黑" w:cs="微软雅黑"/>
          <w:sz w:val="20"/>
          <w:szCs w:val="20"/>
          <w:lang w:eastAsia="zh-TW"/>
        </w:rPr>
        <w:t>取得财政部门认定资格的专业服务机构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本次</w:t>
      </w:r>
      <w:r>
        <w:rPr>
          <w:rFonts w:hint="eastAsia" w:ascii="微软雅黑" w:hAnsi="微软雅黑" w:eastAsia="微软雅黑" w:cs="微软雅黑"/>
          <w:sz w:val="20"/>
          <w:szCs w:val="20"/>
        </w:rPr>
        <w:t>采购</w:t>
      </w:r>
      <w:r>
        <w:rPr>
          <w:rFonts w:hint="eastAsia" w:ascii="微软雅黑" w:hAnsi="微软雅黑" w:eastAsia="微软雅黑" w:cs="微软雅黑"/>
          <w:sz w:val="20"/>
          <w:szCs w:val="20"/>
          <w:lang w:eastAsia="zh-TW"/>
        </w:rPr>
        <w:t>的代理机构名称、地址、电话和传真见</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82" w:name="_Toc294000365"/>
      <w:bookmarkEnd w:id="1182"/>
      <w:bookmarkStart w:id="1183" w:name="_Toc293506718"/>
      <w:bookmarkEnd w:id="1183"/>
      <w:bookmarkStart w:id="1184" w:name="_Toc293507801"/>
      <w:bookmarkEnd w:id="1184"/>
      <w:bookmarkStart w:id="1185" w:name="_Toc293506658"/>
      <w:bookmarkEnd w:id="1185"/>
      <w:bookmarkStart w:id="1186" w:name="_Toc293507695"/>
      <w:bookmarkEnd w:id="1186"/>
      <w:bookmarkStart w:id="1187" w:name="_Toc293507602"/>
      <w:bookmarkEnd w:id="1187"/>
      <w:bookmarkStart w:id="1188" w:name="_Toc453956624"/>
      <w:bookmarkStart w:id="1189" w:name="_Toc453957384"/>
      <w:r>
        <w:rPr>
          <w:rFonts w:hint="eastAsia" w:ascii="微软雅黑" w:hAnsi="微软雅黑" w:eastAsia="微软雅黑" w:cs="微软雅黑"/>
          <w:b/>
          <w:bCs/>
          <w:sz w:val="20"/>
          <w:szCs w:val="20"/>
        </w:rPr>
        <w:t>合格的投标人</w:t>
      </w:r>
      <w:bookmarkEnd w:id="1188"/>
      <w:bookmarkEnd w:id="1189"/>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投标人是响应招标并且符合招标文件规定资格条件和参加投标竞争的法人、其他组织或者自然人。</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合格的投标人</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只有在法律上和财务上独立、合法运作并独立于采购人和政府采购代理机构的供货商才能参加投标；</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符合投标邀请“合格投标人资格要求”的特殊条款。</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不得参与本采购项目中同一包组竞争的投标人</w:t>
      </w:r>
    </w:p>
    <w:p>
      <w:pPr>
        <w:spacing w:line="360" w:lineRule="auto"/>
        <w:ind w:left="572" w:leftChars="260"/>
        <w:rPr>
          <w:rFonts w:hint="eastAsia" w:ascii="微软雅黑" w:hAnsi="微软雅黑" w:eastAsia="微软雅黑" w:cs="微软雅黑"/>
          <w:sz w:val="20"/>
          <w:szCs w:val="20"/>
        </w:rPr>
      </w:pPr>
      <w:r>
        <w:rPr>
          <w:rFonts w:hint="eastAsia" w:ascii="微软雅黑" w:hAnsi="微软雅黑" w:eastAsia="微软雅黑" w:cs="微软雅黑"/>
          <w:sz w:val="20"/>
          <w:szCs w:val="20"/>
        </w:rPr>
        <w:t>除联合体外，不同的投标人之间有下列情形之一的，不接受作为参与本采购项目中同一包（组）竞争的投标人：</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彼此存在投资与被投资关系的；</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彼此的经营者、董事会（或同类管理机构）成员属于直系亲属或配偶关系的。</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中标人是指经法定程序确定并授予合同的投标人。</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90" w:name="_Toc453957385"/>
      <w:bookmarkStart w:id="1191" w:name="_Toc453956625"/>
      <w:r>
        <w:rPr>
          <w:rFonts w:hint="eastAsia" w:ascii="微软雅黑" w:hAnsi="微软雅黑" w:eastAsia="微软雅黑" w:cs="微软雅黑"/>
          <w:b/>
          <w:bCs/>
          <w:sz w:val="20"/>
          <w:szCs w:val="20"/>
        </w:rPr>
        <w:t>合格的工程、货物、服务</w:t>
      </w:r>
      <w:bookmarkEnd w:id="1190"/>
      <w:bookmarkEnd w:id="1191"/>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工程是指建设工程，包括建筑物和构筑物的新建、改建、扩建、装修、拆除等。</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合格的工程是指按国家制定的《工程施工质量验收规范》合格标准要求完成的工程。</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“服务”是指投标人按招标文件规定完成的全部服务内容，其中包括完成服务所需的货物，及须承担的技术支持、培训和其它伴随服务。 </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货物”是指投标人制造或组织符合招标文件要求的货物等。投标的货物必须是其合法生产、合法来源的符合国家有关标准要求的货物，并满足招标文件规定的规格、参数、质量、价格、有效期、售后服务等要求。</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投标人提供的所有服务，其质量、技术等特征必须符合国家、行业现行法律、法规的相关标准及其实施条例的有关规定及用户需求。</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采购人有权拒绝接受任何不合格的服务，由此产生的费用及相关后果均由投标人自行承担。</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92" w:name="_Toc453956626"/>
      <w:bookmarkStart w:id="1193" w:name="_Toc453957386"/>
      <w:r>
        <w:rPr>
          <w:rFonts w:hint="eastAsia" w:ascii="微软雅黑" w:hAnsi="微软雅黑" w:eastAsia="微软雅黑" w:cs="微软雅黑"/>
          <w:b/>
          <w:bCs/>
          <w:sz w:val="20"/>
          <w:szCs w:val="20"/>
        </w:rPr>
        <w:t>投标费用</w:t>
      </w:r>
      <w:bookmarkEnd w:id="1192"/>
      <w:bookmarkEnd w:id="1193"/>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投标人应承担所有与准备和参加投标有关的费用。不论投标的结果如何</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招标采购单位均无义务和责任承担这些费用。</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94" w:name="_Toc453957387"/>
      <w:bookmarkStart w:id="1195" w:name="_Toc315793364"/>
      <w:bookmarkStart w:id="1196" w:name="_Toc453956627"/>
      <w:r>
        <w:rPr>
          <w:rFonts w:hint="eastAsia" w:ascii="微软雅黑" w:hAnsi="微软雅黑" w:eastAsia="微软雅黑" w:cs="微软雅黑"/>
          <w:b/>
          <w:bCs/>
          <w:sz w:val="20"/>
          <w:szCs w:val="20"/>
        </w:rPr>
        <w:t>采购信用担保</w:t>
      </w:r>
      <w:bookmarkEnd w:id="1194"/>
      <w:bookmarkEnd w:id="1195"/>
      <w:bookmarkEnd w:id="1196"/>
    </w:p>
    <w:p>
      <w:pPr>
        <w:widowControl w:val="0"/>
        <w:numPr>
          <w:ilvl w:val="1"/>
          <w:numId w:val="19"/>
        </w:numPr>
        <w:autoSpaceDE w:val="0"/>
        <w:autoSpaceDN w:val="0"/>
        <w:spacing w:after="0" w:line="360" w:lineRule="auto"/>
        <w:jc w:val="both"/>
        <w:rPr>
          <w:rFonts w:hint="eastAsia" w:ascii="微软雅黑" w:hAnsi="微软雅黑" w:eastAsia="微软雅黑" w:cs="微软雅黑"/>
          <w:b/>
          <w:sz w:val="20"/>
          <w:szCs w:val="20"/>
          <w:lang w:eastAsia="zh-TW"/>
        </w:rPr>
      </w:pPr>
      <w:bookmarkStart w:id="1197" w:name="_Toc453957388"/>
      <w:bookmarkStart w:id="1198" w:name="_Toc453956628"/>
      <w:r>
        <w:rPr>
          <w:rFonts w:hint="eastAsia" w:ascii="微软雅黑" w:hAnsi="微软雅黑" w:eastAsia="微软雅黑" w:cs="微软雅黑"/>
          <w:sz w:val="20"/>
          <w:szCs w:val="20"/>
        </w:rPr>
        <w:t>履约担保：详见用户需求书、合同条款</w:t>
      </w:r>
    </w:p>
    <w:p>
      <w:pPr>
        <w:widowControl w:val="0"/>
        <w:autoSpaceDE w:val="0"/>
        <w:autoSpaceDN w:val="0"/>
        <w:spacing w:after="0" w:line="360" w:lineRule="auto"/>
        <w:ind w:left="567"/>
        <w:jc w:val="center"/>
        <w:rPr>
          <w:rFonts w:ascii="宋体" w:hAnsi="宋体" w:cs="楷体_GB2312"/>
          <w:b/>
          <w:sz w:val="28"/>
          <w:szCs w:val="28"/>
          <w:lang w:eastAsia="zh-TW"/>
        </w:rPr>
      </w:pPr>
      <w:r>
        <w:rPr>
          <w:rFonts w:hint="eastAsia" w:ascii="宋体" w:hAnsi="宋体" w:cs="楷体_GB2312"/>
          <w:b/>
          <w:sz w:val="28"/>
          <w:szCs w:val="28"/>
          <w:lang w:eastAsia="zh-TW"/>
        </w:rPr>
        <w:t>二、招标文件</w:t>
      </w:r>
      <w:bookmarkEnd w:id="1197"/>
      <w:bookmarkEnd w:id="1198"/>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招标文件</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cs="微软雅黑"/>
          <w:sz w:val="20"/>
          <w:szCs w:val="20"/>
          <w:lang w:eastAsia="zh-CN"/>
        </w:rPr>
        <w:t>招标</w:t>
      </w:r>
      <w:r>
        <w:rPr>
          <w:rFonts w:hint="eastAsia" w:ascii="微软雅黑" w:hAnsi="微软雅黑" w:cs="微软雅黑"/>
          <w:sz w:val="20"/>
          <w:szCs w:val="20"/>
        </w:rPr>
        <w:t>文件是采购人作为阐明所需服务的基本要求，</w:t>
      </w:r>
      <w:r>
        <w:rPr>
          <w:rFonts w:hint="eastAsia" w:ascii="微软雅黑" w:hAnsi="微软雅黑" w:cs="微软雅黑"/>
          <w:sz w:val="20"/>
          <w:szCs w:val="20"/>
          <w:lang w:eastAsia="zh-CN"/>
        </w:rPr>
        <w:t>招标</w:t>
      </w:r>
      <w:r>
        <w:rPr>
          <w:rFonts w:hint="eastAsia" w:ascii="微软雅黑" w:hAnsi="微软雅黑" w:cs="微软雅黑"/>
          <w:sz w:val="20"/>
          <w:szCs w:val="20"/>
        </w:rPr>
        <w:t>文件、投标文件、评标结果、合同书和相关承诺确认文件均作为任何一方当事人履约的重要依据。</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招标文件共</w:t>
      </w:r>
      <w:r>
        <w:rPr>
          <w:rFonts w:hint="eastAsia" w:ascii="微软雅黑" w:hAnsi="微软雅黑" w:eastAsia="微软雅黑" w:cs="微软雅黑"/>
          <w:sz w:val="20"/>
          <w:szCs w:val="20"/>
        </w:rPr>
        <w:t>七</w:t>
      </w:r>
      <w:r>
        <w:rPr>
          <w:rFonts w:hint="eastAsia" w:ascii="微软雅黑" w:hAnsi="微软雅黑" w:eastAsia="微软雅黑" w:cs="微软雅黑"/>
          <w:sz w:val="20"/>
          <w:szCs w:val="20"/>
          <w:lang w:eastAsia="zh-TW"/>
        </w:rPr>
        <w:t>章。</w:t>
      </w:r>
      <w:r>
        <w:rPr>
          <w:rFonts w:hint="eastAsia" w:ascii="微软雅黑" w:hAnsi="微软雅黑" w:eastAsia="微软雅黑" w:cs="微软雅黑"/>
          <w:sz w:val="20"/>
          <w:szCs w:val="20"/>
        </w:rPr>
        <w:t>由下列文件以及在招标过程中发出的澄清、修改和补充文件组成，</w:t>
      </w:r>
      <w:r>
        <w:rPr>
          <w:rFonts w:hint="eastAsia" w:ascii="微软雅黑" w:hAnsi="微软雅黑" w:eastAsia="微软雅黑" w:cs="微软雅黑"/>
          <w:sz w:val="20"/>
          <w:szCs w:val="20"/>
          <w:lang w:eastAsia="zh-TW"/>
        </w:rPr>
        <w:t>各册的内容如下</w:t>
      </w:r>
      <w:r>
        <w:rPr>
          <w:rFonts w:hint="eastAsia" w:ascii="微软雅黑" w:hAnsi="微软雅黑" w:eastAsia="微软雅黑" w:cs="微软雅黑"/>
          <w:sz w:val="20"/>
          <w:szCs w:val="20"/>
        </w:rPr>
        <w:t>：</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第一章　投标邀请</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第二章　投标资料表</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第三章　用户需求书</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第四章　评分体系和标准</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第五章  投标文件格式</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第六章　投标人须知</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第七章　合同通用条款</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投标人应认真阅读、并充分理解招标文件的全部内容（包括所有的补充、修改内容重要事项</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格式</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条款和技术规范、参数及要求等）。投标人没有按照招标文件要求提交全部资料，或者投标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没有对招标文件在各方面都</w:t>
      </w:r>
      <w:r>
        <w:rPr>
          <w:rFonts w:hint="eastAsia" w:ascii="微软雅黑" w:hAnsi="微软雅黑" w:eastAsia="微软雅黑" w:cs="微软雅黑"/>
          <w:sz w:val="20"/>
          <w:szCs w:val="20"/>
        </w:rPr>
        <w:t>作</w:t>
      </w:r>
      <w:r>
        <w:rPr>
          <w:rFonts w:hint="eastAsia" w:ascii="微软雅黑" w:hAnsi="微软雅黑" w:eastAsia="微软雅黑" w:cs="微软雅黑"/>
          <w:sz w:val="20"/>
          <w:szCs w:val="20"/>
          <w:lang w:eastAsia="zh-TW"/>
        </w:rPr>
        <w:t>出实质性响应是投标人的风险，有可能导致其投标被拒绝，或被认定为无效投标或被确定为投标无效。</w:t>
      </w:r>
    </w:p>
    <w:p>
      <w:pPr>
        <w:widowControl w:val="0"/>
        <w:numPr>
          <w:ilvl w:val="1"/>
          <w:numId w:val="19"/>
        </w:numPr>
        <w:autoSpaceDE w:val="0"/>
        <w:autoSpaceDN w:val="0"/>
        <w:spacing w:after="0"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本</w:t>
      </w:r>
      <w:r>
        <w:rPr>
          <w:rFonts w:hint="eastAsia" w:ascii="微软雅黑" w:hAnsi="微软雅黑" w:eastAsia="微软雅黑" w:cs="微软雅黑"/>
          <w:sz w:val="20"/>
          <w:szCs w:val="20"/>
          <w:lang w:eastAsia="zh-TW"/>
        </w:rPr>
        <w:t>招标文件的解释权归“</w:t>
      </w:r>
      <w:r>
        <w:rPr>
          <w:rFonts w:hint="eastAsia" w:ascii="微软雅黑" w:hAnsi="微软雅黑" w:eastAsia="微软雅黑" w:cs="微软雅黑"/>
          <w:sz w:val="20"/>
          <w:szCs w:val="20"/>
        </w:rPr>
        <w:t>广州宝诚招标代理咨询有限公司</w:t>
      </w:r>
      <w:r>
        <w:rPr>
          <w:rFonts w:hint="eastAsia" w:ascii="微软雅黑" w:hAnsi="微软雅黑" w:eastAsia="微软雅黑" w:cs="微软雅黑"/>
          <w:sz w:val="20"/>
          <w:szCs w:val="20"/>
          <w:lang w:eastAsia="zh-TW"/>
        </w:rPr>
        <w:t>”所有。</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99" w:name="_Toc453957390"/>
      <w:bookmarkStart w:id="1200" w:name="_Toc453956630"/>
      <w:r>
        <w:rPr>
          <w:rFonts w:hint="eastAsia" w:ascii="微软雅黑" w:hAnsi="微软雅黑" w:eastAsia="微软雅黑" w:cs="微软雅黑"/>
          <w:b/>
          <w:bCs/>
          <w:sz w:val="20"/>
          <w:szCs w:val="20"/>
        </w:rPr>
        <w:t>招标文件的澄清</w:t>
      </w:r>
      <w:bookmarkEnd w:id="1199"/>
      <w:bookmarkEnd w:id="1200"/>
    </w:p>
    <w:p>
      <w:pPr>
        <w:widowControl w:val="0"/>
        <w:numPr>
          <w:ilvl w:val="1"/>
          <w:numId w:val="19"/>
        </w:numPr>
        <w:autoSpaceDE w:val="0"/>
        <w:autoSpaceDN w:val="0"/>
        <w:spacing w:after="0" w:line="360" w:lineRule="auto"/>
        <w:jc w:val="both"/>
        <w:rPr>
          <w:rFonts w:hint="eastAsia" w:ascii="微软雅黑" w:hAnsi="微软雅黑" w:eastAsia="微软雅黑" w:cs="微软雅黑"/>
          <w:b w:val="0"/>
          <w:bCs w:val="0"/>
          <w:sz w:val="20"/>
          <w:szCs w:val="20"/>
          <w:lang w:eastAsia="zh-TW"/>
        </w:rPr>
      </w:pPr>
      <w:r>
        <w:rPr>
          <w:rFonts w:hint="eastAsia" w:ascii="微软雅黑" w:hAnsi="微软雅黑" w:eastAsia="微软雅黑" w:cs="微软雅黑"/>
          <w:sz w:val="20"/>
          <w:szCs w:val="20"/>
          <w:lang w:eastAsia="zh-TW"/>
        </w:rPr>
        <w:t>任何要求对招标文件进行澄清的投标人，均应以书面形式在投标截止时间十五日以前通知招标采购单位</w:t>
      </w:r>
      <w:r>
        <w:rPr>
          <w:rFonts w:hint="eastAsia" w:ascii="微软雅黑" w:hAnsi="微软雅黑" w:eastAsia="微软雅黑" w:cs="微软雅黑"/>
          <w:sz w:val="20"/>
          <w:szCs w:val="20"/>
        </w:rPr>
        <w:t>。</w:t>
      </w:r>
      <w:r>
        <w:rPr>
          <w:rFonts w:hint="eastAsia" w:ascii="微软雅黑" w:hAnsi="微软雅黑" w:cs="微软雅黑"/>
          <w:sz w:val="20"/>
          <w:szCs w:val="20"/>
          <w:lang w:eastAsia="zh-TW"/>
        </w:rPr>
        <w:t>采购代理机构将视情况确定采用适当方式予以澄清或以书面形式予以答复，并在其认为必要时，将不标明询问来源的书面答复发送给每个购买采购文件的投标人；投标人在收到澄清或修改通知后24小时内应立即以书面形式（应加盖公章）予以确认，逾期不提交书面确认的，视为已确认。</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投标人在规定的时间内未对招标文件提出澄清或疑问的，招标采购单位将视其为无异议。对招标文件中描述有歧意或前后不一致的地方，评标委员会有权进行评判，但对同一条款的评判应适用于每个投标人。</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除非依本须知第8.1规定的有</w:t>
      </w:r>
      <w:r>
        <w:rPr>
          <w:rFonts w:hint="eastAsia" w:ascii="微软雅黑" w:hAnsi="微软雅黑" w:eastAsia="微软雅黑" w:cs="微软雅黑"/>
          <w:sz w:val="20"/>
          <w:szCs w:val="20"/>
          <w:lang w:eastAsia="zh-TW"/>
        </w:rPr>
        <w:t>必要时</w:t>
      </w:r>
      <w:r>
        <w:rPr>
          <w:rFonts w:hint="eastAsia" w:ascii="微软雅黑" w:hAnsi="微软雅黑" w:eastAsia="微软雅黑" w:cs="微软雅黑"/>
          <w:sz w:val="20"/>
          <w:szCs w:val="20"/>
        </w:rPr>
        <w:t>或</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rPr>
        <w:t>中另有规定，不举行项目集中答疑会或现场考察，如举行集中答疑会或现场考察的，则按以下规定：</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rPr>
        <w:t>中规定的日期、时间和地点组织公开答疑会或现场考察；</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rPr>
        <w:t>潜在</w:t>
      </w:r>
      <w:r>
        <w:rPr>
          <w:rFonts w:hint="eastAsia" w:ascii="微软雅黑" w:hAnsi="微软雅黑" w:eastAsia="微软雅黑" w:cs="微软雅黑"/>
          <w:sz w:val="20"/>
          <w:szCs w:val="20"/>
          <w:lang w:eastAsia="zh-TW"/>
        </w:rPr>
        <w:t>投标人对本项目提出的疑问，需在答疑会</w:t>
      </w:r>
      <w:r>
        <w:rPr>
          <w:rFonts w:hint="eastAsia" w:ascii="微软雅黑" w:hAnsi="微软雅黑" w:eastAsia="微软雅黑" w:cs="微软雅黑"/>
          <w:sz w:val="20"/>
          <w:szCs w:val="20"/>
        </w:rPr>
        <w:t>或现场考察</w:t>
      </w:r>
      <w:r>
        <w:rPr>
          <w:rFonts w:hint="eastAsia" w:ascii="微软雅黑" w:hAnsi="微软雅黑" w:eastAsia="微软雅黑" w:cs="微软雅黑"/>
          <w:sz w:val="20"/>
          <w:szCs w:val="20"/>
          <w:lang w:eastAsia="zh-TW"/>
        </w:rPr>
        <w:t>召开日前至少一个工作日将问题清单以书面</w:t>
      </w:r>
      <w:r>
        <w:rPr>
          <w:rFonts w:hint="eastAsia" w:ascii="微软雅黑" w:hAnsi="微软雅黑" w:eastAsia="微软雅黑" w:cs="微软雅黑"/>
          <w:sz w:val="20"/>
          <w:szCs w:val="20"/>
        </w:rPr>
        <w:t>形式</w:t>
      </w:r>
      <w:r>
        <w:rPr>
          <w:rFonts w:hint="eastAsia" w:ascii="微软雅黑" w:hAnsi="微软雅黑" w:eastAsia="微软雅黑" w:cs="微软雅黑"/>
          <w:sz w:val="20"/>
          <w:szCs w:val="20"/>
          <w:lang w:eastAsia="zh-TW"/>
        </w:rPr>
        <w:t>（加盖公章）提交至代理机构，</w:t>
      </w:r>
      <w:r>
        <w:rPr>
          <w:rFonts w:hint="eastAsia" w:ascii="微软雅黑" w:hAnsi="微软雅黑" w:eastAsia="微软雅黑" w:cs="微软雅黑"/>
          <w:sz w:val="20"/>
          <w:szCs w:val="20"/>
        </w:rPr>
        <w:t>潜在</w:t>
      </w:r>
      <w:r>
        <w:rPr>
          <w:rFonts w:hint="eastAsia" w:ascii="微软雅黑" w:hAnsi="微软雅黑" w:eastAsia="微软雅黑" w:cs="微软雅黑"/>
          <w:sz w:val="20"/>
          <w:szCs w:val="20"/>
          <w:lang w:eastAsia="zh-TW"/>
        </w:rPr>
        <w:t>投标人代表于上述的时间和地点出席答疑会</w:t>
      </w:r>
      <w:r>
        <w:rPr>
          <w:rFonts w:hint="eastAsia" w:ascii="微软雅黑" w:hAnsi="微软雅黑" w:eastAsia="微软雅黑" w:cs="微软雅黑"/>
          <w:sz w:val="20"/>
          <w:szCs w:val="20"/>
        </w:rPr>
        <w:t>或现场考察；</w:t>
      </w:r>
    </w:p>
    <w:p>
      <w:pPr>
        <w:widowControl w:val="0"/>
        <w:numPr>
          <w:ilvl w:val="2"/>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已购买</w:t>
      </w:r>
      <w:r>
        <w:rPr>
          <w:rFonts w:hint="eastAsia" w:ascii="微软雅黑" w:hAnsi="微软雅黑" w:eastAsia="微软雅黑" w:cs="微软雅黑"/>
          <w:sz w:val="20"/>
          <w:szCs w:val="20"/>
        </w:rPr>
        <w:t>招标</w:t>
      </w:r>
      <w:r>
        <w:rPr>
          <w:rFonts w:hint="eastAsia" w:ascii="微软雅黑" w:hAnsi="微软雅黑" w:eastAsia="微软雅黑" w:cs="微软雅黑"/>
          <w:sz w:val="20"/>
          <w:szCs w:val="20"/>
          <w:lang w:eastAsia="zh-TW"/>
        </w:rPr>
        <w:t>文件的投标人如不出席答疑会</w:t>
      </w:r>
      <w:r>
        <w:rPr>
          <w:rFonts w:hint="eastAsia" w:ascii="微软雅黑" w:hAnsi="微软雅黑" w:eastAsia="微软雅黑" w:cs="微软雅黑"/>
          <w:sz w:val="20"/>
          <w:szCs w:val="20"/>
        </w:rPr>
        <w:t>或现场考察</w:t>
      </w:r>
      <w:r>
        <w:rPr>
          <w:rFonts w:hint="eastAsia" w:ascii="微软雅黑" w:hAnsi="微软雅黑" w:eastAsia="微软雅黑" w:cs="微软雅黑"/>
          <w:sz w:val="20"/>
          <w:szCs w:val="20"/>
          <w:lang w:eastAsia="zh-TW"/>
        </w:rPr>
        <w:t>视为对招标文件所有内容无任何异议。</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01" w:name="_Toc453956631"/>
      <w:bookmarkStart w:id="1202" w:name="_Toc453957391"/>
      <w:r>
        <w:rPr>
          <w:rFonts w:hint="eastAsia" w:ascii="微软雅黑" w:hAnsi="微软雅黑" w:eastAsia="微软雅黑" w:cs="微软雅黑"/>
          <w:b/>
          <w:bCs/>
          <w:sz w:val="20"/>
          <w:szCs w:val="20"/>
        </w:rPr>
        <w:t>招标文件的修改</w:t>
      </w:r>
      <w:bookmarkEnd w:id="1201"/>
      <w:bookmarkEnd w:id="1202"/>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无论出于何种原因</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招标采购单位可主动地或在解答投标人提出的疑问时对招标文件进行修改</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招标采购单位对已发出的招标文件进行必要修改的，应当在招标文件</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lang w:eastAsia="zh-TW"/>
        </w:rPr>
        <w:t>中所述提交投标文件截止时间十五日前，在</w:t>
      </w:r>
      <w:r>
        <w:rPr>
          <w:rFonts w:hint="eastAsia" w:ascii="微软雅黑" w:hAnsi="微软雅黑" w:eastAsia="微软雅黑" w:cs="微软雅黑"/>
          <w:sz w:val="20"/>
          <w:szCs w:val="20"/>
        </w:rPr>
        <w:t>主管</w:t>
      </w:r>
      <w:r>
        <w:rPr>
          <w:rFonts w:hint="eastAsia" w:ascii="微软雅黑" w:hAnsi="微软雅黑" w:eastAsia="微软雅黑" w:cs="微软雅黑"/>
          <w:sz w:val="20"/>
          <w:szCs w:val="20"/>
          <w:lang w:eastAsia="zh-TW"/>
        </w:rPr>
        <w:t>部门指定的采购信息发布媒体上发布更正公告</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并以书面形式通知所有招标文件收受人。</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除投标资料表中另有规定，澄清或修改时间距投标截止时间不足十五</w:t>
      </w:r>
      <w:r>
        <w:rPr>
          <w:rFonts w:hint="eastAsia" w:ascii="微软雅黑" w:hAnsi="微软雅黑" w:eastAsia="微软雅黑" w:cs="微软雅黑"/>
          <w:sz w:val="20"/>
          <w:szCs w:val="20"/>
        </w:rPr>
        <w:t>日</w:t>
      </w:r>
      <w:r>
        <w:rPr>
          <w:rFonts w:hint="eastAsia" w:ascii="微软雅黑" w:hAnsi="微软雅黑" w:eastAsia="微软雅黑" w:cs="微软雅黑"/>
          <w:sz w:val="20"/>
          <w:szCs w:val="20"/>
          <w:lang w:eastAsia="zh-TW"/>
        </w:rPr>
        <w:t>的</w:t>
      </w:r>
      <w:r>
        <w:rPr>
          <w:rFonts w:hint="eastAsia" w:ascii="微软雅黑" w:hAnsi="微软雅黑" w:eastAsia="微软雅黑" w:cs="微软雅黑"/>
          <w:sz w:val="20"/>
          <w:szCs w:val="20"/>
        </w:rPr>
        <w:t>，采购</w:t>
      </w:r>
      <w:r>
        <w:rPr>
          <w:rFonts w:hint="eastAsia" w:ascii="微软雅黑" w:hAnsi="微软雅黑" w:eastAsia="微软雅黑" w:cs="微软雅黑"/>
          <w:sz w:val="20"/>
          <w:szCs w:val="20"/>
          <w:lang w:eastAsia="zh-TW"/>
        </w:rPr>
        <w:t>人或采购代理机构在征得已获取招标文件的潜在投标人同意并书面确认后，可不改变投标截止时间。</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招标文件的修改内容是招标文件的组成部分，将以书面形式通知所有购买招标文件的潜在投标人，并对潜在投标人具有约束力。潜在投标人在收到上述通知后</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应立即以书面形式向招标采购单位确认。如在24小时之内无书面回函则视为同意修改内容，并有责任履行相应的义务。</w:t>
      </w:r>
    </w:p>
    <w:p>
      <w:pPr>
        <w:spacing w:before="312" w:beforeLines="100" w:after="312" w:afterLines="100" w:line="360" w:lineRule="auto"/>
        <w:jc w:val="center"/>
        <w:outlineLvl w:val="0"/>
        <w:rPr>
          <w:rFonts w:ascii="宋体" w:hAnsi="宋体" w:cs="楷体_GB2312"/>
          <w:b/>
          <w:sz w:val="28"/>
          <w:szCs w:val="28"/>
          <w:lang w:eastAsia="zh-TW"/>
        </w:rPr>
      </w:pPr>
      <w:bookmarkStart w:id="1203" w:name="_Toc453956632"/>
      <w:bookmarkStart w:id="1204" w:name="_Toc453957392"/>
      <w:r>
        <w:rPr>
          <w:rFonts w:hint="eastAsia" w:ascii="宋体" w:hAnsi="宋体" w:cs="楷体_GB2312"/>
          <w:b/>
          <w:sz w:val="28"/>
          <w:szCs w:val="28"/>
          <w:lang w:eastAsia="zh-TW"/>
        </w:rPr>
        <w:t>三、投标文件的编制</w:t>
      </w:r>
      <w:bookmarkEnd w:id="1203"/>
      <w:bookmarkEnd w:id="1204"/>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05" w:name="_Toc453957393"/>
      <w:bookmarkStart w:id="1206" w:name="_Toc453956633"/>
      <w:r>
        <w:rPr>
          <w:rFonts w:hint="eastAsia" w:ascii="微软雅黑" w:hAnsi="微软雅黑" w:eastAsia="微软雅黑" w:cs="微软雅黑"/>
          <w:b/>
          <w:bCs/>
          <w:sz w:val="20"/>
          <w:szCs w:val="20"/>
        </w:rPr>
        <w:t>投标的语言</w:t>
      </w:r>
      <w:bookmarkEnd w:id="1205"/>
      <w:bookmarkEnd w:id="1206"/>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投标人提交的投标文件以及投标人与招标采购单位就有关投标的所有来往函电均应使用中文书写</w:t>
      </w:r>
      <w:r>
        <w:rPr>
          <w:rFonts w:hint="eastAsia" w:ascii="微软雅黑" w:hAnsi="微软雅黑" w:eastAsia="微软雅黑" w:cs="微软雅黑"/>
          <w:sz w:val="20"/>
          <w:szCs w:val="20"/>
        </w:rPr>
        <w:t>。投</w:t>
      </w:r>
      <w:r>
        <w:rPr>
          <w:rFonts w:hint="eastAsia" w:ascii="微软雅黑" w:hAnsi="微软雅黑" w:eastAsia="微软雅黑" w:cs="微软雅黑"/>
          <w:sz w:val="20"/>
          <w:szCs w:val="20"/>
          <w:lang w:eastAsia="zh-TW"/>
        </w:rPr>
        <w:t>标人提交的支持资料和</w:t>
      </w:r>
      <w:r>
        <w:rPr>
          <w:rFonts w:hint="eastAsia" w:ascii="微软雅黑" w:hAnsi="微软雅黑" w:eastAsia="微软雅黑" w:cs="微软雅黑"/>
          <w:sz w:val="20"/>
          <w:szCs w:val="20"/>
        </w:rPr>
        <w:t>已</w:t>
      </w:r>
      <w:r>
        <w:rPr>
          <w:rFonts w:hint="eastAsia" w:ascii="微软雅黑" w:hAnsi="微软雅黑" w:eastAsia="微软雅黑" w:cs="微软雅黑"/>
          <w:sz w:val="20"/>
          <w:szCs w:val="20"/>
          <w:lang w:eastAsia="zh-TW"/>
        </w:rPr>
        <w:t>刷的文献可以用另一种语言</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但相应内容应附有中文翻译本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在解释投标文件的修改内容时以中文翻译本为准。对中文翻译有异议的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以权威机构的译本为准。</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07" w:name="_Toc453957394"/>
      <w:bookmarkStart w:id="1208" w:name="_Toc453956634"/>
      <w:r>
        <w:rPr>
          <w:rFonts w:hint="eastAsia" w:ascii="微软雅黑" w:hAnsi="微软雅黑" w:eastAsia="微软雅黑" w:cs="微软雅黑"/>
          <w:b/>
          <w:bCs/>
          <w:sz w:val="20"/>
          <w:szCs w:val="20"/>
        </w:rPr>
        <w:t>投标文件的构成</w:t>
      </w:r>
      <w:bookmarkEnd w:id="1207"/>
      <w:bookmarkEnd w:id="1208"/>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投标人编写的投标文件应包括初审文件、技术文件、商务文件，编排顺序参见投标文件格式。</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投标文件的构成应符合法律法规及招标文件的要求。</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09" w:name="_Toc293507613"/>
      <w:bookmarkEnd w:id="1209"/>
      <w:bookmarkStart w:id="1210" w:name="_Toc293506732"/>
      <w:bookmarkEnd w:id="1210"/>
      <w:bookmarkStart w:id="1211" w:name="_Toc293506733"/>
      <w:bookmarkEnd w:id="1211"/>
      <w:bookmarkStart w:id="1212" w:name="_Toc294000379"/>
      <w:bookmarkEnd w:id="1212"/>
      <w:bookmarkStart w:id="1213" w:name="_Toc293507707"/>
      <w:bookmarkEnd w:id="1213"/>
      <w:bookmarkStart w:id="1214" w:name="_Toc293507616"/>
      <w:bookmarkEnd w:id="1214"/>
      <w:bookmarkStart w:id="1215" w:name="_Toc293506669"/>
      <w:bookmarkEnd w:id="1215"/>
      <w:bookmarkStart w:id="1216" w:name="_Toc293506672"/>
      <w:bookmarkEnd w:id="1216"/>
      <w:bookmarkStart w:id="1217" w:name="_Toc294000376"/>
      <w:bookmarkEnd w:id="1217"/>
      <w:bookmarkStart w:id="1218" w:name="_Toc293507710"/>
      <w:bookmarkEnd w:id="1218"/>
      <w:bookmarkStart w:id="1219" w:name="_Toc294000378"/>
      <w:bookmarkEnd w:id="1219"/>
      <w:bookmarkStart w:id="1220" w:name="_Toc293507615"/>
      <w:bookmarkEnd w:id="1220"/>
      <w:bookmarkStart w:id="1221" w:name="_Toc293507814"/>
      <w:bookmarkEnd w:id="1221"/>
      <w:bookmarkStart w:id="1222" w:name="_Toc293507706"/>
      <w:bookmarkEnd w:id="1222"/>
      <w:bookmarkStart w:id="1223" w:name="_Toc293506673"/>
      <w:bookmarkEnd w:id="1223"/>
      <w:bookmarkStart w:id="1224" w:name="_Toc293506731"/>
      <w:bookmarkEnd w:id="1224"/>
      <w:bookmarkStart w:id="1225" w:name="_Toc293506670"/>
      <w:bookmarkEnd w:id="1225"/>
      <w:bookmarkStart w:id="1226" w:name="_Toc293507709"/>
      <w:bookmarkEnd w:id="1226"/>
      <w:bookmarkStart w:id="1227" w:name="_Toc293507812"/>
      <w:bookmarkEnd w:id="1227"/>
      <w:bookmarkStart w:id="1228" w:name="_Toc293507813"/>
      <w:bookmarkEnd w:id="1228"/>
      <w:bookmarkStart w:id="1229" w:name="_Toc294000377"/>
      <w:bookmarkEnd w:id="1229"/>
      <w:bookmarkStart w:id="1230" w:name="_Toc293506730"/>
      <w:bookmarkEnd w:id="1230"/>
      <w:bookmarkStart w:id="1231" w:name="_Toc293507816"/>
      <w:bookmarkEnd w:id="1231"/>
      <w:bookmarkStart w:id="1232" w:name="_Toc293507708"/>
      <w:bookmarkEnd w:id="1232"/>
      <w:bookmarkStart w:id="1233" w:name="_Toc293507815"/>
      <w:bookmarkEnd w:id="1233"/>
      <w:bookmarkStart w:id="1234" w:name="_Toc293506729"/>
      <w:bookmarkEnd w:id="1234"/>
      <w:bookmarkStart w:id="1235" w:name="_Toc293507617"/>
      <w:bookmarkEnd w:id="1235"/>
      <w:bookmarkStart w:id="1236" w:name="_Toc293507614"/>
      <w:bookmarkEnd w:id="1236"/>
      <w:bookmarkStart w:id="1237" w:name="_Toc294000380"/>
      <w:bookmarkEnd w:id="1237"/>
      <w:bookmarkStart w:id="1238" w:name="_Toc293506671"/>
      <w:bookmarkEnd w:id="1238"/>
      <w:bookmarkStart w:id="1239" w:name="_Toc453956635"/>
      <w:bookmarkStart w:id="1240" w:name="_Toc453957395"/>
      <w:r>
        <w:rPr>
          <w:rFonts w:hint="eastAsia" w:ascii="微软雅黑" w:hAnsi="微软雅黑" w:eastAsia="微软雅黑" w:cs="微软雅黑"/>
          <w:b/>
          <w:bCs/>
          <w:sz w:val="20"/>
          <w:szCs w:val="20"/>
        </w:rPr>
        <w:t>投标文件的编写</w:t>
      </w:r>
      <w:bookmarkEnd w:id="1239"/>
      <w:bookmarkEnd w:id="1240"/>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投标人应完整</w:t>
      </w:r>
      <w:r>
        <w:rPr>
          <w:rFonts w:hint="eastAsia" w:ascii="微软雅黑" w:hAnsi="微软雅黑" w:eastAsia="微软雅黑" w:cs="微软雅黑"/>
          <w:sz w:val="20"/>
          <w:szCs w:val="20"/>
        </w:rPr>
        <w:t>、真实、准确</w:t>
      </w:r>
      <w:r>
        <w:rPr>
          <w:rFonts w:hint="eastAsia" w:ascii="微软雅黑" w:hAnsi="微软雅黑" w:eastAsia="微软雅黑" w:cs="微软雅黑"/>
          <w:sz w:val="20"/>
          <w:szCs w:val="20"/>
          <w:lang w:eastAsia="zh-TW"/>
        </w:rPr>
        <w:t>地填写招标文件中提供的投标</w:t>
      </w:r>
      <w:r>
        <w:rPr>
          <w:rFonts w:hint="eastAsia" w:ascii="微软雅黑" w:hAnsi="微软雅黑" w:eastAsia="微软雅黑" w:cs="微软雅黑"/>
          <w:sz w:val="20"/>
          <w:szCs w:val="20"/>
        </w:rPr>
        <w:t>函</w:t>
      </w:r>
      <w:r>
        <w:rPr>
          <w:rFonts w:hint="eastAsia" w:ascii="微软雅黑" w:hAnsi="微软雅黑" w:eastAsia="微软雅黑" w:cs="微软雅黑"/>
          <w:sz w:val="20"/>
          <w:szCs w:val="20"/>
          <w:lang w:eastAsia="zh-TW"/>
        </w:rPr>
        <w:t>、开标一览表(报价表)、</w:t>
      </w:r>
      <w:r>
        <w:rPr>
          <w:rFonts w:hint="eastAsia" w:ascii="微软雅黑" w:hAnsi="微软雅黑" w:eastAsia="微软雅黑" w:cs="微软雅黑"/>
          <w:sz w:val="20"/>
          <w:szCs w:val="20"/>
        </w:rPr>
        <w:t>项目</w:t>
      </w:r>
      <w:r>
        <w:rPr>
          <w:rFonts w:hint="eastAsia" w:ascii="微软雅黑" w:hAnsi="微软雅黑" w:cs="微软雅黑"/>
          <w:sz w:val="20"/>
          <w:szCs w:val="20"/>
          <w:lang w:eastAsia="zh-CN"/>
        </w:rPr>
        <w:t>报价</w:t>
      </w:r>
      <w:r>
        <w:rPr>
          <w:rFonts w:hint="eastAsia" w:ascii="微软雅黑" w:hAnsi="微软雅黑" w:eastAsia="微软雅黑" w:cs="微软雅黑"/>
          <w:sz w:val="20"/>
          <w:szCs w:val="20"/>
        </w:rPr>
        <w:t>明细表</w:t>
      </w:r>
      <w:r>
        <w:rPr>
          <w:rFonts w:hint="eastAsia" w:ascii="微软雅黑" w:hAnsi="微软雅黑" w:eastAsia="微软雅黑" w:cs="微软雅黑"/>
          <w:sz w:val="20"/>
          <w:szCs w:val="20"/>
          <w:lang w:eastAsia="zh-TW"/>
        </w:rPr>
        <w:t>（如适用）以及招标文件中规定的其它所有内容。</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投标人对招标文件中多个</w:t>
      </w:r>
      <w:r>
        <w:rPr>
          <w:rFonts w:hint="eastAsia" w:ascii="微软雅黑" w:hAnsi="微软雅黑" w:eastAsia="微软雅黑" w:cs="微软雅黑"/>
          <w:sz w:val="20"/>
          <w:szCs w:val="20"/>
        </w:rPr>
        <w:t>包组</w:t>
      </w:r>
      <w:r>
        <w:rPr>
          <w:rFonts w:hint="eastAsia" w:ascii="微软雅黑" w:hAnsi="微软雅黑" w:eastAsia="微软雅黑" w:cs="微软雅黑"/>
          <w:sz w:val="20"/>
          <w:szCs w:val="20"/>
          <w:lang w:eastAsia="zh-TW"/>
        </w:rPr>
        <w:t>进行投标的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其投标文件的编制</w:t>
      </w:r>
      <w:r>
        <w:rPr>
          <w:rFonts w:hint="eastAsia" w:ascii="微软雅黑" w:hAnsi="微软雅黑" w:eastAsia="微软雅黑" w:cs="微软雅黑"/>
          <w:sz w:val="20"/>
          <w:szCs w:val="20"/>
        </w:rPr>
        <w:t>可按</w:t>
      </w:r>
      <w:r>
        <w:rPr>
          <w:rFonts w:hint="eastAsia" w:ascii="微软雅黑" w:hAnsi="微软雅黑" w:eastAsia="微软雅黑" w:cs="微软雅黑"/>
          <w:sz w:val="20"/>
          <w:szCs w:val="20"/>
          <w:lang w:eastAsia="zh-TW"/>
        </w:rPr>
        <w:t>每个</w:t>
      </w:r>
      <w:r>
        <w:rPr>
          <w:rFonts w:hint="eastAsia" w:ascii="微软雅黑" w:hAnsi="微软雅黑" w:eastAsia="微软雅黑" w:cs="微软雅黑"/>
          <w:sz w:val="20"/>
          <w:szCs w:val="20"/>
        </w:rPr>
        <w:t>包组</w:t>
      </w:r>
      <w:r>
        <w:rPr>
          <w:rFonts w:hint="eastAsia" w:ascii="微软雅黑" w:hAnsi="微软雅黑" w:eastAsia="微软雅黑" w:cs="微软雅黑"/>
          <w:sz w:val="20"/>
          <w:szCs w:val="20"/>
          <w:lang w:eastAsia="zh-TW"/>
        </w:rPr>
        <w:t>的要求分别装订和封装。投标人应当对投标文件进行装订，对未经装订的投标文件可能发生的文件散落或缺损，由此造成的后果</w:t>
      </w:r>
      <w:r>
        <w:rPr>
          <w:rFonts w:hint="eastAsia" w:ascii="微软雅黑" w:hAnsi="微软雅黑" w:eastAsia="微软雅黑" w:cs="微软雅黑"/>
          <w:sz w:val="20"/>
          <w:szCs w:val="20"/>
        </w:rPr>
        <w:t>和</w:t>
      </w:r>
      <w:r>
        <w:rPr>
          <w:rFonts w:hint="eastAsia" w:ascii="微软雅黑" w:hAnsi="微软雅黑" w:eastAsia="微软雅黑" w:cs="微软雅黑"/>
          <w:sz w:val="20"/>
          <w:szCs w:val="20"/>
          <w:lang w:eastAsia="zh-TW"/>
        </w:rPr>
        <w:t>责任由投标人承担</w:t>
      </w:r>
      <w:r>
        <w:rPr>
          <w:rFonts w:hint="eastAsia" w:ascii="微软雅黑" w:hAnsi="微软雅黑" w:eastAsia="微软雅黑" w:cs="微软雅黑"/>
          <w:sz w:val="20"/>
          <w:szCs w:val="20"/>
        </w:rPr>
        <w:t>。</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投标人必须对投标文件所提供的全部资料的真实性承担法律责任，并无条件接受招标采购单位及采购监督管理部门等对其中任何资料进行核实的要求。</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如果因为投标人</w:t>
      </w:r>
      <w:r>
        <w:rPr>
          <w:rFonts w:hint="eastAsia" w:ascii="微软雅黑" w:hAnsi="微软雅黑" w:eastAsia="微软雅黑" w:cs="微软雅黑"/>
          <w:sz w:val="20"/>
          <w:szCs w:val="20"/>
        </w:rPr>
        <w:t>的</w:t>
      </w:r>
      <w:r>
        <w:rPr>
          <w:rFonts w:hint="eastAsia" w:ascii="微软雅黑" w:hAnsi="微软雅黑" w:eastAsia="微软雅黑" w:cs="微软雅黑"/>
          <w:sz w:val="20"/>
          <w:szCs w:val="20"/>
          <w:lang w:eastAsia="zh-TW"/>
        </w:rPr>
        <w:t>投标文件只填写和提供了本</w:t>
      </w:r>
      <w:r>
        <w:rPr>
          <w:rFonts w:hint="eastAsia" w:ascii="微软雅黑" w:hAnsi="微软雅黑" w:eastAsia="微软雅黑" w:cs="微软雅黑"/>
          <w:sz w:val="20"/>
          <w:szCs w:val="20"/>
        </w:rPr>
        <w:t>招标</w:t>
      </w:r>
      <w:r>
        <w:rPr>
          <w:rFonts w:hint="eastAsia" w:ascii="微软雅黑" w:hAnsi="微软雅黑" w:eastAsia="微软雅黑" w:cs="微软雅黑"/>
          <w:sz w:val="20"/>
          <w:szCs w:val="20"/>
          <w:lang w:eastAsia="zh-TW"/>
        </w:rPr>
        <w:t>文件要求的部分内容和附件，或没有提供招标文件中所要求的全部资料及数据，由此造成的后果</w:t>
      </w:r>
      <w:r>
        <w:rPr>
          <w:rFonts w:hint="eastAsia" w:ascii="微软雅黑" w:hAnsi="微软雅黑" w:eastAsia="微软雅黑" w:cs="微软雅黑"/>
          <w:sz w:val="20"/>
          <w:szCs w:val="20"/>
        </w:rPr>
        <w:t>和</w:t>
      </w:r>
      <w:r>
        <w:rPr>
          <w:rFonts w:hint="eastAsia" w:ascii="微软雅黑" w:hAnsi="微软雅黑" w:eastAsia="微软雅黑" w:cs="微软雅黑"/>
          <w:sz w:val="20"/>
          <w:szCs w:val="20"/>
          <w:lang w:eastAsia="zh-TW"/>
        </w:rPr>
        <w:t>责任由投标人承担</w:t>
      </w:r>
      <w:r>
        <w:rPr>
          <w:rFonts w:hint="eastAsia" w:ascii="微软雅黑" w:hAnsi="微软雅黑" w:eastAsia="微软雅黑" w:cs="微软雅黑"/>
          <w:sz w:val="20"/>
          <w:szCs w:val="20"/>
        </w:rPr>
        <w:t>。</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41" w:name="_Toc453957396"/>
      <w:bookmarkStart w:id="1242" w:name="_Toc453956636"/>
      <w:r>
        <w:rPr>
          <w:rFonts w:hint="eastAsia" w:ascii="微软雅黑" w:hAnsi="微软雅黑" w:eastAsia="微软雅黑" w:cs="微软雅黑"/>
          <w:b/>
          <w:bCs/>
          <w:sz w:val="20"/>
          <w:szCs w:val="20"/>
        </w:rPr>
        <w:t>投标货币</w:t>
      </w:r>
      <w:bookmarkEnd w:id="1241"/>
      <w:bookmarkEnd w:id="1242"/>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投标人所提供的货物均应以人民币报价。</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43" w:name="_Toc453957397"/>
      <w:bookmarkStart w:id="1244" w:name="_Toc453956637"/>
      <w:r>
        <w:rPr>
          <w:rFonts w:hint="eastAsia" w:ascii="微软雅黑" w:hAnsi="微软雅黑" w:eastAsia="微软雅黑" w:cs="微软雅黑"/>
          <w:b/>
          <w:bCs/>
          <w:sz w:val="20"/>
          <w:szCs w:val="20"/>
        </w:rPr>
        <w:t>联合体投标</w:t>
      </w:r>
      <w:bookmarkEnd w:id="1243"/>
      <w:bookmarkEnd w:id="1244"/>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除非</w:t>
      </w:r>
      <w:r>
        <w:rPr>
          <w:rFonts w:hint="eastAsia" w:ascii="微软雅黑" w:hAnsi="微软雅黑" w:eastAsia="微软雅黑" w:cs="微软雅黑"/>
          <w:b/>
          <w:sz w:val="20"/>
          <w:szCs w:val="20"/>
        </w:rPr>
        <w:t>投标邀请</w:t>
      </w:r>
      <w:r>
        <w:rPr>
          <w:rFonts w:hint="eastAsia" w:ascii="微软雅黑" w:hAnsi="微软雅黑" w:eastAsia="微软雅黑" w:cs="微软雅黑"/>
          <w:sz w:val="20"/>
          <w:szCs w:val="20"/>
        </w:rPr>
        <w:t>中另有规定，不接受联合体投标。如果投标邀请中规定允许联合体投标的，则必须满足：</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以联合体形式参加投标的，联合体各方均必须符合本须知“合格的投标人”的一般规定，并至少有一方符合“合格的投标人”的特殊条款要求； </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联合体投标的，必须提供各方签订的共同投标协议，明确约定各方承担的工作和相应的责任，由同一专业的单位组成的联合体，按照同一资质等级较低的单位确定资质等级。联合体各方签订共同投标协议后，不得再以自己名义单独在同一项目（或包组）中投标，也不得组成新的联合体参加同一项目（或包组）投标；</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联合体投标的，可以由联合体中的一方或者共同提交投标保证金，以一方名义提交投标保证金的，对联合体各方均具有约束力；</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联合体中标的，联合体各方应当共同与采购人签订合同。</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关于关联企业</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bookmarkStart w:id="1245" w:name="_Toc134955409"/>
      <w:bookmarkStart w:id="1246" w:name="_Toc127930780"/>
      <w:r>
        <w:rPr>
          <w:rFonts w:hint="eastAsia" w:ascii="微软雅黑" w:hAnsi="微软雅黑" w:eastAsia="微软雅黑" w:cs="微软雅黑"/>
          <w:sz w:val="20"/>
          <w:szCs w:val="20"/>
        </w:rPr>
        <w:t>除联合体外，法定代表人或单位负责人为同一个人或者存在直接控股、管理关系的不同投标人，不得同时参加同一项目或同一子项目的投标。如同时参加，则评审时将同时被拒绝。</w:t>
      </w:r>
      <w:bookmarkEnd w:id="1245"/>
      <w:bookmarkEnd w:id="1246"/>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 xml:space="preserve">关于分公司投标 </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bookmarkStart w:id="1247" w:name="EB389f116341dd4693875bc7987e7327f3"/>
      <w:r>
        <w:rPr>
          <w:rFonts w:hint="eastAsia" w:ascii="微软雅黑" w:hAnsi="微软雅黑" w:eastAsia="微软雅黑" w:cs="微软雅黑"/>
          <w:sz w:val="20"/>
          <w:szCs w:val="20"/>
        </w:rPr>
        <w:t>对可接受分公司投标的项目，分公司投标的，需提供具有法人资格的总公司的营业执照副本复印件及授权书，授权书须加盖总公司公章。总公司可就本项目或此类项目在一定范围或时间内出具授权书。已由总公司授权的，总公司取得的相关资质证书对分公司有效，法律法规或者行业另有规定的除外。</w:t>
      </w:r>
      <w:bookmarkEnd w:id="1247"/>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关于提供前期服务的投标人</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为采购项目提供整体设计、规范编制或者项目管理、监理、检测等服务的投标人，不得再参加该采购项目的其他采购活动。</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证明投标人合格和资格的文件</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投标人应提交证明其有资格参加投标和中标后有能力履行合同的文件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并作为其投标文件的一部分。如果投标人为联合体</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应提交联合体各方的资格证明文件、</w:t>
      </w:r>
      <w:r>
        <w:rPr>
          <w:rFonts w:hint="eastAsia" w:ascii="微软雅黑" w:hAnsi="微软雅黑" w:eastAsia="微软雅黑" w:cs="微软雅黑"/>
          <w:sz w:val="20"/>
          <w:szCs w:val="20"/>
        </w:rPr>
        <w:t>共同投标协议</w:t>
      </w:r>
      <w:r>
        <w:rPr>
          <w:rFonts w:hint="eastAsia" w:ascii="微软雅黑" w:hAnsi="微软雅黑" w:eastAsia="微软雅黑" w:cs="微软雅黑"/>
          <w:sz w:val="20"/>
          <w:szCs w:val="20"/>
          <w:lang w:eastAsia="zh-TW"/>
        </w:rPr>
        <w:t>并注明</w:t>
      </w:r>
      <w:r>
        <w:rPr>
          <w:rFonts w:hint="eastAsia" w:ascii="微软雅黑" w:hAnsi="微软雅黑" w:eastAsia="微软雅黑" w:cs="微软雅黑"/>
          <w:sz w:val="20"/>
          <w:szCs w:val="20"/>
        </w:rPr>
        <w:t>主体方及各方拟承担的工作和责任。</w:t>
      </w:r>
      <w:r>
        <w:rPr>
          <w:rFonts w:hint="eastAsia" w:ascii="微软雅黑" w:hAnsi="微软雅黑" w:eastAsia="微软雅黑" w:cs="微软雅黑"/>
          <w:sz w:val="20"/>
          <w:szCs w:val="20"/>
          <w:lang w:eastAsia="zh-TW"/>
        </w:rPr>
        <w:t>否则</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将导致其投标</w:t>
      </w:r>
      <w:r>
        <w:rPr>
          <w:rFonts w:hint="eastAsia" w:ascii="微软雅黑" w:hAnsi="微软雅黑" w:eastAsia="微软雅黑" w:cs="微软雅黑"/>
          <w:sz w:val="20"/>
          <w:szCs w:val="20"/>
        </w:rPr>
        <w:t>无效。</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投标人提交的资格证明文件应证明其</w:t>
      </w:r>
      <w:r>
        <w:rPr>
          <w:rFonts w:hint="eastAsia" w:ascii="微软雅黑" w:hAnsi="微软雅黑" w:eastAsia="微软雅黑" w:cs="微软雅黑"/>
          <w:sz w:val="20"/>
          <w:szCs w:val="20"/>
        </w:rPr>
        <w:t>满足</w:t>
      </w:r>
      <w:r>
        <w:rPr>
          <w:rFonts w:hint="eastAsia" w:ascii="微软雅黑" w:hAnsi="微软雅黑" w:eastAsia="微软雅黑" w:cs="微软雅黑"/>
          <w:sz w:val="20"/>
          <w:szCs w:val="20"/>
          <w:lang w:eastAsia="zh-TW"/>
        </w:rPr>
        <w:t>本须知定义的合格投标人。</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48" w:name="_Toc453957399"/>
      <w:bookmarkStart w:id="1249" w:name="_Toc453956639"/>
      <w:r>
        <w:rPr>
          <w:rFonts w:hint="eastAsia" w:ascii="微软雅黑" w:hAnsi="微软雅黑" w:eastAsia="微软雅黑" w:cs="微软雅黑"/>
          <w:b/>
          <w:bCs/>
          <w:sz w:val="20"/>
          <w:szCs w:val="20"/>
        </w:rPr>
        <w:t>证明服务的合格性和符合招标文件规定的文件</w:t>
      </w:r>
      <w:bookmarkEnd w:id="1248"/>
      <w:bookmarkEnd w:id="1249"/>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投标人应提交证明文件，证明其拟投标的服务的合格性符合招标文件规定。该证明文件作为投标文件的一部分。 </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证明服务与招标文件的要求相一致的文件，可以是文字资料、图纸和数据，它包括： 服务主要内容、方案、质量、标准指标等的详细说明； </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 </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50" w:name="_Toc453957400"/>
      <w:bookmarkStart w:id="1251" w:name="_Toc453956640"/>
      <w:r>
        <w:rPr>
          <w:rFonts w:hint="eastAsia" w:ascii="微软雅黑" w:hAnsi="微软雅黑" w:eastAsia="微软雅黑" w:cs="微软雅黑"/>
          <w:b/>
          <w:bCs/>
          <w:sz w:val="20"/>
          <w:szCs w:val="20"/>
        </w:rPr>
        <w:t>投标保证金</w:t>
      </w:r>
      <w:bookmarkEnd w:id="1250"/>
      <w:bookmarkEnd w:id="1251"/>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投标人应</w:t>
      </w:r>
      <w:r>
        <w:rPr>
          <w:rFonts w:hint="eastAsia" w:ascii="微软雅黑" w:hAnsi="微软雅黑" w:eastAsia="微软雅黑" w:cs="微软雅黑"/>
          <w:sz w:val="20"/>
          <w:szCs w:val="20"/>
        </w:rPr>
        <w:t>按</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中规定</w:t>
      </w:r>
      <w:r>
        <w:rPr>
          <w:rFonts w:hint="eastAsia" w:ascii="微软雅黑" w:hAnsi="微软雅黑" w:eastAsia="微软雅黑" w:cs="微软雅黑"/>
          <w:sz w:val="20"/>
          <w:szCs w:val="20"/>
        </w:rPr>
        <w:t>的金</w:t>
      </w:r>
      <w:r>
        <w:rPr>
          <w:rFonts w:hint="eastAsia" w:ascii="微软雅黑" w:hAnsi="微软雅黑" w:eastAsia="微软雅黑" w:cs="微软雅黑"/>
          <w:sz w:val="20"/>
          <w:szCs w:val="20"/>
          <w:lang w:eastAsia="zh-TW"/>
        </w:rPr>
        <w:t>额</w:t>
      </w:r>
      <w:r>
        <w:rPr>
          <w:rFonts w:hint="eastAsia" w:ascii="微软雅黑" w:hAnsi="微软雅黑" w:eastAsia="微软雅黑" w:cs="微软雅黑"/>
          <w:sz w:val="20"/>
          <w:szCs w:val="20"/>
        </w:rPr>
        <w:t>和期限缴纳</w:t>
      </w:r>
      <w:r>
        <w:rPr>
          <w:rFonts w:hint="eastAsia" w:ascii="微软雅黑" w:hAnsi="微软雅黑" w:eastAsia="微软雅黑" w:cs="微软雅黑"/>
          <w:sz w:val="20"/>
          <w:szCs w:val="20"/>
          <w:lang w:eastAsia="zh-TW"/>
        </w:rPr>
        <w:t>投标保证金</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并作为其投标</w:t>
      </w:r>
      <w:r>
        <w:rPr>
          <w:rFonts w:hint="eastAsia" w:ascii="微软雅黑" w:hAnsi="微软雅黑" w:eastAsia="微软雅黑" w:cs="微软雅黑"/>
          <w:sz w:val="20"/>
          <w:szCs w:val="20"/>
        </w:rPr>
        <w:t>文件的组成</w:t>
      </w:r>
      <w:r>
        <w:rPr>
          <w:rFonts w:hint="eastAsia" w:ascii="微软雅黑" w:hAnsi="微软雅黑" w:eastAsia="微软雅黑" w:cs="微软雅黑"/>
          <w:sz w:val="20"/>
          <w:szCs w:val="20"/>
          <w:lang w:eastAsia="zh-TW"/>
        </w:rPr>
        <w:t>部分。</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如无质疑或投诉，未中标的投标人保证金，在</w:t>
      </w:r>
      <w:r>
        <w:rPr>
          <w:rFonts w:hint="eastAsia" w:ascii="微软雅黑" w:hAnsi="微软雅黑" w:eastAsia="微软雅黑" w:cs="微软雅黑"/>
          <w:sz w:val="20"/>
          <w:szCs w:val="20"/>
        </w:rPr>
        <w:t>中标结果公示完后</w:t>
      </w:r>
      <w:r>
        <w:rPr>
          <w:rFonts w:hint="eastAsia" w:ascii="微软雅黑" w:hAnsi="微软雅黑" w:eastAsia="微软雅黑" w:cs="微软雅黑"/>
          <w:sz w:val="20"/>
          <w:szCs w:val="20"/>
          <w:lang w:eastAsia="zh-TW"/>
        </w:rPr>
        <w:t>五个工作日内不计利息原额退还；如有质疑或投诉，招标采购单位将在质疑和投诉处理完毕后不计利息原额退还。</w:t>
      </w:r>
    </w:p>
    <w:p>
      <w:pPr>
        <w:widowControl w:val="0"/>
        <w:numPr>
          <w:ilvl w:val="1"/>
          <w:numId w:val="19"/>
        </w:numPr>
        <w:autoSpaceDE w:val="0"/>
        <w:autoSpaceDN w:val="0"/>
        <w:spacing w:after="0" w:line="360" w:lineRule="auto"/>
        <w:jc w:val="both"/>
        <w:rPr>
          <w:rFonts w:hint="eastAsia" w:ascii="微软雅黑" w:hAnsi="微软雅黑" w:eastAsia="微软雅黑" w:cs="微软雅黑"/>
          <w:b/>
          <w:sz w:val="20"/>
          <w:szCs w:val="20"/>
          <w:lang w:eastAsia="zh-TW"/>
        </w:rPr>
      </w:pPr>
      <w:r>
        <w:rPr>
          <w:rFonts w:hint="eastAsia" w:ascii="微软雅黑" w:hAnsi="微软雅黑" w:eastAsia="微软雅黑" w:cs="微软雅黑"/>
          <w:sz w:val="20"/>
          <w:szCs w:val="20"/>
          <w:lang w:eastAsia="zh-TW"/>
        </w:rPr>
        <w:t>中标人的投标保证金余额，在中标人与采购人签订采购合同后五个工作日内</w:t>
      </w:r>
      <w:r>
        <w:rPr>
          <w:rFonts w:hint="eastAsia" w:ascii="微软雅黑" w:hAnsi="微软雅黑" w:eastAsia="微软雅黑" w:cs="微软雅黑"/>
          <w:sz w:val="20"/>
          <w:szCs w:val="20"/>
          <w:highlight w:val="yellow"/>
          <w:lang w:eastAsia="zh-TW"/>
        </w:rPr>
        <w:t>不计利息原路退还</w:t>
      </w:r>
      <w:r>
        <w:rPr>
          <w:rFonts w:hint="eastAsia" w:ascii="微软雅黑" w:hAnsi="微软雅黑" w:eastAsia="微软雅黑" w:cs="微软雅黑"/>
          <w:b/>
          <w:sz w:val="20"/>
          <w:szCs w:val="20"/>
          <w:highlight w:val="yellow"/>
          <w:lang w:eastAsia="zh-TW"/>
        </w:rPr>
        <w:t>。</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下列任一情况发生时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投标保证金将不予退还：</w:t>
      </w:r>
    </w:p>
    <w:p>
      <w:pPr>
        <w:widowControl w:val="0"/>
        <w:numPr>
          <w:ilvl w:val="2"/>
          <w:numId w:val="19"/>
        </w:numPr>
        <w:tabs>
          <w:tab w:val="left" w:pos="851"/>
          <w:tab w:val="left" w:pos="1134"/>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投标人在招标文件中规定的投标有效期内撤回其投标</w:t>
      </w:r>
      <w:r>
        <w:rPr>
          <w:rFonts w:hint="eastAsia" w:ascii="微软雅黑" w:hAnsi="微软雅黑" w:eastAsia="微软雅黑" w:cs="微软雅黑"/>
          <w:sz w:val="20"/>
          <w:szCs w:val="20"/>
        </w:rPr>
        <w:t>；</w:t>
      </w:r>
    </w:p>
    <w:p>
      <w:pPr>
        <w:widowControl w:val="0"/>
        <w:numPr>
          <w:ilvl w:val="2"/>
          <w:numId w:val="19"/>
        </w:numPr>
        <w:tabs>
          <w:tab w:val="left" w:pos="851"/>
          <w:tab w:val="left" w:pos="1134"/>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中标后无正当理由放弃中标或中标人在规定期限内未能根据本须知规定签订合同</w:t>
      </w:r>
      <w:r>
        <w:rPr>
          <w:rFonts w:hint="eastAsia" w:ascii="微软雅黑" w:hAnsi="微软雅黑" w:eastAsia="微软雅黑" w:cs="微软雅黑"/>
          <w:sz w:val="20"/>
          <w:szCs w:val="20"/>
        </w:rPr>
        <w:t>；</w:t>
      </w:r>
    </w:p>
    <w:p>
      <w:pPr>
        <w:widowControl w:val="0"/>
        <w:numPr>
          <w:ilvl w:val="2"/>
          <w:numId w:val="19"/>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将中标项目转让给他人，或者在投标文件中未说明，且未经采购人同意，违反招标文件规定，将中标项目分包给他人的</w:t>
      </w:r>
      <w:r>
        <w:rPr>
          <w:rFonts w:hint="eastAsia" w:ascii="微软雅黑" w:hAnsi="微软雅黑" w:eastAsia="微软雅黑" w:cs="微软雅黑"/>
          <w:sz w:val="20"/>
          <w:szCs w:val="20"/>
        </w:rPr>
        <w:t>；</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52" w:name="_Toc293506683"/>
      <w:bookmarkEnd w:id="1252"/>
      <w:bookmarkStart w:id="1253" w:name="_Toc294000387"/>
      <w:bookmarkEnd w:id="1253"/>
      <w:bookmarkStart w:id="1254" w:name="_Toc293507720"/>
      <w:bookmarkEnd w:id="1254"/>
      <w:bookmarkStart w:id="1255" w:name="_Toc293506682"/>
      <w:bookmarkEnd w:id="1255"/>
      <w:bookmarkStart w:id="1256" w:name="_Toc293507826"/>
      <w:bookmarkEnd w:id="1256"/>
      <w:bookmarkStart w:id="1257" w:name="_Toc293506681"/>
      <w:bookmarkEnd w:id="1257"/>
      <w:bookmarkStart w:id="1258" w:name="_Toc294000389"/>
      <w:bookmarkEnd w:id="1258"/>
      <w:bookmarkStart w:id="1259" w:name="_Toc294000390"/>
      <w:bookmarkEnd w:id="1259"/>
      <w:bookmarkStart w:id="1260" w:name="_Toc293507824"/>
      <w:bookmarkEnd w:id="1260"/>
      <w:bookmarkStart w:id="1261" w:name="_Toc293506740"/>
      <w:bookmarkEnd w:id="1261"/>
      <w:bookmarkStart w:id="1262" w:name="_Toc293507625"/>
      <w:bookmarkEnd w:id="1262"/>
      <w:bookmarkStart w:id="1263" w:name="_Toc294000388"/>
      <w:bookmarkEnd w:id="1263"/>
      <w:bookmarkStart w:id="1264" w:name="_Toc293506742"/>
      <w:bookmarkEnd w:id="1264"/>
      <w:bookmarkStart w:id="1265" w:name="_Toc293507825"/>
      <w:bookmarkEnd w:id="1265"/>
      <w:bookmarkStart w:id="1266" w:name="_Toc293506680"/>
      <w:bookmarkEnd w:id="1266"/>
      <w:bookmarkStart w:id="1267" w:name="_Toc293507626"/>
      <w:bookmarkEnd w:id="1267"/>
      <w:bookmarkStart w:id="1268" w:name="_Toc293507718"/>
      <w:bookmarkEnd w:id="1268"/>
      <w:bookmarkStart w:id="1269" w:name="_Toc293506741"/>
      <w:bookmarkEnd w:id="1269"/>
      <w:bookmarkStart w:id="1270" w:name="_Toc293507719"/>
      <w:bookmarkEnd w:id="1270"/>
      <w:bookmarkStart w:id="1271" w:name="_Toc293507823"/>
      <w:bookmarkEnd w:id="1271"/>
      <w:bookmarkStart w:id="1272" w:name="_Toc293507717"/>
      <w:bookmarkEnd w:id="1272"/>
      <w:bookmarkStart w:id="1273" w:name="_Toc293507624"/>
      <w:bookmarkEnd w:id="1273"/>
      <w:bookmarkStart w:id="1274" w:name="_Toc293506743"/>
      <w:bookmarkEnd w:id="1274"/>
      <w:bookmarkStart w:id="1275" w:name="_Toc293507627"/>
      <w:bookmarkEnd w:id="1275"/>
      <w:bookmarkStart w:id="1276" w:name="_Toc453956641"/>
      <w:bookmarkStart w:id="1277" w:name="_Toc453957401"/>
      <w:r>
        <w:rPr>
          <w:rFonts w:hint="eastAsia" w:ascii="微软雅黑" w:hAnsi="微软雅黑" w:eastAsia="微软雅黑" w:cs="微软雅黑"/>
          <w:b/>
          <w:bCs/>
          <w:sz w:val="20"/>
          <w:szCs w:val="20"/>
        </w:rPr>
        <w:t>投标有效期</w:t>
      </w:r>
      <w:bookmarkEnd w:id="1276"/>
      <w:bookmarkEnd w:id="1277"/>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投标应自</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中规定的</w:t>
      </w:r>
      <w:r>
        <w:rPr>
          <w:rFonts w:hint="eastAsia" w:ascii="微软雅黑" w:hAnsi="微软雅黑" w:eastAsia="微软雅黑" w:cs="微软雅黑"/>
          <w:sz w:val="20"/>
          <w:szCs w:val="20"/>
        </w:rPr>
        <w:t>投标文件递交截止时间</w:t>
      </w:r>
      <w:r>
        <w:rPr>
          <w:rFonts w:hint="eastAsia" w:ascii="微软雅黑" w:hAnsi="微软雅黑" w:eastAsia="微软雅黑" w:cs="微软雅黑"/>
          <w:sz w:val="20"/>
          <w:szCs w:val="20"/>
          <w:lang w:eastAsia="zh-TW"/>
        </w:rPr>
        <w:t>起</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并在</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中所述期限内保持有效。投标有效期不足的投标将被视为非实质性响应</w:t>
      </w:r>
      <w:r>
        <w:rPr>
          <w:rFonts w:hint="eastAsia" w:ascii="微软雅黑" w:hAnsi="微软雅黑" w:eastAsia="微软雅黑" w:cs="微软雅黑"/>
          <w:sz w:val="20"/>
          <w:szCs w:val="20"/>
        </w:rPr>
        <w:t>，视为无效投标</w:t>
      </w:r>
      <w:r>
        <w:rPr>
          <w:rFonts w:hint="eastAsia" w:ascii="微软雅黑" w:hAnsi="微软雅黑" w:eastAsia="微软雅黑" w:cs="微软雅黑"/>
          <w:sz w:val="20"/>
          <w:szCs w:val="20"/>
          <w:lang w:eastAsia="zh-TW"/>
        </w:rPr>
        <w:t>。</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特殊情况下</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在原投标有效期截止之前</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采购代理机构可要求投标人延长投标有效期。这种要求与答复均应以书面形式提交。投标人可拒绝采购代理机构的这种要求</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其投标保证金将不会被没收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但其投标在原投标有效期期满后将不再有效。同意延长投标有效期的投标人将不会被要求和允许修正其投标</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而只会被要求相应地延长其投标保证金的有效期。在这种情况下</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本须知有关投标保证金的退还和没收的规定将在延长了的有效期内继续有效。</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78" w:name="_Toc453957402"/>
      <w:bookmarkStart w:id="1279" w:name="_Toc453956642"/>
      <w:r>
        <w:rPr>
          <w:rFonts w:hint="eastAsia" w:ascii="微软雅黑" w:hAnsi="微软雅黑" w:eastAsia="微软雅黑" w:cs="微软雅黑"/>
          <w:b/>
          <w:bCs/>
          <w:sz w:val="20"/>
          <w:szCs w:val="20"/>
        </w:rPr>
        <w:t>投标文件的式样和签署</w:t>
      </w:r>
      <w:bookmarkEnd w:id="1278"/>
      <w:bookmarkEnd w:id="1279"/>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投标文件的式样：投标人应准备一份投标文件正本</w:t>
      </w:r>
      <w:r>
        <w:rPr>
          <w:rFonts w:hint="eastAsia" w:ascii="微软雅黑" w:hAnsi="微软雅黑" w:eastAsia="微软雅黑" w:cs="微软雅黑"/>
          <w:sz w:val="20"/>
          <w:szCs w:val="20"/>
        </w:rPr>
        <w:t>、电子文件</w:t>
      </w:r>
      <w:r>
        <w:rPr>
          <w:rFonts w:hint="eastAsia" w:ascii="微软雅黑" w:hAnsi="微软雅黑" w:eastAsia="微软雅黑" w:cs="微软雅黑"/>
          <w:sz w:val="20"/>
          <w:szCs w:val="20"/>
          <w:lang w:eastAsia="zh-TW"/>
        </w:rPr>
        <w:t>和</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中规定数目的副本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投标文件的副本可采用正本的复印件。每套投标文件须清楚地标明“正本”或</w:t>
      </w:r>
      <w:r>
        <w:rPr>
          <w:rFonts w:hint="eastAsia" w:ascii="微软雅黑" w:hAnsi="微软雅黑" w:eastAsia="微软雅黑" w:cs="微软雅黑"/>
          <w:sz w:val="20"/>
          <w:szCs w:val="20"/>
        </w:rPr>
        <w:t>“副</w:t>
      </w:r>
      <w:r>
        <w:rPr>
          <w:rFonts w:hint="eastAsia" w:ascii="微软雅黑" w:hAnsi="微软雅黑" w:eastAsia="微软雅黑" w:cs="微软雅黑"/>
          <w:sz w:val="20"/>
          <w:szCs w:val="20"/>
          <w:lang w:eastAsia="zh-TW"/>
        </w:rPr>
        <w:t>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。若副本与正本不符</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以正本为准。</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投标文件的签署：</w:t>
      </w:r>
    </w:p>
    <w:p>
      <w:pPr>
        <w:widowControl w:val="0"/>
        <w:numPr>
          <w:ilvl w:val="2"/>
          <w:numId w:val="19"/>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投标文件的正本需打印或用不褪色墨水书写</w:t>
      </w:r>
      <w:r>
        <w:rPr>
          <w:rFonts w:hint="eastAsia" w:ascii="微软雅黑" w:hAnsi="微软雅黑" w:eastAsia="微软雅黑" w:cs="微软雅黑"/>
          <w:sz w:val="20"/>
          <w:szCs w:val="20"/>
        </w:rPr>
        <w:t>，招标文件要求签名的</w:t>
      </w:r>
      <w:r>
        <w:rPr>
          <w:rFonts w:hint="eastAsia" w:ascii="微软雅黑" w:hAnsi="微软雅黑" w:eastAsia="微软雅黑" w:cs="微软雅黑"/>
          <w:sz w:val="20"/>
          <w:szCs w:val="20"/>
          <w:lang w:eastAsia="zh-TW"/>
        </w:rPr>
        <w:t>由</w:t>
      </w:r>
      <w:r>
        <w:rPr>
          <w:rFonts w:hint="eastAsia" w:ascii="微软雅黑" w:hAnsi="微软雅黑" w:eastAsia="微软雅黑" w:cs="微软雅黑"/>
          <w:sz w:val="20"/>
          <w:szCs w:val="20"/>
        </w:rPr>
        <w:t>法定</w:t>
      </w:r>
      <w:r>
        <w:rPr>
          <w:rFonts w:hint="eastAsia" w:ascii="微软雅黑" w:hAnsi="微软雅黑" w:eastAsia="微软雅黑" w:cs="微软雅黑"/>
          <w:sz w:val="20"/>
          <w:szCs w:val="20"/>
          <w:lang w:eastAsia="zh-TW"/>
        </w:rPr>
        <w:t>代表人或经其正式授权的代表签字</w:t>
      </w:r>
      <w:r>
        <w:rPr>
          <w:rFonts w:hint="eastAsia" w:ascii="微软雅黑" w:hAnsi="微软雅黑" w:eastAsia="微软雅黑" w:cs="微软雅黑"/>
          <w:sz w:val="20"/>
          <w:szCs w:val="20"/>
        </w:rPr>
        <w:t>，投标文件每一页均要求加盖投标人公章，副本可以复印，与正本具有同等法律效力</w:t>
      </w:r>
      <w:r>
        <w:rPr>
          <w:rFonts w:hint="eastAsia" w:ascii="微软雅黑" w:hAnsi="微软雅黑" w:eastAsia="微软雅黑" w:cs="微软雅黑"/>
          <w:sz w:val="20"/>
          <w:szCs w:val="20"/>
          <w:lang w:eastAsia="zh-TW"/>
        </w:rPr>
        <w:t>。授权代表须将以书面形式出具的《法定代表人授权</w:t>
      </w:r>
      <w:r>
        <w:rPr>
          <w:rFonts w:hint="eastAsia" w:ascii="微软雅黑" w:hAnsi="微软雅黑" w:eastAsia="微软雅黑" w:cs="微软雅黑"/>
          <w:sz w:val="20"/>
          <w:szCs w:val="20"/>
        </w:rPr>
        <w:t>委托</w:t>
      </w:r>
      <w:r>
        <w:rPr>
          <w:rFonts w:hint="eastAsia" w:ascii="微软雅黑" w:hAnsi="微软雅黑" w:eastAsia="微软雅黑" w:cs="微软雅黑"/>
          <w:sz w:val="20"/>
          <w:szCs w:val="20"/>
          <w:lang w:eastAsia="zh-TW"/>
        </w:rPr>
        <w:t>书》附在</w:t>
      </w:r>
      <w:r>
        <w:rPr>
          <w:rFonts w:hint="eastAsia" w:ascii="微软雅黑" w:hAnsi="微软雅黑" w:eastAsia="微软雅黑" w:cs="微软雅黑"/>
          <w:sz w:val="20"/>
          <w:szCs w:val="20"/>
        </w:rPr>
        <w:t>投</w:t>
      </w:r>
      <w:r>
        <w:rPr>
          <w:rFonts w:hint="eastAsia" w:ascii="微软雅黑" w:hAnsi="微软雅黑" w:eastAsia="微软雅黑" w:cs="微软雅黑"/>
          <w:sz w:val="20"/>
          <w:szCs w:val="20"/>
          <w:lang w:eastAsia="zh-TW"/>
        </w:rPr>
        <w:t>标文件中</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投标文件中的任何重要的插字、涂改和增删，必须由法定代表人或经其正式授权的代表在旁边签章或签字才有效。</w:t>
      </w:r>
    </w:p>
    <w:p>
      <w:pPr>
        <w:spacing w:before="312" w:beforeLines="100" w:after="312" w:afterLines="100" w:line="360" w:lineRule="auto"/>
        <w:jc w:val="center"/>
        <w:outlineLvl w:val="0"/>
        <w:rPr>
          <w:rFonts w:ascii="宋体" w:hAnsi="宋体" w:cs="楷体_GB2312"/>
          <w:b/>
          <w:sz w:val="28"/>
          <w:szCs w:val="28"/>
          <w:lang w:eastAsia="zh-TW"/>
        </w:rPr>
      </w:pPr>
      <w:bookmarkStart w:id="1280" w:name="_Toc453956643"/>
      <w:bookmarkStart w:id="1281" w:name="_Toc453957403"/>
      <w:r>
        <w:rPr>
          <w:rFonts w:hint="eastAsia" w:ascii="宋体" w:hAnsi="宋体" w:cs="楷体_GB2312"/>
          <w:b/>
          <w:sz w:val="28"/>
          <w:szCs w:val="28"/>
          <w:lang w:eastAsia="zh-TW"/>
        </w:rPr>
        <w:t>四、投标文件的递交</w:t>
      </w:r>
      <w:bookmarkEnd w:id="1280"/>
      <w:bookmarkEnd w:id="1281"/>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82" w:name="_Toc453956644"/>
      <w:bookmarkStart w:id="1283" w:name="_Toc453957404"/>
      <w:r>
        <w:rPr>
          <w:rFonts w:hint="eastAsia" w:ascii="微软雅黑" w:hAnsi="微软雅黑" w:eastAsia="微软雅黑" w:cs="微软雅黑"/>
          <w:b/>
          <w:bCs/>
          <w:sz w:val="20"/>
          <w:szCs w:val="20"/>
        </w:rPr>
        <w:t>投标文件的密封和标记</w:t>
      </w:r>
      <w:bookmarkEnd w:id="1282"/>
      <w:bookmarkEnd w:id="1283"/>
    </w:p>
    <w:p>
      <w:pPr>
        <w:widowControl w:val="0"/>
        <w:numPr>
          <w:ilvl w:val="1"/>
          <w:numId w:val="19"/>
        </w:numPr>
        <w:autoSpaceDE w:val="0"/>
        <w:autoSpaceDN w:val="0"/>
        <w:spacing w:after="0" w:line="360" w:lineRule="auto"/>
        <w:jc w:val="both"/>
        <w:rPr>
          <w:rFonts w:hint="eastAsia" w:ascii="微软雅黑" w:hAnsi="微软雅黑" w:eastAsia="微软雅黑" w:cs="微软雅黑"/>
          <w:b/>
          <w:bCs/>
          <w:dstrike/>
          <w:sz w:val="20"/>
          <w:szCs w:val="20"/>
        </w:rPr>
      </w:pPr>
      <w:r>
        <w:rPr>
          <w:rFonts w:hint="eastAsia" w:ascii="微软雅黑" w:hAnsi="微软雅黑" w:eastAsia="微软雅黑" w:cs="微软雅黑"/>
          <w:sz w:val="20"/>
          <w:szCs w:val="20"/>
          <w:lang w:eastAsia="zh-TW"/>
        </w:rPr>
        <w:t>为方便开标唱标</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投标人应将开标一览表(报价表)</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投标保证金</w:t>
      </w:r>
      <w:r>
        <w:rPr>
          <w:rFonts w:hint="eastAsia" w:ascii="微软雅黑" w:hAnsi="微软雅黑" w:eastAsia="微软雅黑" w:cs="微软雅黑"/>
          <w:sz w:val="20"/>
          <w:szCs w:val="20"/>
        </w:rPr>
        <w:t>缴付凭证、</w:t>
      </w:r>
      <w:r>
        <w:rPr>
          <w:rFonts w:hint="eastAsia" w:ascii="微软雅黑" w:hAnsi="微软雅黑" w:eastAsia="微软雅黑" w:cs="微软雅黑"/>
          <w:sz w:val="20"/>
          <w:szCs w:val="20"/>
          <w:lang w:eastAsia="zh-TW"/>
        </w:rPr>
        <w:t>法定代表人证明书或法定代表人授权委托书、电子文件和退投标保证金说明函一起密封提交，</w:t>
      </w:r>
      <w:r>
        <w:rPr>
          <w:rFonts w:hint="eastAsia" w:ascii="微软雅黑" w:hAnsi="微软雅黑" w:eastAsia="微软雅黑" w:cs="微软雅黑"/>
          <w:sz w:val="20"/>
          <w:szCs w:val="20"/>
        </w:rPr>
        <w:t>若本项目（或包组）接受联合体投标，则联合体投标，应将各方共同签署的《联合投标协议》和《投标联合体授权主体方协议书》一并提交，</w:t>
      </w:r>
      <w:r>
        <w:rPr>
          <w:rFonts w:hint="eastAsia" w:ascii="微软雅黑" w:hAnsi="微软雅黑" w:eastAsia="微软雅黑" w:cs="微软雅黑"/>
          <w:sz w:val="20"/>
          <w:szCs w:val="20"/>
          <w:lang w:eastAsia="zh-TW"/>
        </w:rPr>
        <w:t>并在信封上标明</w:t>
      </w:r>
      <w:r>
        <w:rPr>
          <w:rFonts w:hint="eastAsia" w:ascii="微软雅黑" w:hAnsi="微软雅黑" w:eastAsia="微软雅黑" w:cs="微软雅黑"/>
          <w:sz w:val="20"/>
          <w:szCs w:val="20"/>
        </w:rPr>
        <w:t>“开标信封”的</w:t>
      </w:r>
      <w:r>
        <w:rPr>
          <w:rFonts w:hint="eastAsia" w:ascii="微软雅黑" w:hAnsi="微软雅黑" w:eastAsia="微软雅黑" w:cs="微软雅黑"/>
          <w:sz w:val="20"/>
          <w:szCs w:val="20"/>
          <w:lang w:eastAsia="zh-TW"/>
        </w:rPr>
        <w:t>字样。投标人应将投标文件正本和所有的副本分开密封装在单独的信封中</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且在信封</w:t>
      </w:r>
      <w:r>
        <w:rPr>
          <w:rFonts w:hint="eastAsia" w:ascii="微软雅黑" w:hAnsi="微软雅黑" w:eastAsia="微软雅黑" w:cs="微软雅黑"/>
          <w:sz w:val="20"/>
          <w:szCs w:val="20"/>
        </w:rPr>
        <w:t>上</w:t>
      </w:r>
      <w:r>
        <w:rPr>
          <w:rFonts w:hint="eastAsia" w:ascii="微软雅黑" w:hAnsi="微软雅黑" w:eastAsia="微软雅黑" w:cs="微软雅黑"/>
          <w:sz w:val="20"/>
          <w:szCs w:val="20"/>
          <w:lang w:eastAsia="zh-TW"/>
        </w:rPr>
        <w:t>标明</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正本</w:t>
      </w:r>
      <w:r>
        <w:rPr>
          <w:rFonts w:hint="eastAsia" w:ascii="微软雅黑" w:hAnsi="微软雅黑" w:eastAsia="微软雅黑" w:cs="微软雅黑"/>
          <w:sz w:val="20"/>
          <w:szCs w:val="20"/>
        </w:rPr>
        <w:t>”、“副</w:t>
      </w:r>
      <w:r>
        <w:rPr>
          <w:rFonts w:hint="eastAsia" w:ascii="微软雅黑" w:hAnsi="微软雅黑" w:eastAsia="微软雅黑" w:cs="微软雅黑"/>
          <w:sz w:val="20"/>
          <w:szCs w:val="20"/>
          <w:lang w:eastAsia="zh-TW"/>
        </w:rPr>
        <w:t>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字样。</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投标文件封装：</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清楚写明投标人名称和地址。</w:t>
      </w:r>
    </w:p>
    <w:p>
      <w:pPr>
        <w:widowControl w:val="0"/>
        <w:numPr>
          <w:ilvl w:val="2"/>
          <w:numId w:val="19"/>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注明投标邀请中指明的项目名称、项目编号、包组号（如有）和“在(招标文件中规定的开标日期和时间)之前不得启封”的字样。</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如果未按本须知</w:t>
      </w:r>
      <w:r>
        <w:rPr>
          <w:rFonts w:hint="eastAsia" w:ascii="微软雅黑" w:hAnsi="微软雅黑" w:eastAsia="微软雅黑" w:cs="微软雅黑"/>
          <w:sz w:val="20"/>
          <w:szCs w:val="20"/>
        </w:rPr>
        <w:t>上款</w:t>
      </w:r>
      <w:r>
        <w:rPr>
          <w:rFonts w:hint="eastAsia" w:ascii="微软雅黑" w:hAnsi="微软雅黑" w:eastAsia="微软雅黑" w:cs="微软雅黑"/>
          <w:sz w:val="20"/>
          <w:szCs w:val="20"/>
          <w:lang w:eastAsia="zh-TW"/>
        </w:rPr>
        <w:t>要求加写标记和</w:t>
      </w:r>
      <w:r>
        <w:rPr>
          <w:rFonts w:hint="eastAsia" w:ascii="微软雅黑" w:hAnsi="微软雅黑" w:eastAsia="微软雅黑" w:cs="微软雅黑"/>
          <w:sz w:val="20"/>
          <w:szCs w:val="20"/>
        </w:rPr>
        <w:t>密封，</w:t>
      </w:r>
      <w:r>
        <w:rPr>
          <w:rFonts w:hint="eastAsia" w:ascii="微软雅黑" w:hAnsi="微软雅黑" w:eastAsia="微软雅黑" w:cs="微软雅黑"/>
          <w:sz w:val="20"/>
          <w:szCs w:val="20"/>
          <w:lang w:eastAsia="zh-TW"/>
        </w:rPr>
        <w:t>代理机构对误投或提前启封概不负责</w:t>
      </w:r>
      <w:r>
        <w:rPr>
          <w:rFonts w:hint="eastAsia" w:ascii="微软雅黑" w:hAnsi="微软雅黑" w:eastAsia="微软雅黑" w:cs="微软雅黑"/>
          <w:sz w:val="20"/>
          <w:szCs w:val="20"/>
        </w:rPr>
        <w:t>。</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84" w:name="_Toc453956645"/>
      <w:bookmarkStart w:id="1285" w:name="_Toc453957405"/>
      <w:r>
        <w:rPr>
          <w:rFonts w:hint="eastAsia" w:ascii="微软雅黑" w:hAnsi="微软雅黑" w:eastAsia="微软雅黑" w:cs="微软雅黑"/>
          <w:b/>
          <w:bCs/>
          <w:sz w:val="20"/>
          <w:szCs w:val="20"/>
        </w:rPr>
        <w:t>投标截止期</w:t>
      </w:r>
      <w:bookmarkEnd w:id="1284"/>
      <w:bookmarkEnd w:id="1285"/>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投标人应在不迟于</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lang w:eastAsia="zh-TW"/>
        </w:rPr>
        <w:t>中规定的截止日期和时间将投标文件递交至采购代理机构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递交地点应是</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中指明的地址。</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为使投标人准备投标时有充分时间对招标文件的修改部分进行研究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招标采购单位可适当推迟投标截止期，但应发布公告并书面通知所有购买招标文件的潜在投标人。在此情况下</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招标采购单位和投标人受投标截止期制约的所有权利和义务均应延长至新的截止期。</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采购代理机构将拒收在招标文件规定的投标截止时间之后送达的投标文件。</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86" w:name="_Toc294000398"/>
      <w:bookmarkEnd w:id="1286"/>
      <w:bookmarkStart w:id="1287" w:name="_Toc293506751"/>
      <w:bookmarkEnd w:id="1287"/>
      <w:bookmarkStart w:id="1288" w:name="_Toc294000397"/>
      <w:bookmarkEnd w:id="1288"/>
      <w:bookmarkStart w:id="1289" w:name="_Toc293506750"/>
      <w:bookmarkEnd w:id="1289"/>
      <w:bookmarkStart w:id="1290" w:name="_Toc293507633"/>
      <w:bookmarkEnd w:id="1290"/>
      <w:bookmarkStart w:id="1291" w:name="_Toc293506691"/>
      <w:bookmarkEnd w:id="1291"/>
      <w:bookmarkStart w:id="1292" w:name="_Toc293507726"/>
      <w:bookmarkEnd w:id="1292"/>
      <w:bookmarkStart w:id="1293" w:name="_Toc293506749"/>
      <w:bookmarkEnd w:id="1293"/>
      <w:bookmarkStart w:id="1294" w:name="_Toc293507833"/>
      <w:bookmarkEnd w:id="1294"/>
      <w:bookmarkStart w:id="1295" w:name="_Toc293507727"/>
      <w:bookmarkEnd w:id="1295"/>
      <w:bookmarkStart w:id="1296" w:name="_Toc293507834"/>
      <w:bookmarkEnd w:id="1296"/>
      <w:bookmarkStart w:id="1297" w:name="_Toc293507634"/>
      <w:bookmarkEnd w:id="1297"/>
      <w:bookmarkStart w:id="1298" w:name="_Toc293506690"/>
      <w:bookmarkEnd w:id="1298"/>
      <w:bookmarkStart w:id="1299" w:name="_Toc293506689"/>
      <w:bookmarkEnd w:id="1299"/>
      <w:bookmarkStart w:id="1300" w:name="_Toc293507728"/>
      <w:bookmarkEnd w:id="1300"/>
      <w:bookmarkStart w:id="1301" w:name="_Toc293507832"/>
      <w:bookmarkEnd w:id="1301"/>
      <w:bookmarkStart w:id="1302" w:name="_Toc293507635"/>
      <w:bookmarkEnd w:id="1302"/>
      <w:bookmarkStart w:id="1303" w:name="_Toc294000396"/>
      <w:bookmarkEnd w:id="1303"/>
      <w:bookmarkStart w:id="1304" w:name="_Toc453956646"/>
      <w:bookmarkStart w:id="1305" w:name="_Toc453957406"/>
      <w:r>
        <w:rPr>
          <w:rFonts w:hint="eastAsia" w:ascii="微软雅黑" w:hAnsi="微软雅黑" w:eastAsia="微软雅黑" w:cs="微软雅黑"/>
          <w:b/>
          <w:bCs/>
          <w:sz w:val="20"/>
          <w:szCs w:val="20"/>
        </w:rPr>
        <w:t>投标文件的修改和撤回</w:t>
      </w:r>
      <w:bookmarkEnd w:id="1304"/>
      <w:bookmarkEnd w:id="1305"/>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在投标截止时间前，可以对所递交的投标文件进行补充、修改或者撤回，并书面通知招标采购单位。补充、修改的内容应当按招标文件要求签署、盖章，并作为投标文件的组成部分。在投标截止时间之后，投标人不得对其投标文件做任何修改和补充。</w:t>
      </w:r>
    </w:p>
    <w:p>
      <w:pPr>
        <w:spacing w:before="312" w:beforeLines="100" w:after="312" w:afterLines="100" w:line="360" w:lineRule="auto"/>
        <w:jc w:val="center"/>
        <w:outlineLvl w:val="0"/>
        <w:rPr>
          <w:rFonts w:ascii="宋体" w:hAnsi="宋体" w:cs="楷体_GB2312"/>
          <w:b/>
          <w:sz w:val="28"/>
          <w:szCs w:val="28"/>
          <w:lang w:eastAsia="zh-TW"/>
        </w:rPr>
      </w:pPr>
      <w:bookmarkStart w:id="1306" w:name="_Toc453956647"/>
      <w:bookmarkStart w:id="1307" w:name="_Toc453957407"/>
      <w:r>
        <w:rPr>
          <w:rFonts w:hint="eastAsia" w:ascii="宋体" w:hAnsi="宋体" w:cs="楷体_GB2312"/>
          <w:b/>
          <w:sz w:val="28"/>
          <w:szCs w:val="28"/>
          <w:lang w:eastAsia="zh-TW"/>
        </w:rPr>
        <w:t>五、开标与评标</w:t>
      </w:r>
      <w:bookmarkEnd w:id="1306"/>
      <w:bookmarkEnd w:id="1307"/>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08" w:name="_Toc453957408"/>
      <w:bookmarkStart w:id="1309" w:name="_Toc453956648"/>
      <w:r>
        <w:rPr>
          <w:rFonts w:hint="eastAsia" w:ascii="微软雅黑" w:hAnsi="微软雅黑" w:eastAsia="微软雅黑" w:cs="微软雅黑"/>
          <w:b/>
          <w:bCs/>
          <w:sz w:val="20"/>
          <w:szCs w:val="20"/>
        </w:rPr>
        <w:t>开标</w:t>
      </w:r>
      <w:bookmarkEnd w:id="1308"/>
      <w:bookmarkEnd w:id="1309"/>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采购代理机构在</w:t>
      </w:r>
      <w:r>
        <w:rPr>
          <w:rFonts w:hint="eastAsia" w:ascii="微软雅黑" w:hAnsi="微软雅黑" w:eastAsia="微软雅黑" w:cs="微软雅黑"/>
          <w:b/>
          <w:sz w:val="20"/>
          <w:szCs w:val="20"/>
          <w:lang w:eastAsia="zh-TW"/>
        </w:rPr>
        <w:t>投标邀请</w:t>
      </w:r>
      <w:r>
        <w:rPr>
          <w:rFonts w:hint="eastAsia" w:ascii="微软雅黑" w:hAnsi="微软雅黑" w:eastAsia="微软雅黑" w:cs="微软雅黑"/>
          <w:sz w:val="20"/>
          <w:szCs w:val="20"/>
          <w:lang w:eastAsia="zh-TW"/>
        </w:rPr>
        <w:t>中规定的日期、时</w:t>
      </w:r>
      <w:r>
        <w:rPr>
          <w:rFonts w:hint="eastAsia" w:ascii="微软雅黑" w:hAnsi="微软雅黑" w:eastAsia="微软雅黑" w:cs="微软雅黑"/>
          <w:sz w:val="20"/>
          <w:szCs w:val="20"/>
        </w:rPr>
        <w:t>间</w:t>
      </w:r>
      <w:r>
        <w:rPr>
          <w:rFonts w:hint="eastAsia" w:ascii="微软雅黑" w:hAnsi="微软雅黑" w:eastAsia="微软雅黑" w:cs="微软雅黑"/>
          <w:sz w:val="20"/>
          <w:szCs w:val="20"/>
          <w:lang w:eastAsia="zh-TW"/>
        </w:rPr>
        <w:t>和地点组织公开开标。开标时邀请所有投标人代表参加。参加开标的代表应签名报到以证明其出席。</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开标时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由按签到顺序递交投标文件的前三名投标人代表作为全体投标人推选的代表</w:t>
      </w:r>
      <w:r>
        <w:rPr>
          <w:rFonts w:hint="eastAsia" w:ascii="微软雅黑" w:hAnsi="微软雅黑" w:eastAsia="微软雅黑" w:cs="微软雅黑"/>
          <w:sz w:val="20"/>
          <w:szCs w:val="20"/>
        </w:rPr>
        <w:t>就所有</w:t>
      </w:r>
      <w:r>
        <w:rPr>
          <w:rFonts w:hint="eastAsia" w:ascii="微软雅黑" w:hAnsi="微软雅黑" w:eastAsia="微软雅黑" w:cs="微软雅黑"/>
          <w:sz w:val="20"/>
          <w:szCs w:val="20"/>
          <w:lang w:eastAsia="zh-TW"/>
        </w:rPr>
        <w:t>投标文件的密封情况</w:t>
      </w:r>
      <w:r>
        <w:rPr>
          <w:rFonts w:hint="eastAsia" w:ascii="微软雅黑" w:hAnsi="微软雅黑" w:eastAsia="微软雅黑" w:cs="微软雅黑"/>
          <w:sz w:val="20"/>
          <w:szCs w:val="20"/>
        </w:rPr>
        <w:t>进行检查，</w:t>
      </w:r>
      <w:r>
        <w:rPr>
          <w:rFonts w:hint="eastAsia" w:ascii="微软雅黑" w:hAnsi="微软雅黑" w:eastAsia="微软雅黑" w:cs="微软雅黑"/>
          <w:sz w:val="20"/>
          <w:szCs w:val="20"/>
          <w:lang w:eastAsia="zh-TW"/>
        </w:rPr>
        <w:t>也可以由</w:t>
      </w:r>
      <w:r>
        <w:rPr>
          <w:rFonts w:hint="eastAsia" w:ascii="微软雅黑" w:hAnsi="微软雅黑" w:eastAsia="微软雅黑" w:cs="微软雅黑"/>
          <w:sz w:val="20"/>
          <w:szCs w:val="20"/>
        </w:rPr>
        <w:t>招标</w:t>
      </w:r>
      <w:r>
        <w:rPr>
          <w:rFonts w:hint="eastAsia" w:ascii="微软雅黑" w:hAnsi="微软雅黑" w:eastAsia="微软雅黑" w:cs="微软雅黑"/>
          <w:sz w:val="20"/>
          <w:szCs w:val="20"/>
          <w:lang w:eastAsia="zh-TW"/>
        </w:rPr>
        <w:t>采购</w:t>
      </w:r>
      <w:r>
        <w:rPr>
          <w:rFonts w:hint="eastAsia" w:ascii="微软雅黑" w:hAnsi="微软雅黑" w:eastAsia="微软雅黑" w:cs="微软雅黑"/>
          <w:sz w:val="20"/>
          <w:szCs w:val="20"/>
        </w:rPr>
        <w:t>单位</w:t>
      </w:r>
      <w:r>
        <w:rPr>
          <w:rFonts w:hint="eastAsia" w:ascii="微软雅黑" w:hAnsi="微软雅黑" w:eastAsia="微软雅黑" w:cs="微软雅黑"/>
          <w:sz w:val="20"/>
          <w:szCs w:val="20"/>
          <w:lang w:eastAsia="zh-TW"/>
        </w:rPr>
        <w:t>委托的机构检查并见证，经确认无误后由招标工作人员当众拆封，宣读投标人名称、投标价格、价格折扣</w:t>
      </w:r>
      <w:r>
        <w:rPr>
          <w:rFonts w:hint="eastAsia" w:ascii="微软雅黑" w:hAnsi="微软雅黑" w:eastAsia="微软雅黑" w:cs="微软雅黑"/>
          <w:sz w:val="20"/>
          <w:szCs w:val="20"/>
        </w:rPr>
        <w:t>（如有）</w:t>
      </w:r>
      <w:r>
        <w:rPr>
          <w:rFonts w:hint="eastAsia" w:ascii="微软雅黑" w:hAnsi="微软雅黑" w:eastAsia="微软雅黑" w:cs="微软雅黑"/>
          <w:sz w:val="20"/>
          <w:szCs w:val="20"/>
          <w:lang w:eastAsia="zh-TW"/>
        </w:rPr>
        <w:t>、投标文件的其他主要内容和招标文件允许提供的备选投标方案</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以及采购代理机构认为合适的其他内容。</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在开标时</w:t>
      </w:r>
      <w:r>
        <w:rPr>
          <w:rFonts w:hint="eastAsia" w:ascii="微软雅黑" w:hAnsi="微软雅黑" w:eastAsia="微软雅黑" w:cs="微软雅黑"/>
          <w:sz w:val="20"/>
          <w:szCs w:val="20"/>
        </w:rPr>
        <w:t>，未宣读的投标价格、价格折扣（如有）和招标文件允许提供的备选投标方案等实质内容，</w:t>
      </w:r>
      <w:r>
        <w:rPr>
          <w:rFonts w:hint="eastAsia" w:ascii="微软雅黑" w:hAnsi="微软雅黑" w:eastAsia="微软雅黑" w:cs="微软雅黑"/>
          <w:sz w:val="20"/>
          <w:szCs w:val="20"/>
          <w:lang w:eastAsia="zh-TW"/>
        </w:rPr>
        <w:t>评标时不予</w:t>
      </w:r>
      <w:r>
        <w:rPr>
          <w:rFonts w:hint="eastAsia" w:ascii="微软雅黑" w:hAnsi="微软雅黑" w:eastAsia="微软雅黑" w:cs="微软雅黑"/>
          <w:sz w:val="20"/>
          <w:szCs w:val="20"/>
        </w:rPr>
        <w:t>承认</w:t>
      </w:r>
      <w:r>
        <w:rPr>
          <w:rFonts w:hint="eastAsia" w:ascii="微软雅黑" w:hAnsi="微软雅黑" w:eastAsia="微软雅黑" w:cs="微软雅黑"/>
          <w:sz w:val="20"/>
          <w:szCs w:val="20"/>
          <w:lang w:eastAsia="zh-TW"/>
        </w:rPr>
        <w:t>。</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采购代理机构将做开标记录</w:t>
      </w:r>
      <w:r>
        <w:rPr>
          <w:rFonts w:hint="eastAsia" w:ascii="微软雅黑" w:hAnsi="微软雅黑" w:eastAsia="微软雅黑" w:cs="微软雅黑"/>
          <w:sz w:val="20"/>
          <w:szCs w:val="20"/>
        </w:rPr>
        <w:t>，开标记录由投标人代表和有关人员共同签字确认</w:t>
      </w:r>
      <w:r>
        <w:rPr>
          <w:rFonts w:hint="eastAsia" w:ascii="微软雅黑" w:hAnsi="微软雅黑" w:eastAsia="微软雅黑" w:cs="微软雅黑"/>
          <w:sz w:val="20"/>
          <w:szCs w:val="20"/>
          <w:lang w:eastAsia="zh-TW"/>
        </w:rPr>
        <w:t>。</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10" w:name="_Toc453956649"/>
      <w:bookmarkStart w:id="1311" w:name="_Toc453957409"/>
      <w:r>
        <w:rPr>
          <w:rFonts w:hint="eastAsia" w:ascii="微软雅黑" w:hAnsi="微软雅黑" w:eastAsia="微软雅黑" w:cs="微软雅黑"/>
          <w:b/>
          <w:bCs/>
          <w:sz w:val="20"/>
          <w:szCs w:val="20"/>
        </w:rPr>
        <w:t>评标委员会和评标方法</w:t>
      </w:r>
      <w:bookmarkEnd w:id="1310"/>
      <w:bookmarkEnd w:id="1311"/>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评标由依照采购法律、法规、规章、政策的规定，组建的评标委员会负责。评标委员会成员按采购规定由采购人代表和</w:t>
      </w:r>
      <w:r>
        <w:rPr>
          <w:rFonts w:hint="eastAsia" w:ascii="微软雅黑" w:hAnsi="微软雅黑" w:eastAsia="微软雅黑" w:cs="微软雅黑"/>
          <w:sz w:val="20"/>
          <w:szCs w:val="20"/>
        </w:rPr>
        <w:t>有关</w:t>
      </w:r>
      <w:r>
        <w:rPr>
          <w:rFonts w:hint="eastAsia" w:ascii="微软雅黑" w:hAnsi="微软雅黑" w:eastAsia="微软雅黑" w:cs="微软雅黑"/>
          <w:sz w:val="20"/>
          <w:szCs w:val="20"/>
          <w:lang w:eastAsia="zh-TW"/>
        </w:rPr>
        <w:t>技术、经济等方面的专家组成，采购人代表人数、专家人数构成将按照</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中确定。评标委员会成员依法从专家库中随机抽取。</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评标委员会名单在</w:t>
      </w:r>
      <w:r>
        <w:rPr>
          <w:rFonts w:hint="eastAsia" w:ascii="微软雅黑" w:hAnsi="微软雅黑" w:eastAsia="微软雅黑" w:cs="微软雅黑"/>
          <w:sz w:val="20"/>
          <w:szCs w:val="20"/>
        </w:rPr>
        <w:t>评审</w:t>
      </w:r>
      <w:r>
        <w:rPr>
          <w:rFonts w:hint="eastAsia" w:ascii="微软雅黑" w:hAnsi="微软雅黑" w:eastAsia="微软雅黑" w:cs="微软雅黑"/>
          <w:sz w:val="20"/>
          <w:szCs w:val="20"/>
          <w:lang w:eastAsia="zh-TW"/>
        </w:rPr>
        <w:t>结果确定前严格保密。评审专家有下列情形之一的，受到邀请应主动提出回避，采购当事人也可以要求该评审专家回避：</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三年内曾在参加该采购项目</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中任职或担任顾问的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配偶或直系亲属在参加该采购项目的</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中任职或担任顾问的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与参加该采购项目</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发生过法律纠纷的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评标委员会中，同一任职单位评审专家超过二名的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任职单位与采购人或参与该采购项目</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存在行政隶属关系的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参与招标文件论证的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法律、法规、规章规定应当回避以及其他可能影响公正评审的。</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评标委员会和有关工作人员不得透露对投标文件的评审和比较以及与评标有关的其他情况。</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评标委员会将按照</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中确定的评标方法</w:t>
      </w:r>
      <w:r>
        <w:rPr>
          <w:rFonts w:hint="eastAsia" w:ascii="微软雅黑" w:hAnsi="微软雅黑" w:eastAsia="微软雅黑" w:cs="微软雅黑"/>
          <w:sz w:val="20"/>
          <w:szCs w:val="20"/>
        </w:rPr>
        <w:t>和</w:t>
      </w:r>
      <w:r>
        <w:rPr>
          <w:rFonts w:hint="eastAsia" w:ascii="微软雅黑" w:hAnsi="微软雅黑" w:eastAsia="微软雅黑" w:cs="微软雅黑"/>
          <w:sz w:val="20"/>
          <w:szCs w:val="20"/>
          <w:lang w:eastAsia="zh-TW"/>
        </w:rPr>
        <w:t>本招标文件规定</w:t>
      </w:r>
      <w:r>
        <w:rPr>
          <w:rFonts w:hint="eastAsia" w:ascii="微软雅黑" w:hAnsi="微软雅黑" w:eastAsia="微软雅黑" w:cs="微软雅黑"/>
          <w:sz w:val="20"/>
          <w:szCs w:val="20"/>
        </w:rPr>
        <w:t>的评标</w:t>
      </w:r>
      <w:r>
        <w:rPr>
          <w:rFonts w:hint="eastAsia" w:ascii="微软雅黑" w:hAnsi="微软雅黑" w:eastAsia="微软雅黑" w:cs="微软雅黑"/>
          <w:sz w:val="20"/>
          <w:szCs w:val="20"/>
          <w:lang w:eastAsia="zh-TW"/>
        </w:rPr>
        <w:t>标准进行评标。</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12" w:name="_Toc453957410"/>
      <w:bookmarkStart w:id="1313" w:name="_Toc453956650"/>
      <w:r>
        <w:rPr>
          <w:rFonts w:hint="eastAsia" w:ascii="微软雅黑" w:hAnsi="微软雅黑" w:eastAsia="微软雅黑" w:cs="微软雅黑"/>
          <w:b/>
          <w:bCs/>
          <w:sz w:val="20"/>
          <w:szCs w:val="20"/>
        </w:rPr>
        <w:t>投标文件的初审</w:t>
      </w:r>
      <w:bookmarkEnd w:id="1312"/>
      <w:bookmarkEnd w:id="1313"/>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评标委员会将</w:t>
      </w:r>
      <w:r>
        <w:rPr>
          <w:rFonts w:hint="eastAsia" w:ascii="微软雅黑" w:hAnsi="微软雅黑" w:eastAsia="微软雅黑" w:cs="微软雅黑"/>
          <w:sz w:val="20"/>
          <w:szCs w:val="20"/>
        </w:rPr>
        <w:t>依法</w:t>
      </w:r>
      <w:r>
        <w:rPr>
          <w:rFonts w:hint="eastAsia" w:ascii="微软雅黑" w:hAnsi="微软雅黑" w:eastAsia="微软雅黑" w:cs="微软雅黑"/>
          <w:sz w:val="20"/>
          <w:szCs w:val="20"/>
          <w:lang w:eastAsia="zh-TW"/>
        </w:rPr>
        <w:t>审查投标文件是否完整、文件签署是否合格、是否按招标文件的规定密封和标记、投标人是否</w:t>
      </w:r>
      <w:r>
        <w:rPr>
          <w:rFonts w:hint="eastAsia" w:ascii="微软雅黑" w:hAnsi="微软雅黑" w:eastAsia="微软雅黑" w:cs="微软雅黑"/>
          <w:sz w:val="20"/>
          <w:szCs w:val="20"/>
        </w:rPr>
        <w:t>缴纳</w:t>
      </w:r>
      <w:r>
        <w:rPr>
          <w:rFonts w:hint="eastAsia" w:ascii="微软雅黑" w:hAnsi="微软雅黑" w:eastAsia="微软雅黑" w:cs="微软雅黑"/>
          <w:sz w:val="20"/>
          <w:szCs w:val="20"/>
          <w:lang w:eastAsia="zh-TW"/>
        </w:rPr>
        <w:t>了投标保证金、有无计算</w:t>
      </w:r>
      <w:r>
        <w:rPr>
          <w:rFonts w:hint="eastAsia" w:ascii="微软雅黑" w:hAnsi="微软雅黑" w:eastAsia="微软雅黑" w:cs="微软雅黑"/>
          <w:sz w:val="20"/>
          <w:szCs w:val="20"/>
        </w:rPr>
        <w:t>上</w:t>
      </w:r>
      <w:r>
        <w:rPr>
          <w:rFonts w:hint="eastAsia" w:ascii="微软雅黑" w:hAnsi="微软雅黑" w:eastAsia="微软雅黑" w:cs="微软雅黑"/>
          <w:sz w:val="20"/>
          <w:szCs w:val="20"/>
          <w:lang w:eastAsia="zh-TW"/>
        </w:rPr>
        <w:t>的错误等。</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开标时，投标文件中开标一览表(报价表)内容与投标文件中</w:t>
      </w:r>
      <w:r>
        <w:rPr>
          <w:rFonts w:hint="eastAsia" w:ascii="微软雅黑" w:hAnsi="微软雅黑" w:cs="微软雅黑"/>
          <w:sz w:val="20"/>
          <w:szCs w:val="20"/>
          <w:lang w:eastAsia="zh-CN"/>
        </w:rPr>
        <w:t>相应</w:t>
      </w:r>
      <w:r>
        <w:rPr>
          <w:rFonts w:hint="eastAsia" w:ascii="微软雅黑" w:hAnsi="微软雅黑" w:eastAsia="微软雅黑" w:cs="微软雅黑"/>
          <w:sz w:val="20"/>
          <w:szCs w:val="20"/>
          <w:lang w:eastAsia="zh-TW"/>
        </w:rPr>
        <w:t>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微软雅黑" w:hAnsi="微软雅黑" w:eastAsia="微软雅黑" w:cs="微软雅黑"/>
          <w:sz w:val="20"/>
          <w:szCs w:val="20"/>
        </w:rPr>
        <w:t>。如果投标人不接受对其错误的更正，其投标将被视为无效投标或确定为投标无效。</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对于投标文件中不构成实质性偏差的不正规、不一致或不规则</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评标委员会可以接受</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但这种接受不能损害或影响任何投标人的相对排序。</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在详细评标之前</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评标委员会要审查每份投标文件是否实质上响应了招标文件的要求。实质上</w:t>
      </w:r>
      <w:r>
        <w:rPr>
          <w:rFonts w:hint="eastAsia" w:ascii="微软雅黑" w:hAnsi="微软雅黑" w:eastAsia="微软雅黑" w:cs="微软雅黑"/>
          <w:sz w:val="20"/>
          <w:szCs w:val="20"/>
        </w:rPr>
        <w:t>响</w:t>
      </w:r>
      <w:r>
        <w:rPr>
          <w:rFonts w:hint="eastAsia" w:ascii="微软雅黑" w:hAnsi="微软雅黑" w:eastAsia="微软雅黑" w:cs="微软雅黑"/>
          <w:sz w:val="20"/>
          <w:szCs w:val="20"/>
          <w:lang w:eastAsia="zh-TW"/>
        </w:rPr>
        <w:t>应的投标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应该是与招标文件要求的关键条款</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条件和规格相符</w:t>
      </w:r>
      <w:r>
        <w:rPr>
          <w:rFonts w:hint="eastAsia" w:ascii="微软雅黑" w:hAnsi="微软雅黑" w:eastAsia="微软雅黑" w:cs="微软雅黑"/>
          <w:sz w:val="20"/>
          <w:szCs w:val="20"/>
        </w:rPr>
        <w:t>或优于，</w:t>
      </w:r>
      <w:r>
        <w:rPr>
          <w:rFonts w:hint="eastAsia" w:ascii="微软雅黑" w:hAnsi="微软雅黑" w:eastAsia="微软雅黑" w:cs="微软雅黑"/>
          <w:sz w:val="20"/>
          <w:szCs w:val="20"/>
          <w:lang w:eastAsia="zh-TW"/>
        </w:rPr>
        <w:t>没有</w:t>
      </w:r>
      <w:r>
        <w:rPr>
          <w:rFonts w:hint="eastAsia" w:ascii="微软雅黑" w:hAnsi="微软雅黑" w:eastAsia="微软雅黑" w:cs="微软雅黑"/>
          <w:sz w:val="20"/>
          <w:szCs w:val="20"/>
        </w:rPr>
        <w:t>实质</w:t>
      </w:r>
      <w:r>
        <w:rPr>
          <w:rFonts w:hint="eastAsia" w:ascii="微软雅黑" w:hAnsi="微软雅黑" w:eastAsia="微软雅黑" w:cs="微软雅黑"/>
          <w:sz w:val="20"/>
          <w:szCs w:val="20"/>
          <w:lang w:eastAsia="zh-TW"/>
        </w:rPr>
        <w:t>偏离的投标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。评标委员会决定投标的响应性只根据投标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本身的真实无误的内容</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而不依据外部的证据</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但投标有不真实不正确的内容时除外。</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实质上没有响应招标文件要求的投标将</w:t>
      </w:r>
      <w:r>
        <w:rPr>
          <w:rFonts w:hint="eastAsia" w:ascii="微软雅黑" w:hAnsi="微软雅黑" w:eastAsia="微软雅黑" w:cs="微软雅黑"/>
          <w:sz w:val="20"/>
          <w:szCs w:val="20"/>
        </w:rPr>
        <w:t>被视为无效投标</w:t>
      </w:r>
      <w:r>
        <w:rPr>
          <w:rFonts w:hint="eastAsia" w:ascii="微软雅黑" w:hAnsi="微软雅黑" w:eastAsia="微软雅黑" w:cs="微软雅黑"/>
          <w:sz w:val="20"/>
          <w:szCs w:val="20"/>
          <w:lang w:eastAsia="zh-TW"/>
        </w:rPr>
        <w:t>。投标人不得通过修正或撤销不合要求的偏离或保留从而使其投标成为实质上响应的投标。</w:t>
      </w:r>
    </w:p>
    <w:p>
      <w:pPr>
        <w:widowControl w:val="0"/>
        <w:numPr>
          <w:ilvl w:val="2"/>
          <w:numId w:val="19"/>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在资格性审查、符合性检查时，未能通过资格性、符合性审查被认定为无效投标，具体条款</w:t>
      </w:r>
      <w:r>
        <w:rPr>
          <w:rFonts w:hint="eastAsia" w:ascii="微软雅黑" w:hAnsi="微软雅黑" w:eastAsia="微软雅黑" w:cs="微软雅黑"/>
          <w:sz w:val="20"/>
          <w:szCs w:val="20"/>
        </w:rPr>
        <w:t>详</w:t>
      </w:r>
      <w:r>
        <w:rPr>
          <w:rFonts w:hint="eastAsia" w:ascii="微软雅黑" w:hAnsi="微软雅黑" w:eastAsia="微软雅黑" w:cs="微软雅黑"/>
          <w:sz w:val="20"/>
          <w:szCs w:val="20"/>
          <w:lang w:eastAsia="zh-TW"/>
        </w:rPr>
        <w:t>见招标文件《资格、符合性评审条款》</w:t>
      </w:r>
      <w:r>
        <w:rPr>
          <w:rFonts w:hint="eastAsia" w:ascii="微软雅黑" w:hAnsi="微软雅黑" w:eastAsia="微软雅黑" w:cs="微软雅黑"/>
          <w:sz w:val="20"/>
          <w:szCs w:val="20"/>
        </w:rPr>
        <w:t xml:space="preserve">； </w:t>
      </w:r>
    </w:p>
    <w:p>
      <w:pPr>
        <w:widowControl w:val="0"/>
        <w:numPr>
          <w:ilvl w:val="2"/>
          <w:numId w:val="19"/>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评标委员会对各投标人进行资格性和符合性审查过程中，对初步被认定为初审不合格或无效投标者应实行及时告知</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由评标委员会主任或采购人代表将集体意见现场及时告知投标当事人，以让其核证、澄清事实。</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14" w:name="_Toc453956651"/>
      <w:bookmarkStart w:id="1315" w:name="_Toc453957411"/>
      <w:r>
        <w:rPr>
          <w:rFonts w:hint="eastAsia" w:ascii="微软雅黑" w:hAnsi="微软雅黑" w:eastAsia="微软雅黑" w:cs="微软雅黑"/>
          <w:b/>
          <w:bCs/>
          <w:sz w:val="20"/>
          <w:szCs w:val="20"/>
        </w:rPr>
        <w:t>投标文件的澄清</w:t>
      </w:r>
      <w:bookmarkEnd w:id="1314"/>
      <w:bookmarkEnd w:id="1315"/>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评标期间，对投标文件中含义不明确、同类问题表述不一致或者有明显文字和计算错误的内容，评标委员会可以书面形式（应当由评标委员会专家签字）要求投标人作出必要的澄清、说明或者纠正，但不得允许投标人对投标报价等实质性内容做任何更改。投标人的澄清、说明或者补正应当采用书面形式</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由其授权的代表签字</w:t>
      </w:r>
      <w:r>
        <w:rPr>
          <w:rFonts w:hint="eastAsia" w:ascii="微软雅黑" w:hAnsi="微软雅黑" w:eastAsia="微软雅黑" w:cs="微软雅黑"/>
          <w:sz w:val="20"/>
          <w:szCs w:val="20"/>
        </w:rPr>
        <w:t>或盖章</w:t>
      </w:r>
      <w:r>
        <w:rPr>
          <w:rFonts w:hint="eastAsia" w:ascii="微软雅黑" w:hAnsi="微软雅黑" w:eastAsia="微软雅黑" w:cs="微软雅黑"/>
          <w:sz w:val="20"/>
          <w:szCs w:val="20"/>
          <w:lang w:eastAsia="zh-TW"/>
        </w:rPr>
        <w:t>，但</w:t>
      </w:r>
      <w:r>
        <w:rPr>
          <w:rFonts w:hint="eastAsia" w:ascii="微软雅黑" w:hAnsi="微软雅黑" w:eastAsia="微软雅黑" w:cs="微软雅黑"/>
          <w:sz w:val="20"/>
          <w:szCs w:val="20"/>
        </w:rPr>
        <w:t>不得超出投标文件的范围或者改变投标文件的实质性内容。</w:t>
      </w:r>
      <w:r>
        <w:rPr>
          <w:rFonts w:hint="eastAsia" w:ascii="微软雅黑" w:hAnsi="微软雅黑" w:eastAsia="微软雅黑" w:cs="微软雅黑"/>
          <w:sz w:val="20"/>
          <w:szCs w:val="20"/>
          <w:lang w:eastAsia="zh-TW"/>
        </w:rPr>
        <w:t>有关澄清的答复均应由投标人的法定代表人或授权代表签字</w:t>
      </w:r>
      <w:r>
        <w:rPr>
          <w:rFonts w:hint="eastAsia" w:ascii="微软雅黑" w:hAnsi="微软雅黑" w:eastAsia="微软雅黑" w:cs="微软雅黑"/>
          <w:sz w:val="20"/>
          <w:szCs w:val="20"/>
        </w:rPr>
        <w:t>或盖章</w:t>
      </w:r>
      <w:r>
        <w:rPr>
          <w:rFonts w:hint="eastAsia" w:ascii="微软雅黑" w:hAnsi="微软雅黑" w:eastAsia="微软雅黑" w:cs="微软雅黑"/>
          <w:sz w:val="20"/>
          <w:szCs w:val="20"/>
          <w:lang w:eastAsia="zh-TW"/>
        </w:rPr>
        <w:t>的书面形式作出。</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投标人的澄清文件是其投标文件的组成部分。</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16" w:name="_Toc453956652"/>
      <w:bookmarkStart w:id="1317" w:name="_Toc453957412"/>
      <w:r>
        <w:rPr>
          <w:rFonts w:hint="eastAsia" w:ascii="微软雅黑" w:hAnsi="微软雅黑" w:eastAsia="微软雅黑" w:cs="微软雅黑"/>
          <w:b/>
          <w:bCs/>
          <w:sz w:val="20"/>
          <w:szCs w:val="20"/>
        </w:rPr>
        <w:t>投标文件详细评价</w:t>
      </w:r>
      <w:bookmarkEnd w:id="1316"/>
      <w:bookmarkEnd w:id="1317"/>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评</w:t>
      </w:r>
      <w:r>
        <w:rPr>
          <w:rFonts w:hint="eastAsia" w:ascii="微软雅黑" w:hAnsi="微软雅黑" w:eastAsia="微软雅黑" w:cs="微软雅黑"/>
          <w:sz w:val="20"/>
          <w:szCs w:val="20"/>
          <w:lang w:eastAsia="zh-TW"/>
        </w:rPr>
        <w:t>标委员会将</w:t>
      </w:r>
      <w:r>
        <w:rPr>
          <w:rFonts w:hint="eastAsia" w:ascii="微软雅黑" w:hAnsi="微软雅黑" w:eastAsia="微软雅黑" w:cs="微软雅黑"/>
          <w:sz w:val="20"/>
          <w:szCs w:val="20"/>
        </w:rPr>
        <w:t>对通过</w:t>
      </w:r>
      <w:r>
        <w:rPr>
          <w:rFonts w:hint="eastAsia" w:ascii="微软雅黑" w:hAnsi="微软雅黑" w:eastAsia="微软雅黑" w:cs="微软雅黑"/>
          <w:sz w:val="20"/>
          <w:szCs w:val="20"/>
          <w:lang w:eastAsia="zh-TW"/>
        </w:rPr>
        <w:t>资格性、符合性审查的投标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进行</w:t>
      </w:r>
      <w:r>
        <w:rPr>
          <w:rFonts w:hint="eastAsia" w:ascii="微软雅黑" w:hAnsi="微软雅黑" w:eastAsia="微软雅黑" w:cs="微软雅黑"/>
          <w:sz w:val="20"/>
          <w:szCs w:val="20"/>
        </w:rPr>
        <w:t>详细</w:t>
      </w:r>
      <w:r>
        <w:rPr>
          <w:rFonts w:hint="eastAsia" w:ascii="微软雅黑" w:hAnsi="微软雅黑" w:eastAsia="微软雅黑" w:cs="微软雅黑"/>
          <w:sz w:val="20"/>
          <w:szCs w:val="20"/>
          <w:lang w:eastAsia="zh-TW"/>
        </w:rPr>
        <w:t>评价和比较</w:t>
      </w:r>
      <w:r>
        <w:rPr>
          <w:rFonts w:hint="eastAsia" w:ascii="微软雅黑" w:hAnsi="微软雅黑" w:eastAsia="微软雅黑" w:cs="微软雅黑"/>
          <w:sz w:val="20"/>
          <w:szCs w:val="20"/>
        </w:rPr>
        <w:t>。</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18" w:name="_Toc293506759"/>
      <w:bookmarkEnd w:id="1318"/>
      <w:bookmarkStart w:id="1319" w:name="_Toc294000406"/>
      <w:bookmarkEnd w:id="1319"/>
      <w:bookmarkStart w:id="1320" w:name="_Toc293507736"/>
      <w:bookmarkEnd w:id="1320"/>
      <w:bookmarkStart w:id="1321" w:name="_Toc293506699"/>
      <w:bookmarkEnd w:id="1321"/>
      <w:bookmarkStart w:id="1322" w:name="_Toc293507643"/>
      <w:bookmarkEnd w:id="1322"/>
      <w:bookmarkStart w:id="1323" w:name="_Toc293507842"/>
      <w:bookmarkEnd w:id="1323"/>
      <w:bookmarkStart w:id="1324" w:name="_Toc453957413"/>
      <w:bookmarkStart w:id="1325" w:name="_Toc453956653"/>
      <w:r>
        <w:rPr>
          <w:rFonts w:hint="eastAsia" w:ascii="微软雅黑" w:hAnsi="微软雅黑" w:eastAsia="微软雅黑" w:cs="微软雅黑"/>
          <w:b/>
          <w:bCs/>
          <w:sz w:val="20"/>
          <w:szCs w:val="20"/>
        </w:rPr>
        <w:t>定标原则与授标</w:t>
      </w:r>
      <w:bookmarkEnd w:id="1324"/>
      <w:bookmarkEnd w:id="1325"/>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评标委员会按照招标文件确定的评标方法、步骤、标准，对投标文件进行评审，提出书面评标报告。</w:t>
      </w:r>
    </w:p>
    <w:p>
      <w:pPr>
        <w:numPr>
          <w:ilvl w:val="0"/>
          <w:numId w:val="0"/>
        </w:numPr>
        <w:spacing w:line="360" w:lineRule="auto"/>
        <w:ind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采用综合评分法的，按评审后得分由高到低顺序排列。得分相同的，按投标报价由低到高顺序排列。得分且投标报价相同的，按技术指标优劣顺序排列。</w:t>
      </w:r>
      <w:r>
        <w:rPr>
          <w:rFonts w:hint="eastAsia" w:ascii="微软雅黑" w:hAnsi="微软雅黑" w:eastAsia="微软雅黑" w:cs="微软雅黑"/>
          <w:bCs/>
          <w:color w:val="FF0000"/>
          <w:sz w:val="20"/>
          <w:szCs w:val="20"/>
        </w:rPr>
        <w:t>本项目确定一家供应商。</w:t>
      </w:r>
      <w:r>
        <w:rPr>
          <w:rFonts w:hint="eastAsia" w:ascii="微软雅黑" w:hAnsi="微软雅黑" w:cs="微软雅黑"/>
          <w:bCs/>
          <w:color w:val="FF0000"/>
          <w:sz w:val="20"/>
          <w:szCs w:val="20"/>
          <w:lang w:eastAsia="zh-CN"/>
        </w:rPr>
        <w:t>评标委员会</w:t>
      </w:r>
      <w:r>
        <w:rPr>
          <w:rFonts w:hint="eastAsia" w:ascii="微软雅黑" w:hAnsi="微软雅黑" w:eastAsia="微软雅黑" w:cs="微软雅黑"/>
          <w:bCs/>
          <w:color w:val="FF0000"/>
          <w:sz w:val="20"/>
          <w:szCs w:val="20"/>
        </w:rPr>
        <w:t>推荐综合得分排名第一的投标人为第一中标候选人，排名第二的投标人为第二中标候选人。</w:t>
      </w:r>
      <w:r>
        <w:rPr>
          <w:rFonts w:hint="eastAsia" w:ascii="微软雅黑" w:hAnsi="微软雅黑" w:eastAsia="微软雅黑" w:cs="微软雅黑"/>
          <w:bCs/>
          <w:color w:val="FF0000"/>
          <w:sz w:val="20"/>
          <w:szCs w:val="20"/>
          <w:lang w:eastAsia="zh-CN"/>
        </w:rPr>
        <w:t>第二中标候选人报价高于第一中标候选人报价</w:t>
      </w:r>
      <w:r>
        <w:rPr>
          <w:rFonts w:hint="eastAsia" w:ascii="微软雅黑" w:hAnsi="微软雅黑" w:eastAsia="微软雅黑" w:cs="微软雅黑"/>
          <w:bCs/>
          <w:color w:val="FF0000"/>
          <w:sz w:val="20"/>
          <w:szCs w:val="20"/>
          <w:lang w:val="en-US" w:eastAsia="zh-CN"/>
        </w:rPr>
        <w:t>20%（含）以上的，只推荐1名中标候选人。第一中标候选人不得随意放弃中标资格。</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采用</w:t>
      </w:r>
      <w:r>
        <w:rPr>
          <w:rFonts w:hint="eastAsia" w:ascii="微软雅黑" w:hAnsi="微软雅黑" w:eastAsia="微软雅黑" w:cs="微软雅黑"/>
          <w:sz w:val="20"/>
          <w:szCs w:val="20"/>
          <w:lang w:eastAsia="zh-TW"/>
        </w:rPr>
        <w:t>最低评标价法</w:t>
      </w:r>
      <w:r>
        <w:rPr>
          <w:rFonts w:hint="eastAsia" w:ascii="微软雅黑" w:hAnsi="微软雅黑" w:eastAsia="微软雅黑" w:cs="微软雅黑"/>
          <w:sz w:val="20"/>
          <w:szCs w:val="20"/>
        </w:rPr>
        <w:t>的，</w:t>
      </w:r>
      <w:r>
        <w:rPr>
          <w:rFonts w:hint="eastAsia" w:ascii="微软雅黑" w:hAnsi="微软雅黑" w:eastAsia="微软雅黑" w:cs="微软雅黑"/>
          <w:sz w:val="20"/>
          <w:szCs w:val="20"/>
          <w:lang w:eastAsia="zh-TW"/>
        </w:rPr>
        <w:t>按投标报价由低到高顺序排列。</w:t>
      </w:r>
      <w:r>
        <w:rPr>
          <w:rFonts w:hint="eastAsia" w:ascii="微软雅黑" w:hAnsi="微软雅黑" w:eastAsia="微软雅黑" w:cs="微软雅黑"/>
          <w:sz w:val="20"/>
          <w:szCs w:val="20"/>
        </w:rPr>
        <w:t>推荐报价最低为第一中标候选人，报价次低为第二中标候选人。</w:t>
      </w:r>
      <w:r>
        <w:rPr>
          <w:rFonts w:hint="eastAsia" w:ascii="微软雅黑" w:hAnsi="微软雅黑" w:eastAsia="微软雅黑" w:cs="微软雅黑"/>
          <w:sz w:val="20"/>
          <w:szCs w:val="20"/>
          <w:lang w:eastAsia="zh-TW"/>
        </w:rPr>
        <w:t>投标报价相同的，按</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rPr>
        <w:t>中所述的</w:t>
      </w:r>
      <w:r>
        <w:rPr>
          <w:rFonts w:hint="eastAsia" w:ascii="微软雅黑" w:hAnsi="微软雅黑" w:eastAsia="微软雅黑" w:cs="微软雅黑"/>
          <w:sz w:val="20"/>
          <w:szCs w:val="20"/>
          <w:lang w:eastAsia="zh-TW"/>
        </w:rPr>
        <w:t>顺序排列。评标委员会认为，排在前面的中标候选人的最低投标</w:t>
      </w:r>
      <w:r>
        <w:rPr>
          <w:rFonts w:hint="eastAsia" w:ascii="微软雅黑" w:hAnsi="微软雅黑" w:eastAsia="微软雅黑" w:cs="微软雅黑"/>
          <w:sz w:val="20"/>
          <w:szCs w:val="20"/>
        </w:rPr>
        <w:t>报</w:t>
      </w:r>
      <w:r>
        <w:rPr>
          <w:rFonts w:hint="eastAsia" w:ascii="微软雅黑" w:hAnsi="微软雅黑" w:eastAsia="微软雅黑" w:cs="微软雅黑"/>
          <w:sz w:val="20"/>
          <w:szCs w:val="20"/>
          <w:lang w:eastAsia="zh-TW"/>
        </w:rPr>
        <w:t>价或者某些分项报价明显不合理或者低于成本，有可能影响</w:t>
      </w:r>
      <w:r>
        <w:rPr>
          <w:rFonts w:hint="eastAsia" w:ascii="微软雅黑" w:hAnsi="微软雅黑" w:eastAsia="微软雅黑" w:cs="微软雅黑"/>
          <w:sz w:val="20"/>
          <w:szCs w:val="20"/>
        </w:rPr>
        <w:t>货物</w:t>
      </w:r>
      <w:r>
        <w:rPr>
          <w:rFonts w:hint="eastAsia" w:ascii="微软雅黑" w:hAnsi="微软雅黑" w:eastAsia="微软雅黑" w:cs="微软雅黑"/>
          <w:sz w:val="20"/>
          <w:szCs w:val="20"/>
          <w:lang w:eastAsia="zh-TW"/>
        </w:rPr>
        <w:t>质量和不能诚信履约的，应当要求其在规定的期限内提供书面文件予以解释说明，并提交相关证明材料；否则，评标委员会可以取消该投标人的中标候选资格，按顺序由排在后面的中标候选人递补，以此类推。</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因不可抗力或自身原因不能履行合同的、不按要求与采购人签订合同、中标人放弃中标、中标资格被依法确认无效的，采购人可以与排位在中标人之后第一位的中标候选人签订采购合同，没有其他中标候选人的，应当重新组织采购活动。</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在招标采购中，出现下列情形之一的，应予废标： </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b/>
          <w:sz w:val="20"/>
          <w:szCs w:val="20"/>
        </w:rPr>
        <w:t>符合专业条件的投标人或者对招标文件作实质响应的投标人不足三家的</w:t>
      </w:r>
      <w:r>
        <w:rPr>
          <w:rFonts w:hint="eastAsia" w:ascii="微软雅黑" w:hAnsi="微软雅黑" w:eastAsia="微软雅黑" w:cs="微软雅黑"/>
          <w:sz w:val="20"/>
          <w:szCs w:val="20"/>
        </w:rPr>
        <w:t>；</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出现影响采购公正的违法、违规行为的；</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投标人的报价均超过了采购预算，采购人不能支付的；</w:t>
      </w:r>
    </w:p>
    <w:p>
      <w:pPr>
        <w:widowControl w:val="0"/>
        <w:numPr>
          <w:ilvl w:val="2"/>
          <w:numId w:val="19"/>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因重大变故，采购任务取消的。</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26" w:name="_Toc453957414"/>
      <w:bookmarkStart w:id="1327" w:name="_Toc453956654"/>
      <w:r>
        <w:rPr>
          <w:rFonts w:hint="eastAsia" w:ascii="微软雅黑" w:hAnsi="微软雅黑" w:eastAsia="微软雅黑" w:cs="微软雅黑"/>
          <w:b/>
          <w:bCs/>
          <w:sz w:val="20"/>
          <w:szCs w:val="20"/>
        </w:rPr>
        <w:t>质疑与回复</w:t>
      </w:r>
      <w:bookmarkEnd w:id="1326"/>
      <w:bookmarkEnd w:id="1327"/>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投标人有质疑时，应当以书面形式（加盖投标人公章）在质疑有效期限内向招标采购单位提交质疑书原件，逾期质疑无效。投标人以电话、传真或电邮形式提交的质疑属于无效质疑。</w:t>
      </w:r>
      <w:r>
        <w:rPr>
          <w:rStyle w:val="24"/>
          <w:rFonts w:hint="eastAsia" w:ascii="微软雅黑" w:hAnsi="微软雅黑" w:eastAsia="微软雅黑" w:cs="微软雅黑"/>
          <w:sz w:val="20"/>
          <w:szCs w:val="20"/>
        </w:rPr>
        <w:t>质疑有效期限为：</w:t>
      </w:r>
    </w:p>
    <w:p>
      <w:pPr>
        <w:pStyle w:val="6"/>
        <w:ind w:firstLine="650" w:firstLineChars="325"/>
        <w:rPr>
          <w:rStyle w:val="24"/>
          <w:rFonts w:hint="eastAsia" w:ascii="微软雅黑" w:hAnsi="微软雅黑" w:eastAsia="微软雅黑" w:cs="微软雅黑"/>
          <w:sz w:val="20"/>
          <w:szCs w:val="20"/>
        </w:rPr>
      </w:pPr>
      <w:r>
        <w:rPr>
          <w:rStyle w:val="24"/>
          <w:rFonts w:hint="eastAsia" w:ascii="微软雅黑" w:hAnsi="微软雅黑" w:eastAsia="微软雅黑" w:cs="微软雅黑"/>
          <w:sz w:val="20"/>
          <w:szCs w:val="20"/>
        </w:rPr>
        <w:t>（1）对招标文件提出质疑的，为获取招标文件之日或者招标文件公告期限届满之日；</w:t>
      </w:r>
    </w:p>
    <w:p>
      <w:pPr>
        <w:pStyle w:val="6"/>
        <w:ind w:firstLine="650" w:firstLineChars="325"/>
        <w:rPr>
          <w:rStyle w:val="24"/>
          <w:rFonts w:hint="eastAsia" w:ascii="微软雅黑" w:hAnsi="微软雅黑" w:eastAsia="微软雅黑" w:cs="微软雅黑"/>
          <w:sz w:val="20"/>
          <w:szCs w:val="20"/>
        </w:rPr>
      </w:pPr>
      <w:r>
        <w:rPr>
          <w:rStyle w:val="24"/>
          <w:rFonts w:hint="eastAsia" w:ascii="微软雅黑" w:hAnsi="微软雅黑" w:eastAsia="微软雅黑" w:cs="微软雅黑"/>
          <w:sz w:val="20"/>
          <w:szCs w:val="20"/>
        </w:rPr>
        <w:t>（2）对采购过程提出质疑的，为各采购程序环节结束之日；</w:t>
      </w:r>
    </w:p>
    <w:p>
      <w:pPr>
        <w:pStyle w:val="6"/>
        <w:tabs>
          <w:tab w:val="clear" w:pos="851"/>
        </w:tabs>
        <w:ind w:firstLine="650" w:firstLineChars="325"/>
        <w:rPr>
          <w:rFonts w:hint="default" w:eastAsiaTheme="minorEastAsia"/>
          <w:lang w:val="en-US" w:eastAsia="zh-CN"/>
        </w:rPr>
      </w:pPr>
      <w:r>
        <w:rPr>
          <w:rStyle w:val="24"/>
          <w:rFonts w:hint="eastAsia" w:ascii="微软雅黑" w:hAnsi="微软雅黑" w:eastAsia="微软雅黑" w:cs="微软雅黑"/>
          <w:sz w:val="20"/>
          <w:szCs w:val="20"/>
        </w:rPr>
        <w:t>（3）对招标结果提出质疑的，为招标结果公示期限届满之日。</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质疑内容不得含有虚假、恶意成分。依据“谁主张谁举证”的原则，质疑者提供的质疑书应当包括下列主要内容：具体的质疑事项、事实依据及相关确凿的证明材料和注明事实的确切来源、投标人名称、联系人与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上，将纳入不良行为记录名单并承担相应的法律责任。</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招标采购单位在收到投标人的有效书面质疑后七个工作日内作出答复，但答复的内容不涉及商业秘密，质疑投标人对采购人、采购代理机构的质疑答复不满意，或采购人、采购代理机构未在规定期限内作出答复的，可以在答复期满后十五个工作日内向同级或上级主管部门提出投诉。</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28" w:name="_Toc453957415"/>
      <w:bookmarkStart w:id="1329" w:name="_Toc453956655"/>
      <w:r>
        <w:rPr>
          <w:rFonts w:hint="eastAsia" w:ascii="微软雅黑" w:hAnsi="微软雅黑" w:eastAsia="微软雅黑" w:cs="微软雅黑"/>
          <w:b/>
          <w:bCs/>
          <w:sz w:val="20"/>
          <w:szCs w:val="20"/>
        </w:rPr>
        <w:t>中标通知书</w:t>
      </w:r>
      <w:bookmarkEnd w:id="1328"/>
      <w:bookmarkEnd w:id="1329"/>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中标人确定后</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采购代理机构将在</w:t>
      </w:r>
      <w:r>
        <w:rPr>
          <w:rFonts w:hint="eastAsia" w:ascii="微软雅黑" w:hAnsi="微软雅黑" w:eastAsia="微软雅黑" w:cs="微软雅黑"/>
          <w:sz w:val="20"/>
          <w:szCs w:val="20"/>
        </w:rPr>
        <w:t>法定</w:t>
      </w:r>
      <w:r>
        <w:rPr>
          <w:rFonts w:hint="eastAsia" w:ascii="微软雅黑" w:hAnsi="微软雅黑" w:eastAsia="微软雅黑" w:cs="微软雅黑"/>
          <w:sz w:val="20"/>
          <w:szCs w:val="20"/>
          <w:lang w:eastAsia="zh-TW"/>
        </w:rPr>
        <w:t>的媒体上发布中标公告，并向中标人发出《中标通知书》</w:t>
      </w:r>
      <w:r>
        <w:rPr>
          <w:rFonts w:hint="eastAsia" w:ascii="微软雅黑" w:hAnsi="微软雅黑" w:eastAsia="微软雅黑" w:cs="微软雅黑"/>
          <w:sz w:val="20"/>
          <w:szCs w:val="20"/>
        </w:rPr>
        <w:t>，向采购人发出《招标结果通知书》，</w:t>
      </w:r>
      <w:r>
        <w:rPr>
          <w:rFonts w:hint="eastAsia" w:ascii="微软雅黑" w:hAnsi="微软雅黑" w:eastAsia="微软雅黑" w:cs="微软雅黑"/>
          <w:sz w:val="20"/>
          <w:szCs w:val="20"/>
          <w:lang w:eastAsia="zh-TW"/>
        </w:rPr>
        <w:t>《中标通知书》对中标人和采购人具有同等法律效力。</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《中标通知书》将作为授予合同资格的合法依据，是合同的一个组成部分。</w:t>
      </w:r>
    </w:p>
    <w:p>
      <w:pPr>
        <w:spacing w:before="312" w:beforeLines="100" w:after="312" w:afterLines="100" w:line="360" w:lineRule="auto"/>
        <w:jc w:val="center"/>
        <w:outlineLvl w:val="0"/>
        <w:rPr>
          <w:rFonts w:ascii="宋体" w:hAnsi="宋体" w:cs="楷体_GB2312"/>
          <w:b/>
          <w:sz w:val="28"/>
          <w:szCs w:val="28"/>
          <w:lang w:eastAsia="zh-TW"/>
        </w:rPr>
      </w:pPr>
      <w:bookmarkStart w:id="1330" w:name="_Toc453956656"/>
      <w:bookmarkStart w:id="1331" w:name="_Toc453957416"/>
      <w:r>
        <w:rPr>
          <w:rFonts w:hint="eastAsia" w:ascii="宋体" w:hAnsi="宋体" w:cs="楷体_GB2312"/>
          <w:b/>
          <w:sz w:val="28"/>
          <w:szCs w:val="28"/>
          <w:lang w:eastAsia="zh-TW"/>
        </w:rPr>
        <w:t>六、授予合同</w:t>
      </w:r>
      <w:bookmarkEnd w:id="1330"/>
      <w:bookmarkEnd w:id="1331"/>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bookmarkStart w:id="1332" w:name="_Toc294000411"/>
      <w:bookmarkEnd w:id="1332"/>
      <w:bookmarkStart w:id="1333" w:name="_Toc293507648"/>
      <w:bookmarkEnd w:id="1333"/>
      <w:bookmarkStart w:id="1334" w:name="_Toc293506764"/>
      <w:bookmarkEnd w:id="1334"/>
      <w:bookmarkStart w:id="1335" w:name="_Toc293506705"/>
      <w:bookmarkEnd w:id="1335"/>
      <w:bookmarkStart w:id="1336" w:name="_Toc293506704"/>
      <w:bookmarkEnd w:id="1336"/>
      <w:bookmarkStart w:id="1337" w:name="_Toc293507742"/>
      <w:bookmarkEnd w:id="1337"/>
      <w:bookmarkStart w:id="1338" w:name="_Toc293507847"/>
      <w:bookmarkEnd w:id="1338"/>
      <w:bookmarkStart w:id="1339" w:name="_Toc293507848"/>
      <w:bookmarkEnd w:id="1339"/>
      <w:bookmarkStart w:id="1340" w:name="_Toc294000412"/>
      <w:bookmarkEnd w:id="1340"/>
      <w:bookmarkStart w:id="1341" w:name="_Toc293506765"/>
      <w:bookmarkEnd w:id="1341"/>
      <w:bookmarkStart w:id="1342" w:name="_Toc293507741"/>
      <w:bookmarkEnd w:id="1342"/>
      <w:bookmarkStart w:id="1343" w:name="_Toc293507649"/>
      <w:bookmarkEnd w:id="1343"/>
      <w:bookmarkStart w:id="1344" w:name="_Toc453957417"/>
      <w:bookmarkStart w:id="1345" w:name="_Toc453956657"/>
      <w:r>
        <w:rPr>
          <w:rFonts w:hint="eastAsia" w:ascii="微软雅黑" w:hAnsi="微软雅黑" w:eastAsia="微软雅黑" w:cs="微软雅黑"/>
          <w:b/>
          <w:bCs/>
          <w:sz w:val="20"/>
          <w:szCs w:val="20"/>
        </w:rPr>
        <w:t>合同的订立</w:t>
      </w:r>
      <w:bookmarkEnd w:id="1344"/>
      <w:bookmarkEnd w:id="1345"/>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除非投标资料表另有规定，采购方与供应方将于中标通知书发出之日起30个日历天内，按照评审文件的约定签订合同。所签订的合同不得对招标文件和中标人投标文件作实质性修改。</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招标采购单位不得向中标人提出任何不合理的要求，作为签订合同的条件，不得与中标人私下订立背离合同实质性内容的协议。 </w:t>
      </w:r>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签订合同后</w:t>
      </w:r>
      <w:r>
        <w:rPr>
          <w:rFonts w:hint="eastAsia" w:ascii="微软雅黑" w:hAnsi="微软雅黑" w:eastAsia="微软雅黑" w:cs="微软雅黑"/>
          <w:sz w:val="20"/>
          <w:szCs w:val="20"/>
        </w:rPr>
        <w:t>七</w:t>
      </w:r>
      <w:r>
        <w:rPr>
          <w:rFonts w:hint="eastAsia" w:ascii="微软雅黑" w:hAnsi="微软雅黑" w:eastAsia="微软雅黑" w:cs="微软雅黑"/>
          <w:sz w:val="20"/>
          <w:szCs w:val="20"/>
          <w:lang w:eastAsia="zh-TW"/>
        </w:rPr>
        <w:t>个工作日内，采购人应将采购合同副本报同级</w:t>
      </w:r>
      <w:r>
        <w:rPr>
          <w:rFonts w:hint="eastAsia" w:ascii="微软雅黑" w:hAnsi="微软雅黑" w:eastAsia="微软雅黑" w:cs="微软雅黑"/>
          <w:sz w:val="20"/>
          <w:szCs w:val="20"/>
        </w:rPr>
        <w:t>或上级主管</w:t>
      </w:r>
      <w:r>
        <w:rPr>
          <w:rFonts w:hint="eastAsia" w:ascii="微软雅黑" w:hAnsi="微软雅黑" w:eastAsia="微软雅黑" w:cs="微软雅黑"/>
          <w:sz w:val="20"/>
          <w:szCs w:val="20"/>
          <w:lang w:eastAsia="zh-TW"/>
        </w:rPr>
        <w:t>部门备案。</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46" w:name="_Toc453957418"/>
      <w:bookmarkStart w:id="1347" w:name="_Toc453956658"/>
      <w:r>
        <w:rPr>
          <w:rFonts w:hint="eastAsia" w:ascii="微软雅黑" w:hAnsi="微软雅黑" w:eastAsia="微软雅黑" w:cs="微软雅黑"/>
          <w:b/>
          <w:bCs/>
          <w:sz w:val="20"/>
          <w:szCs w:val="20"/>
        </w:rPr>
        <w:t>合同的履行</w:t>
      </w:r>
      <w:bookmarkEnd w:id="1346"/>
      <w:bookmarkEnd w:id="1347"/>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采购合同订立后，合同各方不得擅自变更、中止或者终止合同。采购合同需要变更的，采购人应将有关合同变更内容，以书面形式报同级</w:t>
      </w:r>
      <w:r>
        <w:rPr>
          <w:rFonts w:hint="eastAsia" w:ascii="微软雅黑" w:hAnsi="微软雅黑" w:eastAsia="微软雅黑" w:cs="微软雅黑"/>
          <w:sz w:val="20"/>
          <w:szCs w:val="20"/>
        </w:rPr>
        <w:t>或上级主管部门</w:t>
      </w:r>
      <w:r>
        <w:rPr>
          <w:rFonts w:hint="eastAsia" w:ascii="微软雅黑" w:hAnsi="微软雅黑" w:eastAsia="微软雅黑" w:cs="微软雅黑"/>
          <w:sz w:val="20"/>
          <w:szCs w:val="20"/>
          <w:lang w:eastAsia="zh-TW"/>
        </w:rPr>
        <w:t>备案；因特殊情况需要中止或终止合同的，采购人应将中止或终止合同的理由以及相应措施，以书面形式报同级</w:t>
      </w:r>
      <w:r>
        <w:rPr>
          <w:rFonts w:hint="eastAsia" w:ascii="微软雅黑" w:hAnsi="微软雅黑" w:eastAsia="微软雅黑" w:cs="微软雅黑"/>
          <w:sz w:val="20"/>
          <w:szCs w:val="20"/>
        </w:rPr>
        <w:t>或上级主管部门部门</w:t>
      </w:r>
      <w:r>
        <w:rPr>
          <w:rFonts w:hint="eastAsia" w:ascii="微软雅黑" w:hAnsi="微软雅黑" w:eastAsia="微软雅黑" w:cs="微软雅黑"/>
          <w:sz w:val="20"/>
          <w:szCs w:val="20"/>
          <w:lang w:eastAsia="zh-TW"/>
        </w:rPr>
        <w:t>备案。</w:t>
      </w:r>
    </w:p>
    <w:p>
      <w:pPr>
        <w:widowControl w:val="0"/>
        <w:numPr>
          <w:ilvl w:val="1"/>
          <w:numId w:val="19"/>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采购合同履行中，采购人需追加与合同标的相同的货物的，在不改变合同其他条款的前提下，可以与投标人签订补充合同，但所补充合同的采购金额不得超过原合同采购金额的百分之十。签订补充合同的必须按规定备案。</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48" w:name="_Toc453957419"/>
      <w:bookmarkStart w:id="1349" w:name="_Toc453956659"/>
      <w:r>
        <w:rPr>
          <w:rFonts w:hint="eastAsia" w:ascii="微软雅黑" w:hAnsi="微软雅黑" w:eastAsia="微软雅黑" w:cs="微软雅黑"/>
          <w:b/>
          <w:bCs/>
          <w:sz w:val="20"/>
          <w:szCs w:val="20"/>
        </w:rPr>
        <w:t>履约担保</w:t>
      </w:r>
      <w:bookmarkEnd w:id="1348"/>
      <w:bookmarkEnd w:id="1349"/>
      <w:r>
        <w:rPr>
          <w:rFonts w:hint="eastAsia" w:ascii="微软雅黑" w:hAnsi="微软雅黑" w:cs="微软雅黑"/>
          <w:b/>
          <w:bCs/>
          <w:sz w:val="20"/>
          <w:szCs w:val="20"/>
          <w:lang w:eastAsia="zh-CN"/>
        </w:rPr>
        <w:t>（履约保证金等）</w:t>
      </w:r>
    </w:p>
    <w:p>
      <w:pPr>
        <w:spacing w:line="360" w:lineRule="auto"/>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详见用户需求书、合同条款</w:t>
      </w:r>
    </w:p>
    <w:p>
      <w:pPr>
        <w:widowControl w:val="0"/>
        <w:numPr>
          <w:ilvl w:val="0"/>
          <w:numId w:val="19"/>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50" w:name="_Toc453956660"/>
      <w:bookmarkStart w:id="1351" w:name="_Toc453957420"/>
      <w:r>
        <w:rPr>
          <w:rFonts w:hint="eastAsia" w:ascii="微软雅黑" w:hAnsi="微软雅黑" w:eastAsia="微软雅黑" w:cs="微软雅黑"/>
          <w:b/>
          <w:bCs/>
          <w:sz w:val="20"/>
          <w:szCs w:val="20"/>
        </w:rPr>
        <w:t>招标代理服务费</w:t>
      </w:r>
      <w:bookmarkEnd w:id="1350"/>
      <w:bookmarkEnd w:id="1351"/>
    </w:p>
    <w:p>
      <w:pPr>
        <w:widowControl w:val="0"/>
        <w:numPr>
          <w:ilvl w:val="1"/>
          <w:numId w:val="19"/>
        </w:numPr>
        <w:autoSpaceDE w:val="0"/>
        <w:autoSpaceDN w:val="0"/>
        <w:spacing w:after="0" w:line="360" w:lineRule="auto"/>
        <w:jc w:val="both"/>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lang w:eastAsia="zh-CN"/>
        </w:rPr>
        <w:t>本项目中标单位无需缴纳招标代理服务费。</w:t>
      </w:r>
    </w:p>
    <w:p>
      <w:pPr>
        <w:spacing w:line="360" w:lineRule="auto"/>
        <w:jc w:val="center"/>
        <w:rPr>
          <w:rFonts w:ascii="宋体" w:hAnsi="宋体" w:eastAsia="宋体" w:cs="宋体"/>
          <w:b/>
          <w:sz w:val="56"/>
          <w:szCs w:val="56"/>
        </w:rPr>
      </w:pPr>
      <w:r>
        <w:rPr>
          <w:rFonts w:hAnsi="宋体" w:cs="宋体"/>
          <w:sz w:val="24"/>
          <w:szCs w:val="24"/>
        </w:rPr>
        <w:br w:type="page"/>
      </w:r>
      <w:bookmarkStart w:id="1352" w:name="_Toc453957421"/>
      <w:bookmarkStart w:id="1353" w:name="_Toc453956661"/>
      <w:r>
        <w:rPr>
          <w:rFonts w:hint="eastAsia" w:ascii="黑体" w:hAnsi="黑体" w:eastAsia="黑体" w:cs="黑体"/>
          <w:sz w:val="32"/>
          <w:szCs w:val="32"/>
        </w:rPr>
        <w:t>第七章 合同专用条款</w:t>
      </w:r>
      <w:bookmarkEnd w:id="1352"/>
      <w:bookmarkEnd w:id="1353"/>
    </w:p>
    <w:p>
      <w:pPr>
        <w:spacing w:line="360" w:lineRule="auto"/>
        <w:jc w:val="center"/>
        <w:rPr>
          <w:rFonts w:ascii="宋体" w:hAnsi="宋体" w:eastAsia="宋体" w:cs="宋体"/>
          <w:b/>
          <w:sz w:val="56"/>
          <w:szCs w:val="56"/>
        </w:rPr>
      </w:pPr>
    </w:p>
    <w:p>
      <w:pPr>
        <w:spacing w:line="220" w:lineRule="atLeast"/>
      </w:pPr>
    </w:p>
    <w:p>
      <w:pPr>
        <w:widowControl w:val="0"/>
        <w:spacing w:line="360" w:lineRule="auto"/>
        <w:jc w:val="center"/>
        <w:rPr>
          <w:rFonts w:hint="eastAsia" w:ascii="微软雅黑" w:hAnsi="微软雅黑" w:eastAsia="微软雅黑" w:cs="微软雅黑"/>
          <w:b/>
          <w:spacing w:val="200"/>
          <w:sz w:val="21"/>
          <w:szCs w:val="21"/>
        </w:rPr>
      </w:pPr>
      <w:r>
        <w:rPr>
          <w:rFonts w:hint="eastAsia" w:ascii="微软雅黑" w:hAnsi="微软雅黑" w:eastAsia="微软雅黑" w:cs="微软雅黑"/>
          <w:b/>
          <w:spacing w:val="200"/>
          <w:sz w:val="21"/>
          <w:szCs w:val="21"/>
        </w:rPr>
        <w:t>合同书</w:t>
      </w:r>
    </w:p>
    <w:p>
      <w:pPr>
        <w:widowControl w:val="0"/>
        <w:spacing w:line="360" w:lineRule="auto"/>
        <w:jc w:val="center"/>
        <w:rPr>
          <w:rFonts w:hint="eastAsia" w:ascii="微软雅黑" w:hAnsi="微软雅黑" w:eastAsia="微软雅黑" w:cs="微软雅黑"/>
          <w:b/>
          <w:sz w:val="21"/>
          <w:szCs w:val="21"/>
        </w:rPr>
      </w:pPr>
    </w:p>
    <w:p>
      <w:pPr>
        <w:widowControl w:val="0"/>
        <w:spacing w:line="360" w:lineRule="auto"/>
        <w:ind w:left="440" w:leftChars="200"/>
        <w:rPr>
          <w:rFonts w:hint="eastAsia" w:ascii="微软雅黑" w:hAnsi="微软雅黑" w:eastAsia="微软雅黑" w:cs="微软雅黑"/>
          <w:b/>
          <w:color w:val="0070C0"/>
          <w:sz w:val="21"/>
          <w:szCs w:val="21"/>
        </w:rPr>
      </w:pPr>
      <w:r>
        <w:rPr>
          <w:rFonts w:hint="eastAsia" w:ascii="微软雅黑" w:hAnsi="微软雅黑" w:eastAsia="微软雅黑" w:cs="微软雅黑"/>
          <w:b/>
          <w:sz w:val="21"/>
          <w:szCs w:val="21"/>
        </w:rPr>
        <w:t>项目名称：</w:t>
      </w:r>
    </w:p>
    <w:p>
      <w:pPr>
        <w:widowControl w:val="0"/>
        <w:spacing w:line="480" w:lineRule="auto"/>
        <w:ind w:left="1680"/>
        <w:rPr>
          <w:rFonts w:hint="eastAsia" w:ascii="微软雅黑" w:hAnsi="微软雅黑" w:eastAsia="微软雅黑" w:cs="微软雅黑"/>
          <w:b/>
          <w:sz w:val="21"/>
          <w:szCs w:val="21"/>
        </w:rPr>
      </w:pPr>
    </w:p>
    <w:p>
      <w:pPr>
        <w:widowControl w:val="0"/>
        <w:spacing w:line="480" w:lineRule="auto"/>
        <w:ind w:left="1680"/>
        <w:rPr>
          <w:rFonts w:hint="eastAsia" w:ascii="微软雅黑" w:hAnsi="微软雅黑" w:eastAsia="微软雅黑" w:cs="微软雅黑"/>
          <w:b/>
          <w:sz w:val="21"/>
          <w:szCs w:val="21"/>
          <w:lang w:eastAsia="zh-CN"/>
        </w:rPr>
      </w:pPr>
      <w:r>
        <w:rPr>
          <w:rFonts w:hint="eastAsia" w:ascii="微软雅黑" w:hAnsi="微软雅黑" w:eastAsia="微软雅黑" w:cs="微软雅黑"/>
          <w:b/>
          <w:sz w:val="21"/>
          <w:szCs w:val="21"/>
        </w:rPr>
        <w:t>甲方：</w:t>
      </w:r>
      <w:r>
        <w:rPr>
          <w:rFonts w:hint="eastAsia" w:ascii="微软雅黑" w:hAnsi="微软雅黑" w:cs="微软雅黑"/>
          <w:b/>
          <w:sz w:val="21"/>
          <w:szCs w:val="21"/>
          <w:lang w:eastAsia="zh-CN"/>
        </w:rPr>
        <w:t>广州市增城自来水安装工程有限公司</w:t>
      </w:r>
    </w:p>
    <w:p>
      <w:pPr>
        <w:widowControl w:val="0"/>
        <w:spacing w:line="480" w:lineRule="auto"/>
        <w:ind w:left="1680"/>
        <w:rPr>
          <w:rFonts w:hint="eastAsia" w:ascii="微软雅黑" w:hAnsi="微软雅黑" w:eastAsia="微软雅黑" w:cs="微软雅黑"/>
          <w:b/>
          <w:sz w:val="21"/>
          <w:szCs w:val="21"/>
          <w:highlight w:val="lightGray"/>
        </w:rPr>
      </w:pPr>
      <w:r>
        <w:rPr>
          <w:rFonts w:hint="eastAsia" w:ascii="微软雅黑" w:hAnsi="微软雅黑" w:eastAsia="微软雅黑" w:cs="微软雅黑"/>
          <w:b/>
          <w:sz w:val="21"/>
          <w:szCs w:val="21"/>
          <w:highlight w:val="lightGray"/>
        </w:rPr>
        <w:t>乙方：</w:t>
      </w:r>
    </w:p>
    <w:p>
      <w:pPr>
        <w:widowControl w:val="0"/>
        <w:spacing w:line="480" w:lineRule="auto"/>
        <w:ind w:left="1680"/>
        <w:rPr>
          <w:rFonts w:hint="eastAsia" w:ascii="微软雅黑" w:hAnsi="微软雅黑" w:eastAsia="微软雅黑" w:cs="微软雅黑"/>
          <w:b/>
          <w:sz w:val="21"/>
          <w:szCs w:val="21"/>
        </w:rPr>
      </w:pPr>
    </w:p>
    <w:p>
      <w:pPr>
        <w:widowControl w:val="0"/>
        <w:spacing w:line="480" w:lineRule="auto"/>
        <w:ind w:left="168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合同编号：</w:t>
      </w:r>
    </w:p>
    <w:p>
      <w:pPr>
        <w:widowControl w:val="0"/>
        <w:spacing w:line="480" w:lineRule="auto"/>
        <w:ind w:left="168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签约地点：</w:t>
      </w:r>
      <w:r>
        <w:rPr>
          <w:rFonts w:hint="eastAsia" w:ascii="微软雅黑" w:hAnsi="微软雅黑" w:eastAsia="微软雅黑" w:cs="微软雅黑"/>
          <w:b/>
          <w:sz w:val="21"/>
          <w:szCs w:val="21"/>
          <w:u w:val="single"/>
        </w:rPr>
        <w:t>广州市</w:t>
      </w:r>
      <w:r>
        <w:rPr>
          <w:rFonts w:hint="eastAsia" w:ascii="微软雅黑" w:hAnsi="微软雅黑" w:cs="微软雅黑"/>
          <w:b/>
          <w:sz w:val="21"/>
          <w:szCs w:val="21"/>
          <w:u w:val="single"/>
          <w:lang w:eastAsia="zh-CN"/>
        </w:rPr>
        <w:t>增城</w:t>
      </w:r>
      <w:r>
        <w:rPr>
          <w:rFonts w:hint="eastAsia" w:ascii="微软雅黑" w:hAnsi="微软雅黑" w:eastAsia="微软雅黑" w:cs="微软雅黑"/>
          <w:b/>
          <w:sz w:val="21"/>
          <w:szCs w:val="21"/>
          <w:u w:val="single"/>
        </w:rPr>
        <w:t>区</w:t>
      </w:r>
    </w:p>
    <w:p>
      <w:pPr>
        <w:widowControl w:val="0"/>
        <w:spacing w:line="480" w:lineRule="auto"/>
        <w:ind w:left="168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签订日期：       年    月    日</w:t>
      </w:r>
    </w:p>
    <w:p>
      <w:pPr>
        <w:widowControl w:val="0"/>
        <w:jc w:val="center"/>
        <w:rPr>
          <w:rFonts w:hint="eastAsia" w:ascii="微软雅黑" w:hAnsi="微软雅黑" w:eastAsia="微软雅黑" w:cs="微软雅黑"/>
          <w:sz w:val="21"/>
          <w:szCs w:val="21"/>
        </w:rPr>
      </w:pPr>
    </w:p>
    <w:p>
      <w:pPr>
        <w:widowControl w:val="0"/>
        <w:tabs>
          <w:tab w:val="left" w:pos="840"/>
        </w:tabs>
        <w:spacing w:line="360" w:lineRule="auto"/>
        <w:rPr>
          <w:rFonts w:hint="eastAsia" w:ascii="微软雅黑" w:hAnsi="微软雅黑" w:eastAsia="微软雅黑" w:cs="微软雅黑"/>
          <w:sz w:val="21"/>
          <w:szCs w:val="21"/>
        </w:rPr>
        <w:sectPr>
          <w:headerReference r:id="rId7" w:type="default"/>
          <w:footerReference r:id="rId8" w:type="default"/>
          <w:pgSz w:w="11907" w:h="16840"/>
          <w:pgMar w:top="1361" w:right="1757" w:bottom="1361" w:left="1757" w:header="794" w:footer="794" w:gutter="0"/>
          <w:cols w:space="720" w:num="1"/>
          <w:docGrid w:linePitch="285" w:charSpace="0"/>
        </w:sectPr>
      </w:pPr>
    </w:p>
    <w:p>
      <w:pPr>
        <w:widowControl w:val="0"/>
        <w:tabs>
          <w:tab w:val="left" w:pos="840"/>
        </w:tabs>
        <w:spacing w:line="312" w:lineRule="auto"/>
        <w:ind w:firstLine="456"/>
        <w:rPr>
          <w:rFonts w:hint="eastAsia" w:ascii="微软雅黑" w:hAnsi="微软雅黑" w:eastAsia="微软雅黑" w:cs="微软雅黑"/>
          <w:kern w:val="28"/>
          <w:sz w:val="21"/>
          <w:szCs w:val="21"/>
          <w:lang w:eastAsia="zh-CN"/>
        </w:rPr>
      </w:pPr>
      <w:r>
        <w:rPr>
          <w:rFonts w:hint="eastAsia" w:ascii="微软雅黑" w:hAnsi="微软雅黑" w:eastAsia="微软雅黑" w:cs="微软雅黑"/>
          <w:kern w:val="28"/>
          <w:sz w:val="21"/>
          <w:szCs w:val="21"/>
        </w:rPr>
        <w:t>甲方：广州市</w:t>
      </w:r>
      <w:r>
        <w:rPr>
          <w:rFonts w:hint="eastAsia" w:ascii="微软雅黑" w:hAnsi="微软雅黑" w:cs="微软雅黑"/>
          <w:kern w:val="28"/>
          <w:sz w:val="21"/>
          <w:szCs w:val="21"/>
          <w:lang w:eastAsia="zh-CN"/>
        </w:rPr>
        <w:t>增城自来水安装工程有限公司</w:t>
      </w:r>
    </w:p>
    <w:p>
      <w:pPr>
        <w:widowControl w:val="0"/>
        <w:tabs>
          <w:tab w:val="left" w:pos="840"/>
        </w:tabs>
        <w:spacing w:line="312" w:lineRule="auto"/>
        <w:ind w:firstLine="456"/>
        <w:rPr>
          <w:rFonts w:hint="eastAsia" w:ascii="微软雅黑" w:hAnsi="微软雅黑" w:eastAsia="微软雅黑" w:cs="微软雅黑"/>
          <w:kern w:val="28"/>
          <w:sz w:val="21"/>
          <w:szCs w:val="21"/>
        </w:rPr>
      </w:pPr>
      <w:r>
        <w:rPr>
          <w:rFonts w:hint="eastAsia" w:ascii="微软雅黑" w:hAnsi="微软雅黑" w:eastAsia="微软雅黑" w:cs="微软雅黑"/>
          <w:kern w:val="28"/>
          <w:sz w:val="21"/>
          <w:szCs w:val="21"/>
          <w:highlight w:val="lightGray"/>
        </w:rPr>
        <w:t>乙方：</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根据《中华人民共和国民法典》、《中华人民共和国招标投标法》及</w:t>
      </w:r>
      <w:r>
        <w:rPr>
          <w:rFonts w:hint="eastAsia" w:ascii="微软雅黑" w:hAnsi="微软雅黑" w:cs="微软雅黑"/>
          <w:bCs/>
          <w:color w:val="FF0000"/>
          <w:sz w:val="21"/>
          <w:szCs w:val="21"/>
          <w:u w:val="single"/>
          <w:lang w:eastAsia="zh-CN"/>
        </w:rPr>
        <w:t>广州市增城自来水安装工程有限公司2021~2022年度阀门(大口径)采购项目</w:t>
      </w:r>
      <w:r>
        <w:rPr>
          <w:rFonts w:hint="eastAsia" w:ascii="微软雅黑" w:hAnsi="微软雅黑" w:eastAsia="微软雅黑" w:cs="微软雅黑"/>
          <w:sz w:val="21"/>
          <w:szCs w:val="21"/>
        </w:rPr>
        <w:t>的招标结果和招标文件的要求，甲、乙双方经协商一致，为明确双方责任和权利，特签订本合同，以兹共同遵守。</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一、供货范围</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1、采购货物类型：按照《合同附件1》内列示的类型采购，不在列示之内的不属本项目采购范围；</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2、货物价格及参数：价格明细表详见《合同附件1》，关键技术参数详细参阅招标文件。</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3、采购数量：甲方根据实际需求确定每批（次）订货清单及数量，订货清单须有甲方授权代表签字为有效。乙方须按订货清单供货。（实际采购量按甲方需求确定，不受报价表中数量限制）。</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4、货物的质量、技术标准：</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4.1货物的质量满足国家或相关行业最新的强制性质量标准；并具有国家认可机构出具的与每批货物相对应有效期限内的有效质量检验合格报告，无强制性标准的应以样品或双方约定的标准为准（包括图纸、样品等），如相关标准之间存在冲突，按较严的标准执行。图纸及样品必须经双方签认并妥善封存。</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4.2生产厂家：</w:t>
      </w:r>
    </w:p>
    <w:p>
      <w:pPr>
        <w:widowControl w:val="0"/>
        <w:spacing w:line="312" w:lineRule="auto"/>
        <w:ind w:left="482" w:hanging="420" w:hangingChars="20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二、供货期：</w:t>
      </w:r>
      <w:r>
        <w:rPr>
          <w:rFonts w:hint="eastAsia" w:ascii="微软雅黑" w:hAnsi="微软雅黑" w:cs="微软雅黑"/>
          <w:color w:val="FF0000"/>
          <w:sz w:val="21"/>
          <w:szCs w:val="21"/>
          <w:lang w:val="en-US" w:eastAsia="zh-CN"/>
        </w:rPr>
        <w:t>12</w:t>
      </w:r>
      <w:r>
        <w:rPr>
          <w:rFonts w:hint="eastAsia" w:ascii="微软雅黑" w:hAnsi="微软雅黑" w:eastAsia="微软雅黑" w:cs="微软雅黑"/>
          <w:color w:val="FF0000"/>
          <w:sz w:val="21"/>
          <w:szCs w:val="21"/>
        </w:rPr>
        <w:t>个月</w:t>
      </w:r>
      <w:r>
        <w:rPr>
          <w:rFonts w:hint="eastAsia" w:ascii="微软雅黑" w:hAnsi="微软雅黑" w:eastAsia="微软雅黑" w:cs="微软雅黑"/>
          <w:sz w:val="21"/>
          <w:szCs w:val="21"/>
        </w:rPr>
        <w:t>，即    年   月   日至     年   月   日。供货期届满或累计货物结算总额达到合同总价后（先到为准），本合同自然终止。</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三、合同价款</w:t>
      </w:r>
    </w:p>
    <w:p>
      <w:pPr>
        <w:widowControl w:val="0"/>
        <w:spacing w:line="312" w:lineRule="auto"/>
        <w:rPr>
          <w:rFonts w:hint="eastAsia" w:ascii="微软雅黑" w:hAnsi="微软雅黑" w:eastAsia="微软雅黑" w:cs="微软雅黑"/>
          <w:sz w:val="21"/>
          <w:szCs w:val="21"/>
          <w:highlight w:val="yellow"/>
        </w:rPr>
      </w:pPr>
      <w:r>
        <w:rPr>
          <w:rFonts w:hint="eastAsia" w:ascii="微软雅黑" w:hAnsi="微软雅黑" w:eastAsia="微软雅黑" w:cs="微软雅黑"/>
          <w:sz w:val="21"/>
          <w:szCs w:val="21"/>
        </w:rPr>
        <w:t>1、合同总价：</w:t>
      </w:r>
      <w:r>
        <w:rPr>
          <w:rFonts w:hint="eastAsia" w:ascii="微软雅黑" w:hAnsi="微软雅黑" w:eastAsia="微软雅黑" w:cs="微软雅黑"/>
          <w:sz w:val="21"/>
          <w:szCs w:val="21"/>
          <w:highlight w:val="lightGray"/>
        </w:rPr>
        <w:t xml:space="preserve">       元（大写：人民币  ），其中含  %增值税，不含税合同总价为       元。</w:t>
      </w:r>
      <w:r>
        <w:rPr>
          <w:rFonts w:hint="eastAsia" w:ascii="微软雅黑" w:hAnsi="微软雅黑" w:eastAsia="微软雅黑" w:cs="微软雅黑"/>
          <w:sz w:val="21"/>
          <w:szCs w:val="21"/>
        </w:rPr>
        <w:t>本合同结算总额不得超过合同含税总价。</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本合同项下货物含税单价已包含材料费、人工制造费、检验费、包装费、运输费（含运输损耗）、装卸、质保金、交货前仓储费、保险费、利润、税金、售后服务费、质保期保障、不可预见费等货物送到交货地点并经验收合格的全部费用，除按货物单价及数量向乙方计付货款外，甲方无需再向乙方支付任何其他费用。</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3、计价方法：按验收合格的数量乘以相应货物结算单价据实结算。</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4、结算价格：</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4.1按照《价格明细表》（合同附件1）内列示单价进行结算。</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4.2在合同履行期间，如遇国家的税收政策调整，则不含税单价不变，价税合计相应调整，以开具发票的时间为准。</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4.3本合同履行期间，除国家税收政策调整而导致结算单价作出相应调整外，结算单价不再因其他任何因素变化而作出调整。</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5、付款方式：不设预付款，每月按实结算。甲乙双方在每月</w:t>
      </w:r>
      <w:r>
        <w:rPr>
          <w:rFonts w:hint="eastAsia" w:ascii="微软雅黑" w:hAnsi="微软雅黑" w:cs="微软雅黑"/>
          <w:color w:val="FF0000"/>
          <w:sz w:val="21"/>
          <w:szCs w:val="21"/>
          <w:lang w:val="en-US" w:eastAsia="zh-CN"/>
        </w:rPr>
        <w:t>1-10</w:t>
      </w:r>
      <w:r>
        <w:rPr>
          <w:rFonts w:hint="eastAsia" w:ascii="微软雅黑" w:hAnsi="微软雅黑" w:eastAsia="微软雅黑" w:cs="微软雅黑"/>
          <w:color w:val="FF0000"/>
          <w:sz w:val="21"/>
          <w:szCs w:val="21"/>
        </w:rPr>
        <w:t xml:space="preserve"> </w:t>
      </w:r>
      <w:r>
        <w:rPr>
          <w:rFonts w:hint="eastAsia" w:ascii="微软雅黑" w:hAnsi="微软雅黑" w:eastAsia="微软雅黑" w:cs="微软雅黑"/>
          <w:sz w:val="21"/>
          <w:szCs w:val="21"/>
        </w:rPr>
        <w:t>日对上个月的送货量进行清点核实，合同结算以实际验收合格的送货量结算。凭经甲方签字确认的送货清单及乙方开具的增值税专用发票办理结算手续，甲方收到有关结算资料后</w:t>
      </w:r>
      <w:r>
        <w:rPr>
          <w:rFonts w:hint="eastAsia" w:ascii="微软雅黑" w:hAnsi="微软雅黑" w:cs="微软雅黑"/>
          <w:color w:val="FF0000"/>
          <w:sz w:val="21"/>
          <w:szCs w:val="21"/>
          <w:lang w:val="en-US" w:eastAsia="zh-CN"/>
        </w:rPr>
        <w:t>4</w:t>
      </w:r>
      <w:r>
        <w:rPr>
          <w:rFonts w:hint="eastAsia" w:ascii="微软雅黑" w:hAnsi="微软雅黑" w:eastAsia="微软雅黑" w:cs="微软雅黑"/>
          <w:color w:val="FF0000"/>
          <w:sz w:val="21"/>
          <w:szCs w:val="21"/>
        </w:rPr>
        <w:t>0</w:t>
      </w:r>
      <w:r>
        <w:rPr>
          <w:rFonts w:hint="eastAsia" w:ascii="微软雅黑" w:hAnsi="微软雅黑" w:eastAsia="微软雅黑" w:cs="微软雅黑"/>
          <w:sz w:val="21"/>
          <w:szCs w:val="21"/>
        </w:rPr>
        <w:t>个工作日内以银行转帐方式支付上月应付货款全额至乙方指定的以下账户：</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开户行：</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帐户名：</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帐号：</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迟延提供发票及请款资料的，付款时间相应顺延，直至乙方补齐所有请款资料才予以付款，且不视为甲方违约。乙方提供的收款账户名称、发票开票单位名称必须与乙方单位名称一致，否则甲方有权不予支付货款，且不视为甲方违约。</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四、履约保证金</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1、履约保证金的缴交</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1.1合同签订之日起10个工作日内，乙方应向甲方缴交履约保证金（¥20000.00元，大写：人民币贰万元整）至甲方以下指定银行账户：</w:t>
      </w:r>
    </w:p>
    <w:p>
      <w:pPr>
        <w:widowControl w:val="0"/>
        <w:spacing w:line="312" w:lineRule="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户名：</w:t>
      </w:r>
      <w:r>
        <w:rPr>
          <w:rFonts w:hint="eastAsia" w:ascii="微软雅黑" w:hAnsi="微软雅黑" w:eastAsia="微软雅黑" w:cs="微软雅黑"/>
          <w:kern w:val="28"/>
          <w:sz w:val="21"/>
          <w:szCs w:val="21"/>
        </w:rPr>
        <w:t>广州市</w:t>
      </w:r>
      <w:r>
        <w:rPr>
          <w:rFonts w:hint="eastAsia" w:ascii="微软雅黑" w:hAnsi="微软雅黑" w:cs="微软雅黑"/>
          <w:kern w:val="28"/>
          <w:sz w:val="21"/>
          <w:szCs w:val="21"/>
          <w:lang w:eastAsia="zh-CN"/>
        </w:rPr>
        <w:t>增城自来水安装工程有限公司</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开户行：</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账号：</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1.2合同签订之日起10个工作日后，未经甲方书面同意，乙方未按上款约定缴交履约保证金的，乙方须依法承担相应法律责任，并赔偿甲方因此造成的一切损失，甲方有权解除本合同。</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1.3履约保证金用于保证本合同的顺利履行，如乙方出现违约情形需向甲方支付违约金或赔偿金的，必须在10个工作日内以银行转账形式向甲方交付；逾期不交付的，甲方有权直接从履约保证金扣除相应的违约金或赔偿金。当发生违约情形而导致履约保证金被扣除或因其他原因导致履约保证金余额少于20000.00元的，乙方应在收到甲方通知之日起10个工作日内补足，补足后的履约保证金金额应相当于20000.00元，乙方未按时限要求补足的，甲方有权扣除剩余的全部履约保证金并有权解除合同。</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2、履约保证金的退还</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2.1合同终止一年后退还履约保证金，乙方须向甲方提出退还履约保证金的书面申请并提交完整的请款资料，经甲方审批，在乙方没有违约情形或甲方在履约保证金中扣除相应违约金后，甲方于</w:t>
      </w:r>
      <w:r>
        <w:rPr>
          <w:rFonts w:hint="eastAsia" w:ascii="微软雅黑" w:hAnsi="微软雅黑" w:cs="微软雅黑"/>
          <w:sz w:val="21"/>
          <w:szCs w:val="21"/>
          <w:lang w:val="en-US" w:eastAsia="zh-CN"/>
        </w:rPr>
        <w:t>4</w:t>
      </w:r>
      <w:r>
        <w:rPr>
          <w:rFonts w:hint="eastAsia" w:ascii="微软雅黑" w:hAnsi="微软雅黑" w:eastAsia="微软雅黑" w:cs="微软雅黑"/>
          <w:sz w:val="21"/>
          <w:szCs w:val="21"/>
        </w:rPr>
        <w:t>0个工作日内一次性无息退还。</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2.2因不可抗力致使本合同解除的，自合同解除之日起</w:t>
      </w:r>
      <w:r>
        <w:rPr>
          <w:rFonts w:hint="eastAsia" w:ascii="微软雅黑" w:hAnsi="微软雅黑" w:cs="微软雅黑"/>
          <w:sz w:val="21"/>
          <w:szCs w:val="21"/>
          <w:lang w:val="en-US" w:eastAsia="zh-CN"/>
        </w:rPr>
        <w:t>4</w:t>
      </w:r>
      <w:r>
        <w:rPr>
          <w:rFonts w:hint="eastAsia" w:ascii="微软雅黑" w:hAnsi="微软雅黑" w:eastAsia="微软雅黑" w:cs="微软雅黑"/>
          <w:sz w:val="21"/>
          <w:szCs w:val="21"/>
        </w:rPr>
        <w:t>0个工作日内，经乙方申请，甲方须无息退回全额履约保证金。</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五、货物的包装标准</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按国家相关标准或主管部门的规定执行，无相关标准或规定的，采用足以保护货物不受损的包装方式。乙方需确保包装质量，在甲方收货后的保管、装卸、拆包装过程中，如因乙方包装质量缺陷而导致的货物损坏，由乙方负全责。</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六、交货</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交货方法及地点：乙方负责将货物送至甲方指定的具体地点并完成卸货，若乙方未按照甲方指定的地点卸货，发生的二次搬运费用由乙方承担，因此造成逾期交付货物的，乙方须按本合同第十三条第2款约定承担违约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2、交货时间：实际采购数量根据甲方工程需要分批向乙方下单，乙方按合同约定条款供货。甲方下单后，乙方应于</w:t>
      </w:r>
      <w:r>
        <w:rPr>
          <w:rFonts w:hint="eastAsia" w:ascii="微软雅黑" w:hAnsi="微软雅黑" w:cs="微软雅黑"/>
          <w:color w:val="FF0000"/>
          <w:sz w:val="21"/>
          <w:szCs w:val="21"/>
          <w:lang w:val="en-US" w:eastAsia="zh-CN"/>
        </w:rPr>
        <w:t>30</w:t>
      </w:r>
      <w:r>
        <w:rPr>
          <w:rFonts w:hint="eastAsia" w:ascii="微软雅黑" w:hAnsi="微软雅黑" w:eastAsia="微软雅黑" w:cs="微软雅黑"/>
          <w:sz w:val="21"/>
          <w:szCs w:val="21"/>
        </w:rPr>
        <w:t>个日历天内完成该批全部供货，乙方逾期交货的，乙方须按本合同第十三条第2款约定承担违约责任。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下单方式：甲方在本合同约定的供货期限内以纸质或电子形式向乙方发出订货清单（包括但不限于货物的规格型号、数量、送货地址、送货时间、联系人、联系电话等），乙方应自收到甲方订货清单1小时内以纸质或电子形式予以确认，并按订货清单的送货时间按时交货（乙方应于送货前12小时内向甲方发出发货通知，以便甲方作好收货准备）。</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b/>
          <w:sz w:val="21"/>
          <w:szCs w:val="21"/>
        </w:rPr>
        <w:t>七、运输</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1、乙方负责办理货物的运输及按本合同约定或甲方书面通知确定的送货时间将货物运至甲方指定地点，所涉各项运输费、装车费、卸车费等均由乙方承担。</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2、乙方在货物装卸、运输过程中应严格遵守各项法律法规及相关的安全生产制度，由此引起的路桥加固、损毁后修复、行政处罚、人员伤亡、财产损失等与甲方无关，由乙方负责处理并承担法律及经济责任。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乙方应对车辆和驾驶人员购买法定保险和强制保险，做到运输车辆、驾驶员相对固定，无特殊情况，不得变更。驾驶人员严禁超速、超载、酒后驾驶、疲劳驾驶、违章操作等违法行为，运输时遵守国家相关法律法规及甲方的安全生产条款。白天行车时，悬挂标志旗；夜间行车和停车休息时装设标志灯。卸货时做好安全防护，遵守安全生产条款，卸货完成后马上离开，不得在厂区或工地内停留。</w:t>
      </w:r>
    </w:p>
    <w:p>
      <w:pPr>
        <w:widowControl w:val="0"/>
        <w:adjustRightInd/>
        <w:snapToGrid/>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4、运输过程中不得随意停车，需要较长时间停车的，需选择适合的停车区域（不得靠近甲方厂房、居民区等地方威胁公共安全），并在车辆四周设立明显的警示标牌（如警戒带、</w:t>
      </w:r>
      <w:r>
        <w:rPr>
          <w:rFonts w:hint="eastAsia" w:ascii="微软雅黑" w:hAnsi="微软雅黑" w:eastAsia="微软雅黑" w:cs="微软雅黑"/>
          <w:color w:val="000000" w:themeColor="text1"/>
          <w:sz w:val="21"/>
          <w:szCs w:val="21"/>
          <w14:textFill>
            <w14:solidFill>
              <w14:schemeClr w14:val="tx1"/>
            </w14:solidFill>
          </w14:textFill>
        </w:rPr>
        <w:t>护栏、</w:t>
      </w:r>
      <w:r>
        <w:rPr>
          <w:rFonts w:hint="eastAsia" w:ascii="微软雅黑" w:hAnsi="微软雅黑" w:eastAsia="微软雅黑" w:cs="微软雅黑"/>
          <w:sz w:val="21"/>
          <w:szCs w:val="21"/>
        </w:rPr>
        <w:t>标识灯等），并采取相应的安全防范措施，还应向甲方报告相应情况。</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运输车辆依法改装时增加的费用由乙方自行承担。乙方在送货过程中因公安、交警、城管等执法部门规定白天不准行车或晚上城市主干道不准行车带来的不便由乙方自行协调，乙方不得要求追加任何费用，亦不得据此延误交货期。</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八、验收</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货物到现场后甲方对产品的外观及数量进行验收。货到现场时，甲乙双方授权代表共同对货物的外观、数量进行初验，甲方初验合格后在送货清单上签字确认。乙方所送货物未达到本合同和订货清单要求的，甲方有权拒绝接收。如乙方授权代表未配合甲方进行货物初验的，视为乙方同意甲方对货物的初验意见及处理意见。</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2、验收时乙方须随货物提交的附件包括：国家认可机构检验的质量合格报告、合格证书、保修书、安装说明书等。</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货物性能、质量的鉴定：乙方提供之货物（包括配件）的产品质量必须符合国家和行业有关规范和规定。货物的性能质量以交货地国家认可机构或部门出具的检验报告为准，检验费用由乙方承担。甲方收货后，有权对产品进行第三方抽样检验（如物理性能、材质检验），如检验不及格，检验费用由乙方负担，乙方须在接到甲方书面异议后1天内负责处理，否则，即视为乙方同意甲方提出的异议和处理意见。</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乙方保证其提供的货物是完整无损的、未曾作任何用途使用的全新产品。产品应符合产品说明书所述的产品规格及质量标准。甲方接受货物后，在拆除包装后、使用前发现破损或损耗的，或运输到甲方指定地点后在使用前发现有损坏的，甲方有权于24小时内通知乙方进行确认，经确认后属乙方原因（包括运输）的，由乙方在3天内无偿更换。如乙方在接到甲方通知后24小时内未能书面确认的，视为乙方认可甲方提出的货物质量异议并同意无偿更换，货物更换前的保管费用由乙方承担。非乙方产品质量或运输原因造成的破损由甲方负责。</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5、甲方对货物的验收、认可，不免除乙方对货物质量缺陷应承担的责任。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sz w:val="21"/>
          <w:szCs w:val="21"/>
        </w:rPr>
        <w:t>6、甲方有权对货物进行生产期间及发货前的监造及质量检查，甲方有权组织人员（不超过6人）到制造厂检查制造工艺、原材料质量、物理性能、产品质量和生产进度，并参加产品出厂试验（但不作为验收）等工作。乙方应为甲方进行上述检查提供便利条件，由此发生的费用由乙方承担。</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九、质量保证</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1、乙方货物的质量保证期为贰年，均自甲方接收当批货物并验收合格之日起计。质保期内，乙方提供的所有服务免费（甲方人为故意损坏引起的情形除外）。</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2、如乙方所承诺的质量保证期，低于本合同签订时国家强制性法律法规或相关行业中所定的最低质量保证期限，则乙方的质保责任按照国家强制性法律法规或相关行业中所规定的最低质量保证期限执行。</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在质量保证期内，凡属乙方货物质量缺陷的，乙方必须进行更换且承担一切费用（包括但不限于所需的更换人工及材料等费用）；如属使用不当造成的问题，乙方仍应及时负责修复或更换，费用由责任方承担。</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质量保证期内，乙方接到甲方书面通知后，须在3天内提供更换货物，否则甲方有权委托第三方予以解决，由此产生的一切费用由乙方承担,甲方有权直接从应付未付货款或履约保证金中相应扣除。货款或履约保证金不足以抵扣维修或更换费用的，甲方有权向乙方对差额部分进行追索。甲方委托第三方进行维修的，有权只提供第三方出具的正式发票复印件给乙方，维修并不免除乙方对其货物所应承担的质量保证责任。如发生重大损坏，在设备更换或维修正常工作后相应延长质保期。</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5、对质量缺陷有争议的，甲、乙双方均可委托权威部门（中心）进行鉴定，鉴定费用由责任方承担，若属于乙方质量责任，乙方须对因质量缺陷给甲方或第三人造成的损失进行赔偿。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6、因合同解除而导致乙方中途停止供货的，对合同解除前所供的货物，乙方仍应承担质量保证责任。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十、所有权和风险转移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1、甲乙双方验收确认货物合格并交付甲方时起，货物所有权转移至甲方。</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2、货物的毁损灭失风险：在甲乙双方验收确认货物合格并交付甲方前，由乙方承担；验收确认货物合格并交付甲方后，由甲方承担。</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3、货物损坏、灭失风险转移给甲方后，并不能免除乙方按本合同约定所应承担的产品质量责任以及保修、维护的义务。</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4、所有权和风险的转移，不影响因乙方不按本合同约定履行义务时，甲方要求其承担违约责任的权利。</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十一、禁止转让、分包、贴牌生产</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乙方不得将其在合同中的任何义务全部或部分转让或分包给第三人。乙方必须是所供货物的最终制造厂家（即所供货物必须在乙方的生产制造车间装配、检验出厂），不得提供贴牌产品，否则甲方有权解除本合同，并按本合同约定追究乙方的违约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十二、知识产权</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确认对所提供之货物具有完全的所有权及不存在侵害第三方任何权利的情况。如因甲方购买乙方货物，造成对任何专利权、商标权、著作权、名称权或其它受保护之权利的侵犯，则所引起的一切索赔和诉讼由乙方承担责任并负责支付一切损害赔偿费、诉讼费和其它费用，如甲方因此须向第三方支付赔偿费用的，则甲方有权在支付费用后向乙方追偿。</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十三、甲乙双方权利义务</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甲方有权对货物进行抽样检验（如物理性能、材质检验），发现货物质量不合格的，乙方可送有资质的第三方检验机构复检一次，检验费用由乙方负担，如复检仍不合格的，甲方有权拒付货款及解除合同，同时乙方需向甲方支付相当于本合同总价20%的违约金，若违约金不足以赔偿甲方损失的，乙方须按甲方损失进行赔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乙方逾期交货的，每逾期一天，应按该批（次）货物总金额的3‰向甲方支付违约金，并承担甲方因此所受的损失费用，逾期交货部分影响整批（次）货物使用的，则乙方须按整批（次）货物货款20%支付违约金。乙方逾期交货达</w:t>
      </w:r>
      <w:r>
        <w:rPr>
          <w:rFonts w:hint="eastAsia" w:ascii="微软雅黑" w:hAnsi="微软雅黑" w:cs="微软雅黑"/>
          <w:color w:val="FF0000"/>
          <w:sz w:val="21"/>
          <w:szCs w:val="21"/>
          <w:lang w:val="en-US" w:eastAsia="zh-CN"/>
        </w:rPr>
        <w:t>30</w:t>
      </w:r>
      <w:r>
        <w:rPr>
          <w:rFonts w:hint="eastAsia" w:ascii="微软雅黑" w:hAnsi="微软雅黑" w:eastAsia="微软雅黑" w:cs="微软雅黑"/>
          <w:sz w:val="21"/>
          <w:szCs w:val="21"/>
        </w:rPr>
        <w:t>个日历天以上（含</w:t>
      </w:r>
      <w:r>
        <w:rPr>
          <w:rFonts w:hint="eastAsia" w:ascii="微软雅黑" w:hAnsi="微软雅黑" w:cs="微软雅黑"/>
          <w:color w:val="FF0000"/>
          <w:sz w:val="21"/>
          <w:szCs w:val="21"/>
          <w:lang w:val="en-US" w:eastAsia="zh-CN"/>
        </w:rPr>
        <w:t>30</w:t>
      </w:r>
      <w:r>
        <w:rPr>
          <w:rFonts w:hint="eastAsia" w:ascii="微软雅黑" w:hAnsi="微软雅黑" w:eastAsia="微软雅黑" w:cs="微软雅黑"/>
          <w:sz w:val="21"/>
          <w:szCs w:val="21"/>
        </w:rPr>
        <w:t>个日历天）的，甲方有权单方解除合同，并要求乙方向甲方支付合同总价10%作为违约金。若上述违约金不足以赔偿甲方损失的，甲方有权继续向乙方追偿。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3、乙方如有违反本合同第九条、第十一条行为的，甲方有权单方解除本合同，同时，乙方按本合同总价的20%向甲方支付违约金。若因此给甲方造成损失的，乙方应承担赔偿责任。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4、本合同签订后，乙方无法定或约定理由提出解除合同，或以自己的行为表明解除合同的，乙方应向甲方支付合同总价20%的违约金，并赔偿甲方损失。</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5、乙方提交的发票必须真实、合法、有效。若乙方提交虚假发票的，甲方有权拒付货款及解除合同，同时乙方需向甲方支付相当于本合同总价20%的违约金，甲方有权通过法律途径追究乙方相关责任。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乙方供应的货物质量不符合本合同约定标准的（包括但不限于货物瑕疵、货物质量不合格或未达标、货物无法正常使用等问题），乙方应当立即进行更换，因此造成迟延交付的，乙方须按本合同第十三条第2款约定承担违约责任。乙方更换货物后仍不符合本合同约定的，甲方有权退货，单方面解除合同并要求乙方返还该部分货物甲方已付款项，同时乙方应向甲方支付合同总价的20%的违约金，若给甲方造成损失的，乙方应承担赔偿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7、货物在使用过程中发生属于乙方供应货物质量责任事故（如货物析出物质污染水质，出水水质不符合《生活饮用水卫生标准》（GB5749-2006）的要求等），由乙方承担因此发生的全部更换、修复等费用，并赔偿由此给甲方或第三方受到的全部经济损失，同时乙方应向甲方支付本合同总价20%的违约金。如因此造成甲方须向第三方支付赔偿费用的，甲方有权在向第三方支付款项后向乙方追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8、因乙方原因导致解除合同的，甲方有权不接受乙方参与甲方下一年度的采购、招标活动，乙方对此不持任何异议。</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9、合同履行期间，乙方应严格遵守各项法律法规及甲方有关安全管理方面的制度和规定，加强安全教育，做好安全防护措施，做到安全管理“三问七不准”。乙方未能遵守法律法规或安全生产规定而导致的财产损失、人员伤亡或其它相关责任，由乙方承担，并赔偿甲方因此遭受的经济损失；甲方有权终止合同，且甲方有权要求乙方支付合同总价20%的违约金。</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10、甲方应按合同约定期限及时支付货款。甲方未按本合同约定的期限付款的，乙方可向甲方发出书面的催款通知，甲方在收到催款通知后30个工作日内未付款的，自收到催款通知之日起每日向乙方支付当期应付未付款项的3‰作为违约金。该违约金以当期应付未付款项的5%为上限。</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十四、售后服务</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所提供的货物如发生故障须抢修，必须在接到甲方通知后2小时内到现场进行处理，直至抢修完成。在接到甲方其它需求通知时，需做到2小时内答复，4小时内到现场进行处理，直至达到甲方需求为止。所提供的货物因质量问题导致甲方损失（不限于水量损失）及被第三方追究责任的，乙方须按实际损失金额支付赔偿。如乙方未能于限时内答复或到达现场的，则甲方有权另行委托第三方进行抢修，所产生的费用及因此造成甲方的损失由乙方承担，如上述情况出现三次的，则甲方有权单方解除合同，并要求乙方按合同总价的10%支付违约金。</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十五、不可抗力</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甲乙双方任何一方由于不可抗力的原因不能履行合同时，应及时向对方通报不能履行或不能完全履行的理由，以减轻可能给对方造成的损失，在取得有关机构证明以后，允许延期履行、部分履行或者不履行合同，并根据情况可部分或全部免予承担违约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十六、其它约定</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1、若甲方人员有索贿或其他不公行为，乙方有权举报。</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按本合同约定应该偿付的违约金、赔偿金和各种经济损失，乙方应当在明确责任后10个工作日内付清，否则按逾期付款处理。乙方依本合同应支付的上述款项，甲方有权在货款或履约保证金中相应抵扣。货款或履约保证金不足以抵扣或者没有货款抵扣的，乙方应在10个工作日内向甲方付清上述款项不足部分。</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3、甲方委派         为甲方授权代表，负责甲方合同履行的工作。</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4、乙方委派         为乙方授权代表，负责乙方合同履行的工作。</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5、如授权代表有变动时，甲乙双方均须以书面形式通知对方。</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6、甲方的通讯地址为：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邮政编码为：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乙方的通讯地址为：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邮政编码为：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甲乙双方应按上述地址向对方送达有关信函文件。</w:t>
      </w:r>
      <w:r>
        <w:rPr>
          <w:rFonts w:hint="eastAsia" w:ascii="微软雅黑" w:hAnsi="微软雅黑" w:eastAsia="微软雅黑" w:cs="微软雅黑"/>
          <w:color w:val="000000"/>
          <w:sz w:val="21"/>
          <w:szCs w:val="21"/>
          <w:shd w:val="clear" w:color="auto" w:fill="FFFFFF"/>
        </w:rPr>
        <w:t>任何一方变更上述地址均须书面通知对方，否则仍以上述地址为通信地址，因一方通信地址变更、错误导致另一方的信函文件无法或及时送达的，由此造成的一切责任和后果均由该方承担。</w:t>
      </w:r>
    </w:p>
    <w:p>
      <w:pPr>
        <w:widowControl w:val="0"/>
        <w:numPr>
          <w:ilvl w:val="0"/>
          <w:numId w:val="21"/>
        </w:numPr>
        <w:spacing w:line="312" w:lineRule="auto"/>
        <w:rPr>
          <w:rFonts w:hint="eastAsia" w:ascii="微软雅黑" w:hAnsi="微软雅黑" w:eastAsia="微软雅黑" w:cs="微软雅黑"/>
          <w:color w:val="000000"/>
          <w:sz w:val="21"/>
          <w:szCs w:val="21"/>
          <w:shd w:val="clear" w:color="auto" w:fill="FFFFFF"/>
        </w:rPr>
      </w:pPr>
      <w:r>
        <w:rPr>
          <w:rFonts w:hint="eastAsia" w:ascii="微软雅黑" w:hAnsi="微软雅黑" w:eastAsia="微软雅黑" w:cs="微软雅黑"/>
          <w:color w:val="000000"/>
          <w:sz w:val="21"/>
          <w:szCs w:val="21"/>
          <w:shd w:val="clear" w:color="auto" w:fill="FFFFFF"/>
        </w:rPr>
        <w:t>本合同未尽事宜，甲、乙双方协商一致后可签订补充协议，补充协议与本合同具有同等法律效力。</w:t>
      </w:r>
    </w:p>
    <w:p>
      <w:pPr>
        <w:widowControl w:val="0"/>
        <w:numPr>
          <w:ilvl w:val="0"/>
          <w:numId w:val="21"/>
        </w:numPr>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合同履行期间，如双方发生争议，应尽最大的努力友好地进行协商解决。若协商不能解决，则任何一方均可向甲方所在地人民法院提起诉讼，违约方应负担由此产生的包括但不限于诉讼费、律师费、交通食宿等一切费用。</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9、本合同一式七份，甲方执五份，乙方执两份，均具有同等法律效力，自双方法定代表人或授权代表均签名、盖章之日起生效。</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10、合同附件（合同附件是本合同不可分割部分，与本合同具有同等法律效力）：</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附件1-价格明细表；</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附件2-技术要求；</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附件3-中标通知书；</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附件4-廉政协议书。</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甲方：                       乙方：</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法定代表人/授权代表：        法定代表人/授权代表：</w:t>
      </w:r>
    </w:p>
    <w:p>
      <w:pPr>
        <w:outlineLvl w:val="9"/>
        <w:rPr>
          <w:rFonts w:hint="default"/>
          <w:lang w:val="en-US" w:eastAsia="zh-CN"/>
        </w:rPr>
      </w:pPr>
      <w:r>
        <w:rPr>
          <w:rFonts w:hint="eastAsia" w:ascii="微软雅黑" w:hAnsi="微软雅黑" w:eastAsia="微软雅黑" w:cs="微软雅黑"/>
          <w:b w:val="0"/>
          <w:bCs w:val="0"/>
          <w:sz w:val="21"/>
          <w:szCs w:val="21"/>
          <w:lang w:eastAsia="zh-CN"/>
        </w:rPr>
        <w:t>经办人：</w:t>
      </w:r>
      <w:r>
        <w:rPr>
          <w:rFonts w:hint="eastAsia" w:ascii="微软雅黑" w:hAnsi="微软雅黑" w:eastAsia="微软雅黑" w:cs="微软雅黑"/>
          <w:b w:val="0"/>
          <w:bCs w:val="0"/>
          <w:sz w:val="21"/>
          <w:szCs w:val="21"/>
          <w:lang w:val="en-US" w:eastAsia="zh-CN"/>
        </w:rPr>
        <w:t xml:space="preserve">                       经办人：</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签订日期：                   签订日期：</w:t>
      </w:r>
    </w:p>
    <w:p/>
    <w:p>
      <w:pPr>
        <w:spacing w:line="220" w:lineRule="atLeast"/>
      </w:pPr>
    </w:p>
    <w:p/>
    <w:p/>
    <w:p/>
    <w:sectPr>
      <w:headerReference r:id="rId9" w:type="default"/>
      <w:footerReference r:id="rId10"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66</w:t>
    </w:r>
    <w:r>
      <w:rPr>
        <w:b/>
        <w:sz w:val="24"/>
        <w:szCs w:val="24"/>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35</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66</w:t>
    </w:r>
    <w:r>
      <w:rPr>
        <w:b/>
        <w:sz w:val="24"/>
        <w:szCs w:val="24"/>
      </w:rPr>
      <w:fldChar w:fldCharType="end"/>
    </w:r>
  </w:p>
  <w:p>
    <w:pPr>
      <w:pStyle w:val="12"/>
      <w:tabs>
        <w:tab w:val="left" w:pos="5715"/>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904582"/>
    </w:sdtPr>
    <w:sdtContent>
      <w:sdt>
        <w:sdtPr>
          <w:id w:val="-1669238322"/>
        </w:sdtPr>
        <w:sdtContent>
          <w:p>
            <w:pPr>
              <w:pStyle w:val="12"/>
              <w:jc w:val="center"/>
              <w:rPr>
                <w:rStyle w:val="20"/>
                <w:rFonts w:ascii="宋体" w:hAnsi="宋体"/>
              </w:rPr>
            </w:pP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b/>
        <w:bCs/>
        <w:sz w:val="24"/>
        <w:szCs w:val="24"/>
      </w:rPr>
      <w:fldChar w:fldCharType="begin"/>
    </w:r>
    <w:r>
      <w:rPr>
        <w:b/>
        <w:bCs/>
      </w:rPr>
      <w:instrText xml:space="preserve">PAGE</w:instrText>
    </w:r>
    <w:r>
      <w:rPr>
        <w:b/>
        <w:bCs/>
        <w:sz w:val="24"/>
        <w:szCs w:val="24"/>
      </w:rPr>
      <w:fldChar w:fldCharType="separate"/>
    </w:r>
    <w:r>
      <w:rPr>
        <w:b/>
        <w:bCs/>
      </w:rPr>
      <w:t>66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66</w:t>
    </w:r>
    <w:r>
      <w:rPr>
        <w:b/>
        <w:bCs/>
        <w:sz w:val="24"/>
        <w:szCs w:val="24"/>
      </w:rPr>
      <w:fldChar w:fldCharType="end"/>
    </w:r>
  </w:p>
  <w:p>
    <w:pPr>
      <w:pStyle w:val="12"/>
      <w:tabs>
        <w:tab w:val="left" w:pos="0"/>
        <w:tab w:val="left" w:pos="8100"/>
        <w:tab w:val="clear" w:pos="4153"/>
      </w:tabs>
      <w:ind w:right="360"/>
      <w:jc w:val="center"/>
      <w:rPr>
        <w:rStyle w:val="20"/>
        <w:rFonts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9F386"/>
    <w:multiLevelType w:val="singleLevel"/>
    <w:tmpl w:val="8129F386"/>
    <w:lvl w:ilvl="0" w:tentative="0">
      <w:start w:val="1"/>
      <w:numFmt w:val="decimal"/>
      <w:lvlText w:val="%1."/>
      <w:lvlJc w:val="left"/>
      <w:pPr>
        <w:ind w:left="425" w:hanging="425"/>
      </w:pPr>
      <w:rPr>
        <w:rFonts w:hint="default"/>
      </w:rPr>
    </w:lvl>
  </w:abstractNum>
  <w:abstractNum w:abstractNumId="1">
    <w:nsid w:val="849DBD9C"/>
    <w:multiLevelType w:val="singleLevel"/>
    <w:tmpl w:val="849DBD9C"/>
    <w:lvl w:ilvl="0" w:tentative="0">
      <w:start w:val="2"/>
      <w:numFmt w:val="decimal"/>
      <w:suff w:val="space"/>
      <w:lvlText w:val="%1、"/>
      <w:lvlJc w:val="left"/>
    </w:lvl>
  </w:abstractNum>
  <w:abstractNum w:abstractNumId="2">
    <w:nsid w:val="9D487ABE"/>
    <w:multiLevelType w:val="singleLevel"/>
    <w:tmpl w:val="9D487ABE"/>
    <w:lvl w:ilvl="0" w:tentative="0">
      <w:start w:val="4"/>
      <w:numFmt w:val="decimal"/>
      <w:suff w:val="nothing"/>
      <w:lvlText w:val="%1、"/>
      <w:lvlJc w:val="left"/>
    </w:lvl>
  </w:abstractNum>
  <w:abstractNum w:abstractNumId="3">
    <w:nsid w:val="B93DAA70"/>
    <w:multiLevelType w:val="singleLevel"/>
    <w:tmpl w:val="B93DAA70"/>
    <w:lvl w:ilvl="0" w:tentative="0">
      <w:start w:val="4"/>
      <w:numFmt w:val="decimal"/>
      <w:suff w:val="space"/>
      <w:lvlText w:val="%1、"/>
      <w:lvlJc w:val="left"/>
    </w:lvl>
  </w:abstractNum>
  <w:abstractNum w:abstractNumId="4">
    <w:nsid w:val="CE6CBE2C"/>
    <w:multiLevelType w:val="singleLevel"/>
    <w:tmpl w:val="CE6CBE2C"/>
    <w:lvl w:ilvl="0" w:tentative="0">
      <w:start w:val="1"/>
      <w:numFmt w:val="decimal"/>
      <w:suff w:val="nothing"/>
      <w:lvlText w:val="%1、"/>
      <w:lvlJc w:val="left"/>
    </w:lvl>
  </w:abstractNum>
  <w:abstractNum w:abstractNumId="5">
    <w:nsid w:val="D43A3F40"/>
    <w:multiLevelType w:val="singleLevel"/>
    <w:tmpl w:val="D43A3F40"/>
    <w:lvl w:ilvl="0" w:tentative="0">
      <w:start w:val="7"/>
      <w:numFmt w:val="decimal"/>
      <w:suff w:val="nothing"/>
      <w:lvlText w:val="%1、"/>
      <w:lvlJc w:val="left"/>
    </w:lvl>
  </w:abstractNum>
  <w:abstractNum w:abstractNumId="6">
    <w:nsid w:val="00000002"/>
    <w:multiLevelType w:val="multilevel"/>
    <w:tmpl w:val="00000002"/>
    <w:lvl w:ilvl="0" w:tentative="0">
      <w:start w:val="1"/>
      <w:numFmt w:val="decimal"/>
      <w:lvlText w:val="%1."/>
      <w:lvlJc w:val="left"/>
      <w:pPr>
        <w:tabs>
          <w:tab w:val="left" w:pos="780"/>
        </w:tabs>
        <w:ind w:left="78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0A"/>
    <w:multiLevelType w:val="multilevel"/>
    <w:tmpl w:val="0000000A"/>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hint="eastAsia" w:ascii="宋体" w:hAnsi="宋体" w:eastAsia="宋体" w:cs="Times New Roman"/>
        <w:b w:val="0"/>
        <w:strike w:val="0"/>
        <w:dstrike w:val="0"/>
        <w:sz w:val="21"/>
        <w:szCs w:val="21"/>
        <w:u w:val="none"/>
      </w:r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8">
    <w:nsid w:val="0000000D"/>
    <w:multiLevelType w:val="multilevel"/>
    <w:tmpl w:val="0000000D"/>
    <w:lvl w:ilvl="0" w:tentative="0">
      <w:start w:val="1"/>
      <w:numFmt w:val="bullet"/>
      <w:lvlText w:val=""/>
      <w:lvlJc w:val="left"/>
      <w:pPr>
        <w:tabs>
          <w:tab w:val="left" w:pos="958"/>
        </w:tabs>
        <w:ind w:left="958" w:hanging="420"/>
      </w:pPr>
      <w:rPr>
        <w:rFonts w:hint="default" w:ascii="Wingdings" w:hAnsi="Wingdings"/>
      </w:rPr>
    </w:lvl>
    <w:lvl w:ilvl="1" w:tentative="0">
      <w:start w:val="1"/>
      <w:numFmt w:val="bullet"/>
      <w:lvlText w:val=""/>
      <w:lvlJc w:val="left"/>
      <w:pPr>
        <w:tabs>
          <w:tab w:val="left" w:pos="1378"/>
        </w:tabs>
        <w:ind w:left="1378" w:hanging="420"/>
      </w:pPr>
      <w:rPr>
        <w:rFonts w:hint="default" w:ascii="Wingdings" w:hAnsi="Wingdings"/>
      </w:rPr>
    </w:lvl>
    <w:lvl w:ilvl="2" w:tentative="0">
      <w:start w:val="1"/>
      <w:numFmt w:val="bullet"/>
      <w:lvlText w:val=""/>
      <w:lvlJc w:val="left"/>
      <w:pPr>
        <w:tabs>
          <w:tab w:val="left" w:pos="1798"/>
        </w:tabs>
        <w:ind w:left="1798" w:hanging="420"/>
      </w:pPr>
      <w:rPr>
        <w:rFonts w:hint="default" w:ascii="Wingdings" w:hAnsi="Wingdings"/>
      </w:rPr>
    </w:lvl>
    <w:lvl w:ilvl="3" w:tentative="0">
      <w:start w:val="1"/>
      <w:numFmt w:val="bullet"/>
      <w:lvlText w:val=""/>
      <w:lvlJc w:val="left"/>
      <w:pPr>
        <w:tabs>
          <w:tab w:val="left" w:pos="2218"/>
        </w:tabs>
        <w:ind w:left="2218" w:hanging="420"/>
      </w:pPr>
      <w:rPr>
        <w:rFonts w:hint="default" w:ascii="Wingdings" w:hAnsi="Wingdings"/>
      </w:rPr>
    </w:lvl>
    <w:lvl w:ilvl="4" w:tentative="0">
      <w:start w:val="1"/>
      <w:numFmt w:val="bullet"/>
      <w:lvlText w:val=""/>
      <w:lvlJc w:val="left"/>
      <w:pPr>
        <w:tabs>
          <w:tab w:val="left" w:pos="2638"/>
        </w:tabs>
        <w:ind w:left="2638" w:hanging="420"/>
      </w:pPr>
      <w:rPr>
        <w:rFonts w:hint="default" w:ascii="Wingdings" w:hAnsi="Wingdings"/>
      </w:rPr>
    </w:lvl>
    <w:lvl w:ilvl="5" w:tentative="0">
      <w:start w:val="1"/>
      <w:numFmt w:val="bullet"/>
      <w:lvlText w:val=""/>
      <w:lvlJc w:val="left"/>
      <w:pPr>
        <w:tabs>
          <w:tab w:val="left" w:pos="3058"/>
        </w:tabs>
        <w:ind w:left="3058" w:hanging="420"/>
      </w:pPr>
      <w:rPr>
        <w:rFonts w:hint="default" w:ascii="Wingdings" w:hAnsi="Wingdings"/>
      </w:rPr>
    </w:lvl>
    <w:lvl w:ilvl="6" w:tentative="0">
      <w:start w:val="1"/>
      <w:numFmt w:val="bullet"/>
      <w:lvlText w:val=""/>
      <w:lvlJc w:val="left"/>
      <w:pPr>
        <w:tabs>
          <w:tab w:val="left" w:pos="3478"/>
        </w:tabs>
        <w:ind w:left="3478" w:hanging="420"/>
      </w:pPr>
      <w:rPr>
        <w:rFonts w:hint="default" w:ascii="Wingdings" w:hAnsi="Wingdings"/>
      </w:rPr>
    </w:lvl>
    <w:lvl w:ilvl="7" w:tentative="0">
      <w:start w:val="1"/>
      <w:numFmt w:val="bullet"/>
      <w:lvlText w:val=""/>
      <w:lvlJc w:val="left"/>
      <w:pPr>
        <w:tabs>
          <w:tab w:val="left" w:pos="3898"/>
        </w:tabs>
        <w:ind w:left="3898" w:hanging="420"/>
      </w:pPr>
      <w:rPr>
        <w:rFonts w:hint="default" w:ascii="Wingdings" w:hAnsi="Wingdings"/>
      </w:rPr>
    </w:lvl>
    <w:lvl w:ilvl="8" w:tentative="0">
      <w:start w:val="1"/>
      <w:numFmt w:val="bullet"/>
      <w:lvlText w:val=""/>
      <w:lvlJc w:val="left"/>
      <w:pPr>
        <w:tabs>
          <w:tab w:val="left" w:pos="4318"/>
        </w:tabs>
        <w:ind w:left="4318" w:hanging="420"/>
      </w:pPr>
      <w:rPr>
        <w:rFonts w:hint="default" w:ascii="Wingdings" w:hAnsi="Wingdings"/>
      </w:rPr>
    </w:lvl>
  </w:abstractNum>
  <w:abstractNum w:abstractNumId="9">
    <w:nsid w:val="00000011"/>
    <w:multiLevelType w:val="multilevel"/>
    <w:tmpl w:val="00000011"/>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2"/>
    <w:multiLevelType w:val="multilevel"/>
    <w:tmpl w:val="00000012"/>
    <w:lvl w:ilvl="0" w:tentative="0">
      <w:start w:val="1"/>
      <w:numFmt w:val="decimal"/>
      <w:lvlText w:val="格式%1"/>
      <w:lvlJc w:val="left"/>
      <w:pPr>
        <w:tabs>
          <w:tab w:val="left" w:pos="425"/>
        </w:tabs>
        <w:ind w:left="425" w:hanging="425"/>
      </w:pPr>
      <w:rPr>
        <w:rFonts w:hint="eastAsia" w:ascii="黑体" w:hAnsi="Times New Roman" w:eastAsia="黑体"/>
        <w:b w:val="0"/>
        <w:color w:val="auto"/>
        <w:sz w:val="28"/>
        <w:szCs w:val="28"/>
        <w:lang w:val="en-US"/>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571"/>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314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4351"/>
        </w:tabs>
        <w:ind w:left="3827" w:hanging="1276"/>
      </w:pPr>
    </w:lvl>
    <w:lvl w:ilvl="7" w:tentative="0">
      <w:start w:val="1"/>
      <w:numFmt w:val="decimal"/>
      <w:lvlText w:val="%1.%2.%3.%4.%5.%6.%7.%8"/>
      <w:lvlJc w:val="left"/>
      <w:pPr>
        <w:tabs>
          <w:tab w:val="left" w:pos="5136"/>
        </w:tabs>
        <w:ind w:left="4394" w:hanging="1418"/>
      </w:pPr>
    </w:lvl>
    <w:lvl w:ilvl="8" w:tentative="0">
      <w:start w:val="1"/>
      <w:numFmt w:val="decimal"/>
      <w:lvlText w:val="%1.%2.%3.%4.%5.%6.%7.%8.%9"/>
      <w:lvlJc w:val="left"/>
      <w:pPr>
        <w:tabs>
          <w:tab w:val="left" w:pos="5562"/>
        </w:tabs>
        <w:ind w:left="5102" w:hanging="1700"/>
      </w:pPr>
    </w:lvl>
  </w:abstractNum>
  <w:abstractNum w:abstractNumId="11">
    <w:nsid w:val="00000015"/>
    <w:multiLevelType w:val="multilevel"/>
    <w:tmpl w:val="00000015"/>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6"/>
    <w:multiLevelType w:val="multilevel"/>
    <w:tmpl w:val="00000016"/>
    <w:lvl w:ilvl="0" w:tentative="0">
      <w:start w:val="1"/>
      <w:numFmt w:val="decimal"/>
      <w:lvlText w:val="%1"/>
      <w:lvlJc w:val="center"/>
      <w:pPr>
        <w:tabs>
          <w:tab w:val="left" w:pos="142"/>
        </w:tabs>
        <w:ind w:left="142"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17"/>
    <w:multiLevelType w:val="multilevel"/>
    <w:tmpl w:val="00000017"/>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hint="eastAsia" w:ascii="宋体" w:hAnsi="宋体" w:eastAsia="宋体" w:cs="Times New Roman"/>
        <w:b w:val="0"/>
        <w:strike w:val="0"/>
        <w:dstrike w:val="0"/>
        <w:u w:val="none"/>
      </w:rPr>
    </w:lvl>
    <w:lvl w:ilvl="2" w:tentative="0">
      <w:start w:val="1"/>
      <w:numFmt w:val="decimal"/>
      <w:lvlText w:val="%1.%2.%3"/>
      <w:lvlJc w:val="left"/>
      <w:pPr>
        <w:tabs>
          <w:tab w:val="left" w:pos="851"/>
        </w:tabs>
        <w:ind w:left="851" w:hanging="851"/>
      </w:pPr>
      <w:rPr>
        <w:rFonts w:hint="default" w:ascii="Times New Roman" w:hAnsi="Times New Roman" w:eastAsia="宋体" w:cs="Times New Roman"/>
        <w:sz w:val="24"/>
        <w:szCs w:val="24"/>
      </w:rPr>
    </w:lvl>
    <w:lvl w:ilvl="3" w:tentative="0">
      <w:start w:val="1"/>
      <w:numFmt w:val="decimal"/>
      <w:lvlText w:val="%1.%2.%3.%4"/>
      <w:lvlJc w:val="left"/>
      <w:pPr>
        <w:tabs>
          <w:tab w:val="left" w:pos="851"/>
        </w:tabs>
        <w:ind w:left="851" w:hanging="851"/>
      </w:pPr>
      <w:rPr>
        <w:strike w:val="0"/>
        <w:dstrike w:val="0"/>
        <w:u w:val="none"/>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4">
    <w:nsid w:val="00000019"/>
    <w:multiLevelType w:val="multilevel"/>
    <w:tmpl w:val="00000019"/>
    <w:lvl w:ilvl="0" w:tentative="0">
      <w:start w:val="1"/>
      <w:numFmt w:val="decimal"/>
      <w:lvlText w:val="%1"/>
      <w:lvlJc w:val="center"/>
      <w:pPr>
        <w:tabs>
          <w:tab w:val="left" w:pos="142"/>
        </w:tabs>
        <w:ind w:left="182"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1B"/>
    <w:multiLevelType w:val="multilevel"/>
    <w:tmpl w:val="0000001B"/>
    <w:lvl w:ilvl="0" w:tentative="0">
      <w:start w:val="1"/>
      <w:numFmt w:val="decimal"/>
      <w:lvlText w:val="%1."/>
      <w:lvlJc w:val="left"/>
      <w:pPr>
        <w:tabs>
          <w:tab w:val="left" w:pos="425"/>
        </w:tabs>
        <w:ind w:left="425" w:hanging="425"/>
      </w:pPr>
      <w:rPr>
        <w:rFonts w:hint="eastAsia" w:ascii="宋体" w:hAnsi="宋体" w:eastAsia="宋体"/>
        <w:b/>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微软雅黑" w:hAnsi="微软雅黑" w:eastAsia="微软雅黑"/>
        <w:b w:val="0"/>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6">
    <w:nsid w:val="1E211F95"/>
    <w:multiLevelType w:val="multilevel"/>
    <w:tmpl w:val="1E211F95"/>
    <w:lvl w:ilvl="0" w:tentative="0">
      <w:start w:val="9"/>
      <w:numFmt w:val="decimal"/>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FC97B77"/>
    <w:multiLevelType w:val="singleLevel"/>
    <w:tmpl w:val="1FC97B77"/>
    <w:lvl w:ilvl="0" w:tentative="0">
      <w:start w:val="3"/>
      <w:numFmt w:val="decimal"/>
      <w:suff w:val="space"/>
      <w:lvlText w:val="%1、"/>
      <w:lvlJc w:val="left"/>
    </w:lvl>
  </w:abstractNum>
  <w:abstractNum w:abstractNumId="18">
    <w:nsid w:val="52039A52"/>
    <w:multiLevelType w:val="singleLevel"/>
    <w:tmpl w:val="52039A52"/>
    <w:lvl w:ilvl="0" w:tentative="0">
      <w:start w:val="2"/>
      <w:numFmt w:val="decimal"/>
      <w:suff w:val="nothing"/>
      <w:lvlText w:val="%1、"/>
      <w:lvlJc w:val="left"/>
    </w:lvl>
  </w:abstractNum>
  <w:abstractNum w:abstractNumId="19">
    <w:nsid w:val="5FAE72E8"/>
    <w:multiLevelType w:val="multilevel"/>
    <w:tmpl w:val="5FAE72E8"/>
    <w:lvl w:ilvl="0" w:tentative="0">
      <w:start w:val="1"/>
      <w:numFmt w:val="bullet"/>
      <w:lvlText w:val=""/>
      <w:lvlJc w:val="left"/>
      <w:pPr>
        <w:ind w:left="1140" w:hanging="420"/>
      </w:pPr>
      <w:rPr>
        <w:rFonts w:hint="default" w:ascii="Wingdings" w:hAnsi="Wingdings"/>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20">
    <w:nsid w:val="6E6F60EA"/>
    <w:multiLevelType w:val="multilevel"/>
    <w:tmpl w:val="6E6F60EA"/>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5"/>
  </w:num>
  <w:num w:numId="2">
    <w:abstractNumId w:val="16"/>
  </w:num>
  <w:num w:numId="3">
    <w:abstractNumId w:val="1"/>
  </w:num>
  <w:num w:numId="4">
    <w:abstractNumId w:val="17"/>
  </w:num>
  <w:num w:numId="5">
    <w:abstractNumId w:val="3"/>
  </w:num>
  <w:num w:numId="6">
    <w:abstractNumId w:val="2"/>
  </w:num>
  <w:num w:numId="7">
    <w:abstractNumId w:val="8"/>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num>
  <w:num w:numId="14">
    <w:abstractNumId w:val="4"/>
  </w:num>
  <w:num w:numId="15">
    <w:abstractNumId w:val="0"/>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B5594"/>
    <w:rsid w:val="01646197"/>
    <w:rsid w:val="018540D2"/>
    <w:rsid w:val="018B6459"/>
    <w:rsid w:val="01F149B9"/>
    <w:rsid w:val="02602D03"/>
    <w:rsid w:val="02D02344"/>
    <w:rsid w:val="030B6D0C"/>
    <w:rsid w:val="03FC0FCF"/>
    <w:rsid w:val="04774812"/>
    <w:rsid w:val="049B036B"/>
    <w:rsid w:val="050739B9"/>
    <w:rsid w:val="05152C46"/>
    <w:rsid w:val="063A7DF2"/>
    <w:rsid w:val="06426824"/>
    <w:rsid w:val="067A76EC"/>
    <w:rsid w:val="08894F32"/>
    <w:rsid w:val="08925AF2"/>
    <w:rsid w:val="08FB1494"/>
    <w:rsid w:val="098B67B5"/>
    <w:rsid w:val="0B7C4A93"/>
    <w:rsid w:val="0B870C05"/>
    <w:rsid w:val="0BA643C0"/>
    <w:rsid w:val="0BC968C8"/>
    <w:rsid w:val="0C4B2C74"/>
    <w:rsid w:val="0D0B229A"/>
    <w:rsid w:val="0D245384"/>
    <w:rsid w:val="0D79664F"/>
    <w:rsid w:val="0DC44411"/>
    <w:rsid w:val="0E1C72FF"/>
    <w:rsid w:val="0E7B053C"/>
    <w:rsid w:val="0F6E5D32"/>
    <w:rsid w:val="100B5B87"/>
    <w:rsid w:val="10981FC9"/>
    <w:rsid w:val="111A1C69"/>
    <w:rsid w:val="112636AA"/>
    <w:rsid w:val="11552061"/>
    <w:rsid w:val="11676148"/>
    <w:rsid w:val="118E4077"/>
    <w:rsid w:val="11B55D70"/>
    <w:rsid w:val="12231A32"/>
    <w:rsid w:val="12A671E8"/>
    <w:rsid w:val="12AE1FC6"/>
    <w:rsid w:val="12E169B5"/>
    <w:rsid w:val="139C4DC8"/>
    <w:rsid w:val="13FB0AED"/>
    <w:rsid w:val="140504E5"/>
    <w:rsid w:val="14EC0FE1"/>
    <w:rsid w:val="14F05FFA"/>
    <w:rsid w:val="150D027D"/>
    <w:rsid w:val="15121B96"/>
    <w:rsid w:val="15592202"/>
    <w:rsid w:val="15647289"/>
    <w:rsid w:val="156B5D98"/>
    <w:rsid w:val="157B13AB"/>
    <w:rsid w:val="15A83969"/>
    <w:rsid w:val="15B2379A"/>
    <w:rsid w:val="15B600A4"/>
    <w:rsid w:val="15E929C5"/>
    <w:rsid w:val="15EF4E4A"/>
    <w:rsid w:val="163221FC"/>
    <w:rsid w:val="16924021"/>
    <w:rsid w:val="1812775D"/>
    <w:rsid w:val="183D33A8"/>
    <w:rsid w:val="184B5530"/>
    <w:rsid w:val="18AD7C8E"/>
    <w:rsid w:val="18D03124"/>
    <w:rsid w:val="19B2598D"/>
    <w:rsid w:val="1AA14403"/>
    <w:rsid w:val="1AD84254"/>
    <w:rsid w:val="1B04443B"/>
    <w:rsid w:val="1B7623EA"/>
    <w:rsid w:val="1B776A7E"/>
    <w:rsid w:val="1BAD0FBE"/>
    <w:rsid w:val="1BB30568"/>
    <w:rsid w:val="1BFF7F0A"/>
    <w:rsid w:val="1C270E03"/>
    <w:rsid w:val="1D061B65"/>
    <w:rsid w:val="1D69687D"/>
    <w:rsid w:val="1DAA4520"/>
    <w:rsid w:val="1EB653C9"/>
    <w:rsid w:val="1EE57EC9"/>
    <w:rsid w:val="1F272DCF"/>
    <w:rsid w:val="201E0C3D"/>
    <w:rsid w:val="20D675C6"/>
    <w:rsid w:val="20F24F77"/>
    <w:rsid w:val="216F3928"/>
    <w:rsid w:val="21924293"/>
    <w:rsid w:val="23905584"/>
    <w:rsid w:val="23C867FB"/>
    <w:rsid w:val="246E2907"/>
    <w:rsid w:val="246F6CC9"/>
    <w:rsid w:val="24DC64ED"/>
    <w:rsid w:val="25191B79"/>
    <w:rsid w:val="25BA0C6C"/>
    <w:rsid w:val="25F15400"/>
    <w:rsid w:val="25F97419"/>
    <w:rsid w:val="269539C2"/>
    <w:rsid w:val="26B50A33"/>
    <w:rsid w:val="26FF171E"/>
    <w:rsid w:val="270527FD"/>
    <w:rsid w:val="27596D1A"/>
    <w:rsid w:val="27796EBF"/>
    <w:rsid w:val="27FB1BDB"/>
    <w:rsid w:val="284B1AE5"/>
    <w:rsid w:val="28773F8A"/>
    <w:rsid w:val="294F2747"/>
    <w:rsid w:val="29565EE2"/>
    <w:rsid w:val="297D4CC7"/>
    <w:rsid w:val="2A8071EC"/>
    <w:rsid w:val="2B102AB8"/>
    <w:rsid w:val="2B3A4B88"/>
    <w:rsid w:val="2C2C2A75"/>
    <w:rsid w:val="2C711082"/>
    <w:rsid w:val="2C743A8F"/>
    <w:rsid w:val="2E1F1674"/>
    <w:rsid w:val="2E4C3F3A"/>
    <w:rsid w:val="2E7E5499"/>
    <w:rsid w:val="2EE53DCC"/>
    <w:rsid w:val="2F0C65E7"/>
    <w:rsid w:val="2F6B4EF5"/>
    <w:rsid w:val="2F9718C9"/>
    <w:rsid w:val="2FEE47EB"/>
    <w:rsid w:val="304563F6"/>
    <w:rsid w:val="309E52BC"/>
    <w:rsid w:val="30ED0253"/>
    <w:rsid w:val="32C462CA"/>
    <w:rsid w:val="32D83B98"/>
    <w:rsid w:val="32D97727"/>
    <w:rsid w:val="34207304"/>
    <w:rsid w:val="34437A98"/>
    <w:rsid w:val="35274361"/>
    <w:rsid w:val="36EF3D16"/>
    <w:rsid w:val="372B4322"/>
    <w:rsid w:val="37522F7B"/>
    <w:rsid w:val="37BE4C86"/>
    <w:rsid w:val="38421DB0"/>
    <w:rsid w:val="385A6032"/>
    <w:rsid w:val="38C4413B"/>
    <w:rsid w:val="38EC5970"/>
    <w:rsid w:val="39835325"/>
    <w:rsid w:val="39A724FC"/>
    <w:rsid w:val="3A956FB3"/>
    <w:rsid w:val="3AC565ED"/>
    <w:rsid w:val="3AC70E9C"/>
    <w:rsid w:val="3B313687"/>
    <w:rsid w:val="3B60539D"/>
    <w:rsid w:val="3C176C45"/>
    <w:rsid w:val="3C7721AA"/>
    <w:rsid w:val="3C835598"/>
    <w:rsid w:val="3CBF76D1"/>
    <w:rsid w:val="3CD65BAF"/>
    <w:rsid w:val="3CE90544"/>
    <w:rsid w:val="3DC00DF9"/>
    <w:rsid w:val="3DE25754"/>
    <w:rsid w:val="3E632AB1"/>
    <w:rsid w:val="3E6B4982"/>
    <w:rsid w:val="3FE32DDE"/>
    <w:rsid w:val="40763046"/>
    <w:rsid w:val="412F58A1"/>
    <w:rsid w:val="41343E37"/>
    <w:rsid w:val="414E507F"/>
    <w:rsid w:val="422B70CB"/>
    <w:rsid w:val="434B0453"/>
    <w:rsid w:val="434B66BC"/>
    <w:rsid w:val="438D4335"/>
    <w:rsid w:val="4431594D"/>
    <w:rsid w:val="44CC2E64"/>
    <w:rsid w:val="458C610B"/>
    <w:rsid w:val="45AD337D"/>
    <w:rsid w:val="45BA7F47"/>
    <w:rsid w:val="45EB35BF"/>
    <w:rsid w:val="462A66F6"/>
    <w:rsid w:val="46424BCD"/>
    <w:rsid w:val="465C21C3"/>
    <w:rsid w:val="46891439"/>
    <w:rsid w:val="47094C94"/>
    <w:rsid w:val="4735197F"/>
    <w:rsid w:val="47363684"/>
    <w:rsid w:val="48E126A4"/>
    <w:rsid w:val="49754F85"/>
    <w:rsid w:val="49A80247"/>
    <w:rsid w:val="49DF7F8A"/>
    <w:rsid w:val="4A005D91"/>
    <w:rsid w:val="4A0E4F15"/>
    <w:rsid w:val="4AD243A5"/>
    <w:rsid w:val="4AF34D7E"/>
    <w:rsid w:val="4B5823AF"/>
    <w:rsid w:val="4BA149EA"/>
    <w:rsid w:val="4BB01CBE"/>
    <w:rsid w:val="4BF411D5"/>
    <w:rsid w:val="4C1230C3"/>
    <w:rsid w:val="4C805D89"/>
    <w:rsid w:val="4CAB30D2"/>
    <w:rsid w:val="4CB71A44"/>
    <w:rsid w:val="4D3615AD"/>
    <w:rsid w:val="4D4816E2"/>
    <w:rsid w:val="4D5C0C50"/>
    <w:rsid w:val="4DB13E2D"/>
    <w:rsid w:val="4DD07EB2"/>
    <w:rsid w:val="4E9C2E9A"/>
    <w:rsid w:val="4EE8317A"/>
    <w:rsid w:val="4F177746"/>
    <w:rsid w:val="4F8C4F29"/>
    <w:rsid w:val="50677163"/>
    <w:rsid w:val="50E4430D"/>
    <w:rsid w:val="50FE62E4"/>
    <w:rsid w:val="51133465"/>
    <w:rsid w:val="515359F3"/>
    <w:rsid w:val="518270E9"/>
    <w:rsid w:val="51FB015C"/>
    <w:rsid w:val="5211666B"/>
    <w:rsid w:val="524E18AF"/>
    <w:rsid w:val="53824B60"/>
    <w:rsid w:val="539663E2"/>
    <w:rsid w:val="54CB047F"/>
    <w:rsid w:val="54E00A3E"/>
    <w:rsid w:val="550B495F"/>
    <w:rsid w:val="552502FD"/>
    <w:rsid w:val="555552F0"/>
    <w:rsid w:val="55A34267"/>
    <w:rsid w:val="55FB09FF"/>
    <w:rsid w:val="55FB10BB"/>
    <w:rsid w:val="56404FED"/>
    <w:rsid w:val="566C68D4"/>
    <w:rsid w:val="583A3F29"/>
    <w:rsid w:val="586F22D8"/>
    <w:rsid w:val="58C37D00"/>
    <w:rsid w:val="591707E0"/>
    <w:rsid w:val="591830C8"/>
    <w:rsid w:val="597D6941"/>
    <w:rsid w:val="5A051784"/>
    <w:rsid w:val="5A2A5D7E"/>
    <w:rsid w:val="5AAC751B"/>
    <w:rsid w:val="5B9B5D03"/>
    <w:rsid w:val="5D9F2956"/>
    <w:rsid w:val="5E9D3469"/>
    <w:rsid w:val="5EE557AC"/>
    <w:rsid w:val="5FA70200"/>
    <w:rsid w:val="5FF04F58"/>
    <w:rsid w:val="5FFE7D6C"/>
    <w:rsid w:val="601A2658"/>
    <w:rsid w:val="6038263C"/>
    <w:rsid w:val="609A2E17"/>
    <w:rsid w:val="60A96E85"/>
    <w:rsid w:val="610C075C"/>
    <w:rsid w:val="626D0714"/>
    <w:rsid w:val="630A789D"/>
    <w:rsid w:val="632318B1"/>
    <w:rsid w:val="639D5E95"/>
    <w:rsid w:val="64230F7E"/>
    <w:rsid w:val="64751A22"/>
    <w:rsid w:val="64F074F9"/>
    <w:rsid w:val="656742CF"/>
    <w:rsid w:val="66232854"/>
    <w:rsid w:val="667B093A"/>
    <w:rsid w:val="667D1752"/>
    <w:rsid w:val="66845747"/>
    <w:rsid w:val="67021501"/>
    <w:rsid w:val="67337DE7"/>
    <w:rsid w:val="675B2D74"/>
    <w:rsid w:val="67E37A32"/>
    <w:rsid w:val="680C3D47"/>
    <w:rsid w:val="682B0AFF"/>
    <w:rsid w:val="68305E99"/>
    <w:rsid w:val="683D3891"/>
    <w:rsid w:val="68494330"/>
    <w:rsid w:val="687E4061"/>
    <w:rsid w:val="692A42CB"/>
    <w:rsid w:val="693933A2"/>
    <w:rsid w:val="693F777D"/>
    <w:rsid w:val="69EE6DA0"/>
    <w:rsid w:val="6A237E80"/>
    <w:rsid w:val="6ABE0E56"/>
    <w:rsid w:val="6ACD3080"/>
    <w:rsid w:val="6B4A4907"/>
    <w:rsid w:val="6CF24127"/>
    <w:rsid w:val="6D9A0F7A"/>
    <w:rsid w:val="6DC87664"/>
    <w:rsid w:val="6DDF4B6E"/>
    <w:rsid w:val="6E0D245E"/>
    <w:rsid w:val="6EFE56BB"/>
    <w:rsid w:val="6F090F32"/>
    <w:rsid w:val="6F904A0C"/>
    <w:rsid w:val="6FC27204"/>
    <w:rsid w:val="6FFC4C4D"/>
    <w:rsid w:val="7016039C"/>
    <w:rsid w:val="703B3285"/>
    <w:rsid w:val="70562741"/>
    <w:rsid w:val="70EA58E9"/>
    <w:rsid w:val="70FC5C1B"/>
    <w:rsid w:val="72130169"/>
    <w:rsid w:val="722E1BA1"/>
    <w:rsid w:val="735135A1"/>
    <w:rsid w:val="73836BEA"/>
    <w:rsid w:val="73A42E7A"/>
    <w:rsid w:val="73FE518C"/>
    <w:rsid w:val="74202F0E"/>
    <w:rsid w:val="743B0B64"/>
    <w:rsid w:val="74854E03"/>
    <w:rsid w:val="74C24039"/>
    <w:rsid w:val="74DE4D50"/>
    <w:rsid w:val="75AF0C96"/>
    <w:rsid w:val="75F05607"/>
    <w:rsid w:val="777E1BF9"/>
    <w:rsid w:val="77A3198C"/>
    <w:rsid w:val="77CD3E31"/>
    <w:rsid w:val="77DF4E71"/>
    <w:rsid w:val="781D3401"/>
    <w:rsid w:val="7871755D"/>
    <w:rsid w:val="79172CF4"/>
    <w:rsid w:val="79333BC6"/>
    <w:rsid w:val="79635ABD"/>
    <w:rsid w:val="7984385A"/>
    <w:rsid w:val="79BC49EE"/>
    <w:rsid w:val="79BD3617"/>
    <w:rsid w:val="79D638CF"/>
    <w:rsid w:val="7A0872BC"/>
    <w:rsid w:val="7A204044"/>
    <w:rsid w:val="7A50519A"/>
    <w:rsid w:val="7B0A7779"/>
    <w:rsid w:val="7B966918"/>
    <w:rsid w:val="7C1A1DE9"/>
    <w:rsid w:val="7CD83B08"/>
    <w:rsid w:val="7D0942D1"/>
    <w:rsid w:val="7DF94983"/>
    <w:rsid w:val="7E3F1445"/>
    <w:rsid w:val="7F646452"/>
    <w:rsid w:val="7FAD1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qFormat/>
    <w:uiPriority w:val="99"/>
    <w:pPr>
      <w:keepNext/>
      <w:adjustRightInd/>
      <w:snapToGrid/>
      <w:spacing w:after="0"/>
      <w:outlineLvl w:val="0"/>
    </w:pPr>
    <w:rPr>
      <w:rFonts w:ascii="Times New Roman" w:hAnsi="Times New Roman" w:eastAsia="宋体" w:cs="Times New Roman"/>
      <w:b/>
      <w:bCs/>
      <w:sz w:val="24"/>
      <w:szCs w:val="24"/>
    </w:rPr>
  </w:style>
  <w:style w:type="paragraph" w:styleId="5">
    <w:name w:val="heading 2"/>
    <w:basedOn w:val="1"/>
    <w:next w:val="1"/>
    <w:qFormat/>
    <w:uiPriority w:val="99"/>
    <w:pPr>
      <w:keepNext/>
      <w:keepLines/>
      <w:widowControl w:val="0"/>
      <w:adjustRightInd/>
      <w:snapToGrid/>
      <w:spacing w:before="260" w:after="260" w:line="415" w:lineRule="auto"/>
      <w:jc w:val="both"/>
      <w:outlineLvl w:val="1"/>
    </w:pPr>
    <w:rPr>
      <w:rFonts w:ascii="Arial" w:hAnsi="Arial" w:eastAsia="黑体" w:cs="Times New Roman"/>
      <w:b/>
      <w:bCs/>
      <w:sz w:val="32"/>
      <w:szCs w:val="32"/>
    </w:rPr>
  </w:style>
  <w:style w:type="paragraph" w:styleId="6">
    <w:name w:val="heading 3"/>
    <w:basedOn w:val="1"/>
    <w:next w:val="7"/>
    <w:qFormat/>
    <w:uiPriority w:val="0"/>
    <w:pPr>
      <w:widowControl w:val="0"/>
      <w:tabs>
        <w:tab w:val="left" w:pos="851"/>
      </w:tabs>
      <w:autoSpaceDE w:val="0"/>
      <w:autoSpaceDN w:val="0"/>
      <w:adjustRightInd w:val="0"/>
      <w:snapToGrid w:val="0"/>
      <w:spacing w:line="360" w:lineRule="auto"/>
      <w:jc w:val="both"/>
      <w:outlineLvl w:val="2"/>
    </w:pPr>
    <w:rPr>
      <w:rFonts w:ascii="宋体"/>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napToGrid w:val="0"/>
      <w:spacing w:after="0" w:line="360" w:lineRule="auto"/>
      <w:ind w:firstLine="425"/>
    </w:pPr>
    <w:rPr>
      <w:rFonts w:eastAsia="宋体" w:cs="Times New Roman"/>
      <w:kern w:val="0"/>
      <w:sz w:val="20"/>
      <w:szCs w:val="20"/>
    </w:rPr>
  </w:style>
  <w:style w:type="paragraph" w:styleId="3">
    <w:name w:val="Body Text"/>
    <w:basedOn w:val="1"/>
    <w:unhideWhenUsed/>
    <w:qFormat/>
    <w:uiPriority w:val="0"/>
    <w:pPr>
      <w:widowControl w:val="0"/>
      <w:adjustRightInd/>
      <w:snapToGrid/>
      <w:spacing w:after="120"/>
      <w:jc w:val="both"/>
    </w:pPr>
    <w:rPr>
      <w:rFonts w:ascii="Times New Roman" w:hAnsi="Times New Roman" w:eastAsia="宋体" w:cs="Times New Roman"/>
      <w:kern w:val="2"/>
      <w:sz w:val="21"/>
      <w:szCs w:val="24"/>
    </w:rPr>
  </w:style>
  <w:style w:type="paragraph" w:styleId="7">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Indent"/>
    <w:basedOn w:val="1"/>
    <w:unhideWhenUsed/>
    <w:qFormat/>
    <w:uiPriority w:val="99"/>
    <w:pPr>
      <w:widowControl w:val="0"/>
      <w:adjustRightInd/>
      <w:snapToGrid/>
      <w:spacing w:after="0" w:line="560" w:lineRule="exact"/>
      <w:ind w:left="300"/>
      <w:jc w:val="both"/>
    </w:pPr>
    <w:rPr>
      <w:rFonts w:ascii="Times New Roman" w:hAnsi="Times New Roman" w:eastAsia="宋体" w:cs="Times New Roman"/>
      <w:kern w:val="2"/>
      <w:sz w:val="24"/>
      <w:szCs w:val="24"/>
    </w:rPr>
  </w:style>
  <w:style w:type="paragraph" w:styleId="10">
    <w:name w:val="toc 3"/>
    <w:basedOn w:val="1"/>
    <w:next w:val="1"/>
    <w:qFormat/>
    <w:uiPriority w:val="0"/>
    <w:pPr>
      <w:spacing w:line="360" w:lineRule="auto"/>
      <w:ind w:left="0" w:leftChars="0"/>
    </w:pPr>
    <w:rPr>
      <w:rFonts w:eastAsia="宋体"/>
    </w:rPr>
  </w:style>
  <w:style w:type="paragraph" w:styleId="11">
    <w:name w:val="Plain Text"/>
    <w:basedOn w:val="1"/>
    <w:unhideWhenUsed/>
    <w:qFormat/>
    <w:uiPriority w:val="99"/>
    <w:pPr>
      <w:widowControl w:val="0"/>
      <w:adjustRightInd/>
      <w:snapToGrid/>
      <w:spacing w:after="0"/>
      <w:jc w:val="both"/>
    </w:pPr>
    <w:rPr>
      <w:rFonts w:ascii="宋体" w:hAnsi="Courier New" w:eastAsia="宋体" w:cs="Times New Roman"/>
      <w:kern w:val="2"/>
      <w:sz w:val="21"/>
      <w:szCs w:val="21"/>
    </w:rPr>
  </w:style>
  <w:style w:type="paragraph" w:styleId="12">
    <w:name w:val="footer"/>
    <w:basedOn w:val="1"/>
    <w:unhideWhenUsed/>
    <w:qFormat/>
    <w:uiPriority w:val="99"/>
    <w:pPr>
      <w:tabs>
        <w:tab w:val="center" w:pos="4153"/>
        <w:tab w:val="right" w:pos="8306"/>
      </w:tabs>
    </w:pPr>
    <w:rPr>
      <w:sz w:val="18"/>
      <w:szCs w:val="18"/>
    </w:rPr>
  </w:style>
  <w:style w:type="paragraph" w:styleId="13">
    <w:name w:val="header"/>
    <w:basedOn w:val="1"/>
    <w:unhideWhenUsed/>
    <w:qFormat/>
    <w:uiPriority w:val="0"/>
    <w:pPr>
      <w:pBdr>
        <w:bottom w:val="single" w:color="auto" w:sz="6" w:space="1"/>
      </w:pBdr>
      <w:tabs>
        <w:tab w:val="center" w:pos="4153"/>
        <w:tab w:val="right" w:pos="8306"/>
      </w:tabs>
      <w:jc w:val="center"/>
    </w:pPr>
    <w:rPr>
      <w:sz w:val="18"/>
      <w:szCs w:val="18"/>
    </w:rPr>
  </w:style>
  <w:style w:type="paragraph" w:styleId="14">
    <w:name w:val="toc 1"/>
    <w:basedOn w:val="1"/>
    <w:next w:val="1"/>
    <w:unhideWhenUsed/>
    <w:qFormat/>
    <w:uiPriority w:val="0"/>
    <w:pPr>
      <w:widowControl w:val="0"/>
      <w:tabs>
        <w:tab w:val="right" w:leader="dot" w:pos="9060"/>
      </w:tabs>
      <w:adjustRightInd/>
      <w:snapToGrid/>
      <w:spacing w:after="0" w:line="360" w:lineRule="auto"/>
      <w:ind w:left="426" w:leftChars="213"/>
      <w:jc w:val="both"/>
    </w:pPr>
    <w:rPr>
      <w:rFonts w:ascii="Times New Roman" w:hAnsi="Times New Roman" w:eastAsia="宋体" w:cs="Times New Roman"/>
      <w:kern w:val="2"/>
      <w:sz w:val="21"/>
      <w:szCs w:val="20"/>
    </w:rPr>
  </w:style>
  <w:style w:type="paragraph" w:styleId="15">
    <w:name w:val="Body Text Indent 3"/>
    <w:basedOn w:val="1"/>
    <w:qFormat/>
    <w:uiPriority w:val="0"/>
    <w:pPr>
      <w:tabs>
        <w:tab w:val="left" w:pos="1620"/>
      </w:tabs>
      <w:spacing w:line="360" w:lineRule="auto"/>
      <w:ind w:left="1616" w:firstLine="420" w:firstLineChars="200"/>
    </w:pPr>
  </w:style>
  <w:style w:type="paragraph" w:styleId="16">
    <w:name w:val="Body Text First Indent 2"/>
    <w:basedOn w:val="9"/>
    <w:qFormat/>
    <w:uiPriority w:val="0"/>
    <w:pPr>
      <w:adjustRightInd w:val="0"/>
      <w:ind w:left="200" w:leftChars="200" w:firstLine="200" w:firstLineChars="200"/>
      <w:jc w:val="left"/>
    </w:pPr>
    <w:rPr>
      <w:snapToGrid w:val="0"/>
      <w:szCs w:val="20"/>
    </w:rPr>
  </w:style>
  <w:style w:type="table" w:styleId="18">
    <w:name w:val="Table Grid"/>
    <w:basedOn w:val="1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page number"/>
    <w:basedOn w:val="19"/>
    <w:unhideWhenUsed/>
    <w:qFormat/>
    <w:uiPriority w:val="0"/>
  </w:style>
  <w:style w:type="character" w:styleId="21">
    <w:name w:val="Hyperlink"/>
    <w:unhideWhenUsed/>
    <w:qFormat/>
    <w:uiPriority w:val="99"/>
    <w:rPr>
      <w:color w:val="0000FF"/>
      <w:u w:val="single"/>
    </w:rPr>
  </w:style>
  <w:style w:type="paragraph" w:styleId="22">
    <w:name w:val="List Paragraph"/>
    <w:basedOn w:val="1"/>
    <w:qFormat/>
    <w:uiPriority w:val="34"/>
    <w:pPr>
      <w:adjustRightInd/>
      <w:snapToGrid/>
      <w:spacing w:after="0"/>
      <w:ind w:firstLine="420" w:firstLineChars="200"/>
    </w:pPr>
    <w:rPr>
      <w:rFonts w:ascii="Calibri" w:hAnsi="Calibri" w:eastAsia="宋体" w:cs="Times New Roman"/>
      <w:lang w:eastAsia="en-US" w:bidi="en-US"/>
    </w:rPr>
  </w:style>
  <w:style w:type="paragraph" w:customStyle="1" w:styleId="23">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4">
    <w:name w:val="p141"/>
    <w:qFormat/>
    <w:uiPriority w:val="99"/>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3.xml"/><Relationship Id="rId7" Type="http://schemas.openxmlformats.org/officeDocument/2006/relationships/header" Target="header2.xml"/><Relationship Id="rId6" Type="http://schemas.openxmlformats.org/officeDocument/2006/relationships/footer" Target="footer2.xml"/><Relationship Id="rId5" Type="http://schemas.openxmlformats.org/officeDocument/2006/relationships/header" Target="header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2021-09-02T02:47:00Z</dcterms:created>
  <dc:creator>Administrator</dc:creator>
  <cp:lastModifiedBy>Vacancy</cp:lastModifiedBy>
  <cp:lastPrinted>2021-09-28T02:14:00Z</cp:lastPrinted>
  <dcterms:modified xsi:type="dcterms:W3CDTF">2021-09-28T06:24:57Z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4E87EE0DBD7F46C5B8D92568E5C1302C</vt:lpwstr>
  </property>
</Properties>
</file>